
<file path=[Content_Types].xml><?xml version="1.0" encoding="utf-8"?>
<Types xmlns="http://schemas.openxmlformats.org/package/2006/content-types">
  <Default Extension="xlsx" ContentType="application/vnd.openxmlformats-officedocument.spreadsheetml.sheet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威海市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环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科学技术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局</w:t>
      </w:r>
    </w:p>
    <w:p>
      <w:pPr>
        <w:jc w:val="center"/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20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val="en-US" w:eastAsia="zh-CN"/>
        </w:rPr>
        <w:t>21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年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政府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信息公开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  <w:lang w:eastAsia="zh-CN"/>
        </w:rPr>
        <w:t>工作年度</w:t>
      </w:r>
      <w:r>
        <w:rPr>
          <w:rFonts w:hint="eastAsia" w:ascii="文星简小标宋" w:hAnsi="文星简小标宋" w:eastAsia="文星简小标宋" w:cs="文星简小标宋"/>
          <w:color w:val="auto"/>
          <w:sz w:val="44"/>
          <w:szCs w:val="44"/>
        </w:rPr>
        <w:t>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科学技术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局20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年政府信息公开工作年度报告。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主要包括主动公开、依申请公开、政府信息管理、平台建设、监督保障（含《中华人民共和国政府信息公开条例》第五十条第四项规定的各级人民政府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eastAsia="zh-CN"/>
        </w:rPr>
        <w:t>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val="zh-CN" w:eastAsia="zh-CN" w:bidi="zh-CN"/>
        </w:rPr>
        <w:t>工作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考核、社会评议和责任追究结果情况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eastAsia="zh-CN"/>
        </w:rPr>
        <w:t>”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  <w:lang w:val="en-US" w:eastAsia="en-US" w:bidi="en-US"/>
        </w:rPr>
        <w:t>）</w:t>
      </w:r>
      <w:r>
        <w:rPr>
          <w:rStyle w:val="7"/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sz w:val="32"/>
          <w:szCs w:val="32"/>
        </w:rPr>
        <w:t>等方面。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580"/>
        <w:jc w:val="left"/>
        <w:textAlignment w:val="auto"/>
        <w:rPr>
          <w:rFonts w:hint="default" w:ascii="Times New Roman" w:hAnsi="Times New Roman" w:eastAsia="仿宋_GB2312" w:cs="Times New Roman"/>
          <w:b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本报告中所列数据的统计期限自20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年1月1日起至20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年12月31日止。本报告的电子版可在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环翠区人民政府门户网站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（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instrText xml:space="preserve"> HYPERLINK "http://www.huancui.gov.cn" </w:instrTex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separate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http://www.huancui.gov.cn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fldChar w:fldCharType="end"/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）下载。如对本报告有疑问，请与威海市环翠区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eastAsia="zh-CN"/>
        </w:rPr>
        <w:t>科学技术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局办公室联系（地址：文化中路59号；邮编：264200；电话：0631—522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3481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；传真：0631—52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28928</w:t>
      </w:r>
      <w:r>
        <w:rPr>
          <w:rFonts w:hint="eastAsia" w:ascii="仿宋_GB2312" w:hAnsi="仿宋_GB2312" w:eastAsia="仿宋_GB2312" w:cs="仿宋_GB2312"/>
          <w:color w:val="000000"/>
          <w:spacing w:val="0"/>
          <w:w w:val="100"/>
          <w:position w:val="0"/>
          <w:sz w:val="32"/>
          <w:szCs w:val="32"/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一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）主动公开政府信息情况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1.主动公开政府信息的数量。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年度，我局共公开各类信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06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条，其中通过政府网站公开信息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54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条，通过政务微信公开信息</w:t>
      </w: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829945</wp:posOffset>
            </wp:positionH>
            <wp:positionV relativeFrom="page">
              <wp:posOffset>1052830</wp:posOffset>
            </wp:positionV>
            <wp:extent cx="4127500" cy="2210435"/>
            <wp:effectExtent l="4445" t="5080" r="20955" b="13335"/>
            <wp:wrapTopAndBottom/>
            <wp:docPr id="4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anchor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2.主动公开政府信息的主要类别。主要包括机构职能、政策法规及解读、工作信息、通知公告、信息公开指南等信息。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3.主动公开政府信息的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途径。按照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“以公开为原则、不公开为例外”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的基本要求，及时在环翠区政务网、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“环翠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”微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信公众号等平台主动发布信息。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4.主动公开政府信息情况。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根据《威海市环翠区政务公开领导小组关于印发&lt;2020年威海市环翠区政务公开工作要点&gt;的通知》（威环政公组发〔2020〕1号）要求和各级政务公开工作会议部署，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我局对重点领域政务信息在网站进行公开。202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年，年度重点任务信息公开11条，行政执法公示信息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条，现行文件信息公开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t>条。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并且，对机构设置与职责、部门领导、人事任免、规划计划、统计数据等栏目进行动态管理，实时更新。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）政府信息公开申请办理情况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20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年，我局未收到政府信息公开申请。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三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）制度建设及政府信息管理情况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257175</wp:posOffset>
            </wp:positionH>
            <wp:positionV relativeFrom="page">
              <wp:posOffset>3552825</wp:posOffset>
            </wp:positionV>
            <wp:extent cx="5528945" cy="4330700"/>
            <wp:effectExtent l="0" t="0" r="14605" b="12700"/>
            <wp:wrapTopAndBottom/>
            <wp:docPr id="5" name="图片 5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28945" cy="4330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20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年，我局根据《中华人民共和国保守国家秘密法》和《中华人民共和国政府信息公开条例》及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部、省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厅、市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局和区委区政府相关规定，按照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“以公开为原则，以不公开为例外”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的要求，遵循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“先审查，后公开；谁主管、谁负责”的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原则，对拟公开的政务信息进行保密审查，在确认所提交内容为可公开内容后再进行公开，确保公开信息准确无误、符合要求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公开平台建设情况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FF"/>
          <w:spacing w:val="0"/>
          <w:sz w:val="32"/>
          <w:szCs w:val="32"/>
          <w:highlight w:val="cyan"/>
          <w:shd w:val="clear" w:color="auto" w:fill="FFFFFF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政策公开及解读。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对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部、财政部、省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厅、市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局及区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科技局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出台支持企业发展的政策措施进行了梳理，重点发布了《环翠区关于推进科技创新的扶持意见》《环翠区关于加快建设威海创新园的专项扶持意见》等扶持中小微企业发展的各项优惠政策及解读，为企业了解政策、用好政策，加快转型发展提供帮助， 全年通过“环翠区政府信息公开”平台公开政策法规信息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条，政策解读稿件发布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篇。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回应社会关切及互动交流。全年政务微信公开政府信息数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52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条，参加或举办新闻发布会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</w:rPr>
        <w:t>次。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highlight w:val="none"/>
          <w:shd w:val="clear" w:color="auto" w:fill="FFFFFF"/>
          <w:lang w:eastAsia="zh-CN"/>
        </w:rPr>
        <w:drawing>
          <wp:inline distT="0" distB="0" distL="114300" distR="114300">
            <wp:extent cx="5754370" cy="3526790"/>
            <wp:effectExtent l="0" t="0" r="17780" b="16510"/>
            <wp:docPr id="8" name="图片 8" descr="Dingtalk_202201131519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Dingtalk_20220113151929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54370" cy="352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（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五</w:t>
      </w:r>
      <w:r>
        <w:rPr>
          <w:rFonts w:hint="eastAsia" w:ascii="楷体_GB2312" w:hAnsi="楷体_GB2312" w:eastAsia="楷体_GB2312" w:cs="楷体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）监督保障情况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eastAsia="仿宋_GB2312" w:cs="Times New Roman"/>
          <w:sz w:val="32"/>
          <w:szCs w:val="32"/>
          <w:lang w:eastAsia="zh-CN"/>
        </w:rPr>
      </w:pP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加强对信息公开的组织领导，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我局领导高度重视政府信息公开工作，建立健全了由“一把手”为组长，分管领导为副组长，办公室为主管部门，并指定了一名具体工作人员，负责我单位政府信息公开工作。将责任明确到人，形成了上级抓下级，层层抓落实的良好局面。</w:t>
      </w: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围绕区委、区政府工作大局和重点，坚持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“以公开为原则，不公开为例外”</w:t>
      </w:r>
      <w:r>
        <w:rPr>
          <w:rFonts w:hint="default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的原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</w:rPr>
        <w:t>则，加大政务信息公开工作力度。并对公开目录和公开指南随时进行审核和更新，做到公布信息及时准确。</w:t>
      </w:r>
      <w:r>
        <w:rPr>
          <w:rFonts w:hint="eastAsia" w:eastAsia="仿宋_GB2312" w:cs="Times New Roman"/>
          <w:sz w:val="32"/>
          <w:szCs w:val="32"/>
          <w:lang w:eastAsia="zh-CN"/>
        </w:rPr>
        <w:t>区科技局严格按照《条例》要求开展政府信息公开工作，未收到政府信息公开有关的投诉、举报，也无其他责任追究的情形。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  <w:t>二、主动公开政府信息情况</w:t>
      </w:r>
    </w:p>
    <w:tbl>
      <w:tblPr>
        <w:tblStyle w:val="3"/>
        <w:tblW w:w="8145" w:type="dxa"/>
        <w:jc w:val="center"/>
        <w:tblCellSpacing w:w="0" w:type="dxa"/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98"/>
        <w:gridCol w:w="1857"/>
        <w:gridCol w:w="1738"/>
        <w:gridCol w:w="205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第二十条第（一）项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185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本年制发件数</w:t>
            </w:r>
          </w:p>
        </w:tc>
        <w:tc>
          <w:tcPr>
            <w:tcW w:w="173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本年废止件数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现行有效件数量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规章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  <w:tc>
          <w:tcPr>
            <w:tcW w:w="173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规范性文件</w:t>
            </w:r>
          </w:p>
        </w:tc>
        <w:tc>
          <w:tcPr>
            <w:tcW w:w="185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73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205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rFonts w:hint="eastAsia" w:eastAsia="宋体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333333"/>
                <w:sz w:val="24"/>
                <w:szCs w:val="24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第二十条第（五）项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行政许可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第二十条第（六）项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本年处理决定数量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行政处罚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行政强制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</w:t>
            </w:r>
          </w:p>
        </w:tc>
      </w:tr>
      <w:tr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  <w:tblCellSpacing w:w="0" w:type="dxa"/>
          <w:jc w:val="center"/>
        </w:trPr>
        <w:tc>
          <w:tcPr>
            <w:tcW w:w="814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第二十条第（八）项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信息内容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本年收费金额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  <w:tblCellSpacing w:w="0" w:type="dxa"/>
          <w:jc w:val="center"/>
        </w:trPr>
        <w:tc>
          <w:tcPr>
            <w:tcW w:w="249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行政事业性收费</w:t>
            </w:r>
          </w:p>
        </w:tc>
        <w:tc>
          <w:tcPr>
            <w:tcW w:w="5647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color w:val="333333"/>
                <w:sz w:val="24"/>
                <w:szCs w:val="24"/>
              </w:rPr>
              <w:t>0 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420"/>
        <w:jc w:val="left"/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50" w:lineRule="atLeast"/>
        <w:ind w:left="0" w:right="0" w:firstLine="0"/>
        <w:jc w:val="center"/>
        <w:rPr>
          <w:rFonts w:hint="eastAsia" w:ascii="微软雅黑" w:hAnsi="微软雅黑" w:eastAsia="微软雅黑" w:cs="微软雅黑"/>
          <w:i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075" w:type="dxa"/>
        <w:jc w:val="center"/>
        <w:tblCellSpacing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20"/>
        <w:gridCol w:w="854"/>
        <w:gridCol w:w="2277"/>
        <w:gridCol w:w="615"/>
        <w:gridCol w:w="750"/>
        <w:gridCol w:w="750"/>
        <w:gridCol w:w="810"/>
        <w:gridCol w:w="974"/>
        <w:gridCol w:w="720"/>
        <w:gridCol w:w="70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" w:hRule="atLeast"/>
          <w:tblCellSpacing w:w="0" w:type="dxa"/>
          <w:jc w:val="center"/>
        </w:trPr>
        <w:tc>
          <w:tcPr>
            <w:tcW w:w="3750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5310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0" w:hRule="atLeast"/>
          <w:tblCellSpacing w:w="0" w:type="dxa"/>
          <w:jc w:val="center"/>
        </w:trPr>
        <w:tc>
          <w:tcPr>
            <w:tcW w:w="375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自然人</w:t>
            </w:r>
          </w:p>
        </w:tc>
        <w:tc>
          <w:tcPr>
            <w:tcW w:w="400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法人或其他组织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0" w:hRule="atLeast"/>
          <w:tblCellSpacing w:w="0" w:type="dxa"/>
          <w:jc w:val="center"/>
        </w:trPr>
        <w:tc>
          <w:tcPr>
            <w:tcW w:w="3750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1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商业企业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科研机构</w:t>
            </w:r>
          </w:p>
        </w:tc>
        <w:tc>
          <w:tcPr>
            <w:tcW w:w="81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社会公益组织</w:t>
            </w:r>
          </w:p>
        </w:tc>
        <w:tc>
          <w:tcPr>
            <w:tcW w:w="97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法律服务机构</w:t>
            </w:r>
          </w:p>
        </w:tc>
        <w:tc>
          <w:tcPr>
            <w:tcW w:w="7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</w:t>
            </w:r>
          </w:p>
        </w:tc>
        <w:tc>
          <w:tcPr>
            <w:tcW w:w="69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default" w:ascii="Arial" w:hAnsi="Arial" w:cs="Arial"/>
                <w:color w:val="333333"/>
                <w:sz w:val="24"/>
                <w:szCs w:val="24"/>
                <w:lang w:val="en-US"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三、本年度办理结果</w:t>
            </w: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（一）予以公开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（二）部分公开（区分处理的，只计这一情形，不计其他情形）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（三）不予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公开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1.属于国家秘密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2.其他法律行政法规禁止公开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3.危及“三安全一稳定”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4.保护第三方合法权益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5.属于三类内部事务信息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6.属于四类过程性信息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7.属于行政执法案卷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8.属于行政查询事项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（四）无法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提供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1.本机关不掌握相关政府信息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2.没有现成信息需要另行制作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3.补正后申请内容仍不明确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（五）不予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处理</w:t>
            </w: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1.信访举报投诉类申请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2.重复申请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3.要求提供公开出版物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4.无正当理由大量反复申请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855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（六）其他处理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61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3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（七）总计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24"/>
                <w:szCs w:val="24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rFonts w:hint="eastAsia" w:eastAsia="宋体"/>
                <w:color w:val="333333"/>
                <w:sz w:val="21"/>
                <w:szCs w:val="21"/>
                <w:lang w:eastAsia="zh-CN"/>
              </w:rPr>
            </w:pPr>
            <w:r>
              <w:rPr>
                <w:rFonts w:hint="eastAsia" w:ascii="Arial" w:hAnsi="Arial" w:cs="Arial"/>
                <w:color w:val="333333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75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both"/>
              <w:rPr>
                <w:color w:val="333333"/>
                <w:sz w:val="24"/>
                <w:szCs w:val="24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四、结转下年度继续办理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81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97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5" w:lineRule="atLeast"/>
              <w:ind w:left="0" w:right="0" w:firstLine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Style w:val="5"/>
                <w:rFonts w:hint="eastAsia" w:ascii="微软雅黑" w:hAnsi="微软雅黑" w:eastAsia="微软雅黑" w:cs="微软雅黑"/>
                <w:color w:val="333333"/>
                <w:spacing w:val="0"/>
                <w:sz w:val="19"/>
                <w:szCs w:val="19"/>
                <w:shd w:val="clear" w:fill="FFFFFF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政府信息公开行政复议和行政诉讼情况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0" w:right="0" w:rightChars="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tbl>
      <w:tblPr>
        <w:tblStyle w:val="3"/>
        <w:tblW w:w="9075" w:type="dxa"/>
        <w:jc w:val="center"/>
        <w:tblCellSpacing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885"/>
        <w:gridCol w:w="600"/>
        <w:gridCol w:w="600"/>
        <w:gridCol w:w="600"/>
        <w:gridCol w:w="660"/>
        <w:gridCol w:w="555"/>
        <w:gridCol w:w="600"/>
        <w:gridCol w:w="600"/>
        <w:gridCol w:w="600"/>
        <w:gridCol w:w="480"/>
        <w:gridCol w:w="630"/>
        <w:gridCol w:w="585"/>
        <w:gridCol w:w="570"/>
        <w:gridCol w:w="615"/>
        <w:gridCol w:w="4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3345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行政复议</w:t>
            </w:r>
          </w:p>
        </w:tc>
        <w:tc>
          <w:tcPr>
            <w:tcW w:w="573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660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  <w:tc>
          <w:tcPr>
            <w:tcW w:w="283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未经复议直接起诉</w:t>
            </w:r>
          </w:p>
        </w:tc>
        <w:tc>
          <w:tcPr>
            <w:tcW w:w="288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0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0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4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结果维持</w:t>
            </w:r>
          </w:p>
        </w:tc>
        <w:tc>
          <w:tcPr>
            <w:tcW w:w="5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结果纠正</w:t>
            </w:r>
          </w:p>
        </w:tc>
        <w:tc>
          <w:tcPr>
            <w:tcW w:w="5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其他结果</w:t>
            </w:r>
          </w:p>
        </w:tc>
        <w:tc>
          <w:tcPr>
            <w:tcW w:w="61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尚未审结</w:t>
            </w:r>
          </w:p>
        </w:tc>
        <w:tc>
          <w:tcPr>
            <w:tcW w:w="48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15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Arial" w:hAnsi="Arial" w:cs="Arial"/>
                <w:color w:val="333333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885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6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5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5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61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  <w:tc>
          <w:tcPr>
            <w:tcW w:w="48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tcMar>
              <w:left w:w="105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50" w:lineRule="atLeast"/>
              <w:ind w:left="0" w:right="0" w:firstLine="0"/>
              <w:jc w:val="center"/>
              <w:rPr>
                <w:color w:val="333333"/>
                <w:sz w:val="21"/>
                <w:szCs w:val="21"/>
              </w:rPr>
            </w:pPr>
            <w:r>
              <w:rPr>
                <w:rFonts w:hint="default" w:ascii="Times New Roman" w:hAnsi="Times New Roman" w:cs="Times New Roman"/>
                <w:color w:val="333333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微软雅黑" w:hAnsi="微软雅黑" w:eastAsia="微软雅黑" w:cs="微软雅黑"/>
          <w:b/>
          <w:i w:val="0"/>
          <w:caps w:val="0"/>
          <w:color w:val="333333"/>
          <w:spacing w:val="0"/>
          <w:sz w:val="19"/>
          <w:szCs w:val="19"/>
          <w:shd w:val="clear" w:color="auto" w:fill="FFFFFF"/>
        </w:rPr>
      </w:pPr>
      <w:r>
        <w:rPr>
          <w:rFonts w:hint="eastAsia" w:ascii="微软雅黑" w:hAnsi="微软雅黑" w:eastAsia="微软雅黑" w:cs="微软雅黑"/>
          <w:b/>
          <w:i w:val="0"/>
          <w:caps w:val="0"/>
          <w:color w:val="333333"/>
          <w:spacing w:val="0"/>
          <w:sz w:val="19"/>
          <w:szCs w:val="19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（一）存在主要问题：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 w:bidi="ar"/>
        </w:rPr>
        <w:t>一是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信息公开的内容有待进一步完善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信息的质量参差不齐；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二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是新媒体影响力不足，</w:t>
      </w:r>
      <w:r>
        <w:rPr>
          <w:rFonts w:hint="eastAsia" w:ascii="仿宋_GB2312" w:hAnsi="仿宋_GB2312" w:eastAsia="仿宋_GB2312" w:cs="仿宋_GB2312"/>
          <w:sz w:val="32"/>
          <w:szCs w:val="32"/>
        </w:rPr>
        <w:t>目前还是通过中心网站的方式进行信息公开，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bidi="ar"/>
        </w:rPr>
        <w:t>微信公众号关注人数不高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（二）改进措施：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对群众关注的政务信息继续及时、准确、规范的公布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我单位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有关信息，提高信息公开的数量和质量，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为社会公众查询提供便利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；二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逐步扩大公开内容。对机关日常工作形成的信息认真梳理，逐步扩大公开的范围和内容，对原有的政府信息公开目录进行补充完善，保证公开信息的完整性和准确性。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公开渠道除政府网站外，还将加大政务微信公众号等新社交媒体的公开力度。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</w:t>
      </w: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</w:rPr>
        <w:t>　六、其他需要报告的事项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（一）依据《政府信息公开信息处理费管理办法》收取信息处理费情况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2021年，本单位未收到政府信息公开申请，未收取相关费用。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（二）落实上级年度政务公开工作要点情况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高度重视信息公开工作，严格按照上级年度政务公开工作部署要求，安排专人参加政务公开培训，提供数据材料，积极配合政府信息公开工作，做到应公开尽公开，所需公开的信息均在我局信息公开网中进行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（三）人大代表建议、政协委员提案办理结果公开情况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2021年，本单位未收到人大代表建议、政协委员提案。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（四）本机关年度政务公开工作创新情况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2021年，本单位积极探索特色服务，创新服务方式，通过新增图片解读等方式开展扶持政策解读，切实让企业看得到、听得懂、易获取、能监督、好参与。充分利用政府网站新改版升级的专题专栏，将相关信息逐一上网发布，有效发挥政务新媒体作用，使其内容多元化和优质化，树立政府畅通信息发布形象，更快更好地促进我区科技发展和社会的全面进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（五）所属事业单位信息公开工作推进措施和落实情况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本单位无下属事业单位。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eastAsia="仿宋_GB2312" w:cs="Times New Roman"/>
          <w:sz w:val="32"/>
          <w:szCs w:val="32"/>
          <w:lang w:eastAsia="zh-CN"/>
        </w:rPr>
      </w:pPr>
    </w:p>
    <w:p/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9F7169"/>
    <w:multiLevelType w:val="singleLevel"/>
    <w:tmpl w:val="D69F7169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38C76D3"/>
    <w:multiLevelType w:val="singleLevel"/>
    <w:tmpl w:val="438C76D3"/>
    <w:lvl w:ilvl="0" w:tentative="0">
      <w:start w:val="4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0Y2IyNjQ3MDk0MmE0NGM0ZDU5YzM0MDg5MWZhZmEifQ=="/>
  </w:docVars>
  <w:rsids>
    <w:rsidRoot w:val="00000000"/>
    <w:rsid w:val="03E963B2"/>
    <w:rsid w:val="0B265195"/>
    <w:rsid w:val="10A45370"/>
    <w:rsid w:val="18440DF9"/>
    <w:rsid w:val="1BF8042F"/>
    <w:rsid w:val="2A7F78B1"/>
    <w:rsid w:val="2B033857"/>
    <w:rsid w:val="33322B72"/>
    <w:rsid w:val="38CE715D"/>
    <w:rsid w:val="3DA048EF"/>
    <w:rsid w:val="4AE55085"/>
    <w:rsid w:val="4B626577"/>
    <w:rsid w:val="529C2FDE"/>
    <w:rsid w:val="52C647A0"/>
    <w:rsid w:val="576220B9"/>
    <w:rsid w:val="5BA30978"/>
    <w:rsid w:val="5FDD6EC5"/>
    <w:rsid w:val="63921AFE"/>
    <w:rsid w:val="6B12125D"/>
    <w:rsid w:val="7B205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Body text|1"/>
    <w:basedOn w:val="1"/>
    <w:link w:val="7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character" w:customStyle="1" w:styleId="7">
    <w:name w:val="Body text|1_"/>
    <w:basedOn w:val="4"/>
    <w:link w:val="6"/>
    <w:qFormat/>
    <w:uiPriority w:val="0"/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20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j-lt"/>
                <a:ea typeface="+mj-ea"/>
                <a:cs typeface="+mj-cs"/>
              </a:defRPr>
            </a:pPr>
            <a:r>
              <a:rPr sz="1400"/>
              <a:t>信息公开发布数量对比图</a:t>
            </a:r>
            <a:endParaRPr sz="1400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06845"/>
          <c:y val="0.1295"/>
          <c:w val="0.905175"/>
          <c:h val="0.716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Sheet1!$B$2:$B$4</c:f>
              <c:numCache>
                <c:formatCode>General</c:formatCode>
                <c:ptCount val="3"/>
                <c:pt idx="0">
                  <c:v>64</c:v>
                </c:pt>
                <c:pt idx="1">
                  <c:v>64</c:v>
                </c:pt>
                <c:pt idx="2">
                  <c:v>0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2021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Sheet1!$A$2:$A$4</c:f>
              <c:strCache>
                <c:ptCount val="3"/>
                <c:pt idx="0">
                  <c:v>主动公开</c:v>
                </c:pt>
                <c:pt idx="1">
                  <c:v>政府网站</c:v>
                </c:pt>
                <c:pt idx="2">
                  <c:v>政务微信</c:v>
                </c:pt>
              </c:strCache>
            </c:strRef>
          </c:cat>
          <c:val>
            <c:numRef>
              <c:f>Sheet1!$C$2:$C$4</c:f>
              <c:numCache>
                <c:formatCode>General</c:formatCode>
                <c:ptCount val="3"/>
                <c:pt idx="0">
                  <c:v>106</c:v>
                </c:pt>
                <c:pt idx="1">
                  <c:v>54</c:v>
                </c:pt>
                <c:pt idx="2">
                  <c:v>52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99"/>
        <c:overlap val="0"/>
        <c:axId val="916003886"/>
        <c:axId val="514589770"/>
      </c:barChart>
      <c:catAx>
        <c:axId val="916003886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cap="none" spc="0" normalizeH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14589770"/>
        <c:crosses val="autoZero"/>
        <c:auto val="1"/>
        <c:lblAlgn val="ctr"/>
        <c:lblOffset val="100"/>
        <c:noMultiLvlLbl val="0"/>
      </c:catAx>
      <c:valAx>
        <c:axId val="51458977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9525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1600388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ayout>
        <c:manualLayout>
          <c:xMode val="edge"/>
          <c:yMode val="edge"/>
          <c:x val="0.4645625"/>
          <c:y val="0.129333333333333"/>
        </c:manualLayout>
      </c:layout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b="0" kern="1200" cap="none" spc="0" normalizeH="0" baseline="0"/>
  </cs:categoryAxis>
  <cs:chartArea mods="allowNoFillOverride allowNoLineOverride">
    <cs:lnRef idx="0"/>
    <cs:fillRef idx="0"/>
    <cs:effectRef idx="0"/>
    <cs:fontRef idx="minor">
      <a:schemeClr val="dk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dk1">
          <a:lumMod val="15000"/>
          <a:lumOff val="85000"/>
        </a:schemeClr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8100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</cs:spPr>
  </cs:dataPointMarker>
  <cs:dataPointMarkerLayout symbol="circle" size="8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ln w="9525">
        <a:solidFill>
          <a:schemeClr val="tx1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75000"/>
          <a:lumOff val="25000"/>
        </a:schemeClr>
      </a:solidFill>
      <a:ln w="9525">
        <a:solidFill>
          <a:schemeClr val="tx1">
            <a:lumMod val="50000"/>
            <a:lumOff val="50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dk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50000"/>
            <a:lumOff val="5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ajor">
      <a:schemeClr val="tx1">
        <a:lumMod val="65000"/>
        <a:lumOff val="35000"/>
      </a:schemeClr>
    </cs:fontRef>
    <cs:defRPr sz="2000" b="0" kern="1200" cap="none" spc="0" normalizeH="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  <a:round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50000"/>
            <a:lumOff val="50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2910</Words>
  <Characters>3032</Characters>
  <Lines>0</Lines>
  <Paragraphs>0</Paragraphs>
  <TotalTime>20</TotalTime>
  <ScaleCrop>false</ScaleCrop>
  <LinksUpToDate>false</LinksUpToDate>
  <CharactersWithSpaces>3038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2020-09-23T02:02:00Z</dcterms:created>
  <dc:creator>Administrator</dc:creator>
  <cp:lastModifiedBy>李泽</cp:lastModifiedBy>
  <cp:lastPrinted>2022-01-12T09:00:00Z</cp:lastPrinted>
  <dcterms:modified xsi:type="dcterms:W3CDTF">2025-12-12T03:22:45Z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575E7014A44741D095C19E01AF182D87</vt:lpwstr>
  </property>
</Properties>
</file>