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bdr w:val="none" w:color="auto" w:sz="0" w:space="0"/>
        </w:rPr>
        <w:t>威海市环翠区人民政府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bdr w:val="none" w:color="auto" w:sz="0" w:space="0"/>
        </w:rPr>
        <w:t>关于全面实行行政许可事项清单管理的通知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color w:val="auto"/>
          <w:sz w:val="32"/>
          <w:szCs w:val="32"/>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jc w:val="lef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bdr w:val="none" w:color="auto" w:sz="0" w:space="0"/>
        </w:rPr>
        <w:t>各镇政府、街道办事处，里口山管理服务中心，区政府各部门、单位：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bdr w:val="none" w:color="auto" w:sz="0" w:space="0"/>
        </w:rPr>
        <w:t>为深入学习贯彻习近平新时代中国特色社会主义思想，全面贯彻党的十九大和十九届历次全会精神，认真落实党中央、国务院关于深化“放管服”改革优化营商环境的决策部署和省委、省政府工作要求，正确处理政府和市场、政府和社会的关系，持续深入优化营商环境和推进政府职能转变，根据《国务院办公厅关于全面实行行政许可事项清单管理的通知》（国办发〔2022〕2号）《山东省人民政府关于全面实行行政许可事项清单管理的通知》（鲁政发〔2022〕10号）和《威海市人民政府关于全面实行行政许可事项清单管理的通知》（威政发〔2022〕13号）要求，现公布《威海市环翠区行政许可事项清单（2022年版）》，并就全面实行行政许可事项清单管理有关事项通知如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eastAsia" w:ascii="黑体" w:hAnsi="黑体" w:eastAsia="黑体" w:cs="黑体"/>
          <w:color w:val="auto"/>
          <w:sz w:val="32"/>
          <w:szCs w:val="32"/>
        </w:rPr>
      </w:pPr>
      <w:r>
        <w:rPr>
          <w:rFonts w:hint="eastAsia" w:ascii="黑体" w:hAnsi="黑体" w:eastAsia="黑体" w:cs="黑体"/>
          <w:color w:val="auto"/>
          <w:sz w:val="32"/>
          <w:szCs w:val="32"/>
          <w:bdr w:val="none" w:color="auto" w:sz="0" w:space="0"/>
        </w:rPr>
        <w:t>一、构建行政许可事项清单体系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bdr w:val="none" w:color="auto" w:sz="0" w:space="0"/>
        </w:rPr>
        <w:t>（一）对外公布区级行政许可事项清单。《威海市环翠区行政许可事项清单（2022年版）》共涉及依法设定的区级行政许可事项227项，均在上级清单设定、本级实施的事项范围，清单之外一律不得违法实施行政许可。区政府办公室作为全区推进行政审批制度改革工作的牵头机构，2022年8月底前，负责将区级行政许可事项清单对外公开。公开内容包括事项名称、主管部门、实施机关、设定和实施依据等基本要素。</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bdr w:val="none" w:color="auto" w:sz="0" w:space="0"/>
        </w:rPr>
        <w:t>（二）制定完善行政许可实施规范。2022年10月底前，对清单内事项逐项编制行政许可实施规范。省级主管部门将根据山东省行政许可事项清单，结合中央主管部门制定的实施规范，进一步明确子项、办理项等实施要素，制定全省统一的实施规范并向社会公布。区政府办公室负责组织本级主管部门细化完善行政许可实施规范并向社会公布。上级主管部门已经明确的实施要素，下级主管部门要严格保持一致，或者作出有利于行政相对人的优化调整。对实行相对集中行政许可权改革的事项，要按照改革方案明确实施机关、监管主体等实施要素，并保持区域范围内相对统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bdr w:val="none" w:color="auto" w:sz="0" w:space="0"/>
        </w:rPr>
        <w:t>（三）更新优化行政许可办事指南。2022年11月底前，全区行政许可实施机关负责会同主管部门依照行政许可事项清单和实施规范更新调整办事指南，同步在相关业务办理系统、政务服务大厅等平台和场所进行更新，并汇集至全国行政许可管理系统，做到线上线下同源发布、同步更新、内容一致。办事指南一经公布，必须严格遵照执行，不得随意增加许可条件、申请材料、中介服务、审批环节、收费、数量限制等，不得超时限办理行政许可，但可以作出有利于行政相对人的合理优化调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黑体" w:hAnsi="黑体" w:eastAsia="黑体" w:cs="黑体"/>
          <w:color w:val="auto"/>
          <w:sz w:val="32"/>
          <w:szCs w:val="32"/>
        </w:rPr>
      </w:pPr>
      <w:r>
        <w:rPr>
          <w:rFonts w:hint="default" w:ascii="黑体" w:hAnsi="黑体" w:eastAsia="黑体" w:cs="黑体"/>
          <w:color w:val="auto"/>
          <w:sz w:val="32"/>
          <w:szCs w:val="32"/>
        </w:rPr>
        <w:t>二、加强行政许可事项清单管理运用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bdr w:val="none" w:color="auto" w:sz="0" w:space="0"/>
        </w:rPr>
        <w:t>（一）健全许可事项清单管理机制。严格贯彻落实山东省行政许可事项清单动态管理有关规定，建立行政许可事项清单动态管理机制，及时更新行政许可事项清单、实施规范和办事指南，确保清单与法律法规规章的“立改废”及时有效衔接，与行政审批制度改革决策协调联动。政务服务事项基本目录、“互联网+监管”事项清单、投资项目审批事项清单、工程建设项目审批事项清单等涉及的行政许可事项，要与行政许可事项清单保持一致，确保行政许可事项清单权威准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bdr w:val="none" w:color="auto" w:sz="0" w:space="0"/>
        </w:rPr>
        <w:t>（二）严肃清查整治变相许可。严格落实清单之外一律不得违法实施行政许可的要求。在行政许可事项清单之外，行政机关和其他具有管理公共事务职能的组织不得以备案、证明、目录、计划、规划、指定、认证、年检等名义，要求行政相对人经申请获批后方可从事特定活动。区政府办公室要会同司法行政等部门，加大清理整治工作力度，防止扩大审批范围、实施变相行政许可等行为。对实施变相行政许可的，要通过停止实施、调整实施方式、完善设定依据等予以纠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bdr w:val="none" w:color="auto" w:sz="0" w:space="0"/>
        </w:rPr>
        <w:t>（三）依法依规守牢监管底线。严格依照法律法规、“三定”规定和相对集中行政许可权改革方案，确定行政许可事项的监管主体和监管职责。对多部门共同承担监管职责的事项，主管部门应当会同相关部门实施综合监管。有关部门之间就监管主体存在争议的，报区政府决定。对清单内的许可事项，主管部门要会同监管主体科学划分风险等级，明确监管重点，实施有针对性、差异化的监管政策。对国务院部门制定的监管规则和标准，各级监管主体要严格执行。对划转至行政审批服务局实施的行政许可事项，要及时组织修订审管衔接备忘录，依法界定相关部门及综合执法机构之间的职责关系，逐项理顺职责分工，明确职责边界，确保审批监管工作有效衔接。对调整实施层级的行政许可事项，主管部门要会同实施机关，明确监管主体、监管职责，逐项制定监管规则和标准，加强指导培训和监督检查，防止一放了之。对取消或许可改为备案的事项，主管部门要逐项制定加强事中事后监管的措施，防止监管缺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bdr w:val="none" w:color="auto" w:sz="0" w:space="0"/>
        </w:rPr>
        <w:t>（四）优化线上线下审批服务。主管部门和实施机关要依托全国行政许可管理系统和“爱山东”政务服务平台事项管理系统，推动同一事项在不同地区、层级和业务系统同要素管理、同标准办理。按照“网上办理优先、线上线下并行”要求，规范线上办事服务，统一网上办事入口，优化网上办事指引，提升网上办理深度；优化线下服务功能，规范政务服务场所设置，建立健全帮办代办服务体系，持续做好无障碍设施建设；强化线上线下审批服务深度融合，推动审批服务业务全流程模块化改造，切实提升企业和群众获得感、满意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黑体" w:hAnsi="黑体" w:eastAsia="黑体" w:cs="黑体"/>
          <w:color w:val="auto"/>
          <w:sz w:val="32"/>
          <w:szCs w:val="32"/>
        </w:rPr>
      </w:pPr>
      <w:r>
        <w:rPr>
          <w:rFonts w:hint="default" w:ascii="黑体" w:hAnsi="黑体" w:eastAsia="黑体" w:cs="黑体"/>
          <w:color w:val="auto"/>
          <w:sz w:val="32"/>
          <w:szCs w:val="32"/>
        </w:rPr>
        <w:t>三、保障行政许可事项清单落实</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bdr w:val="none" w:color="auto" w:sz="0" w:space="0"/>
        </w:rPr>
        <w:t>（一）加强组织领导。各级各部门要高度重视全面实行行政许可事项清单管理工作，建立健全工作推进机制，配齐配强行政审批制度改革力量，持之以恒抓好贯彻落实。要坚持系统思维，统筹推进行政许可事项等政务服务事项标准化、规范化、便利化，及时研究解决问题，确保行政许可事项清单落实落地、发挥实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bdr w:val="none" w:color="auto" w:sz="0" w:space="0"/>
        </w:rPr>
        <w:t>（二）做好工作衔接。区级主管部门要切实做好本系统行政许可事项清单管理工作，积极对接市级主管部门，结合行政审批制度改革实际，明确细化实施规范相关要素，推动构建分级负责、事项统一、权责清晰的行政许可事项清单体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bdr w:val="none" w:color="auto" w:sz="0" w:space="0"/>
        </w:rPr>
        <w:t>（三）强化监督问效。区政府办公室要加强对行政许可事项清单落实情况的监督检查，组织开展对行政许可事项实施情况的动态评估；要依托“12345政务服务便民热线”、政务服务“好差评”系统、政府门户网站等主动接受社会监督；要会同司法行政部门加强行政许可执法监督，对违法设定实施行政许可、实施变相许可、落实清单管理工作不到位等问题，责成有关部门限期整改，对于情节严重的，依法依规追责问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color w:val="auto"/>
          <w:sz w:val="32"/>
          <w:szCs w:val="32"/>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u w:val="none"/>
          <w:bdr w:val="none" w:color="auto" w:sz="0" w:space="0"/>
        </w:rPr>
        <w:fldChar w:fldCharType="begin"/>
      </w:r>
      <w:r>
        <w:rPr>
          <w:rFonts w:hint="default" w:ascii="Times New Roman" w:hAnsi="Times New Roman" w:eastAsia="仿宋_GB2312" w:cs="Times New Roman"/>
          <w:color w:val="auto"/>
          <w:sz w:val="32"/>
          <w:szCs w:val="32"/>
          <w:u w:val="none"/>
          <w:bdr w:val="none" w:color="auto" w:sz="0" w:space="0"/>
        </w:rPr>
        <w:instrText xml:space="preserve"> HYPERLINK "http://www.huancui.gov.cn/module/download/downfile.jsp?classid=0&amp;filename=b49b5782dca3418e8e5096a167d2ef97.pdf" </w:instrText>
      </w:r>
      <w:r>
        <w:rPr>
          <w:rFonts w:hint="default" w:ascii="Times New Roman" w:hAnsi="Times New Roman" w:eastAsia="仿宋_GB2312" w:cs="Times New Roman"/>
          <w:color w:val="auto"/>
          <w:sz w:val="32"/>
          <w:szCs w:val="32"/>
          <w:u w:val="none"/>
          <w:bdr w:val="none" w:color="auto" w:sz="0" w:space="0"/>
        </w:rPr>
        <w:fldChar w:fldCharType="separate"/>
      </w:r>
      <w:r>
        <w:rPr>
          <w:rStyle w:val="5"/>
          <w:rFonts w:hint="default" w:ascii="Times New Roman" w:hAnsi="Times New Roman" w:eastAsia="仿宋_GB2312" w:cs="Times New Roman"/>
          <w:color w:val="auto"/>
          <w:sz w:val="32"/>
          <w:szCs w:val="32"/>
          <w:u w:val="none"/>
          <w:bdr w:val="none" w:color="auto" w:sz="0" w:space="0"/>
        </w:rPr>
        <w:t>附件：威海市环翠区行政许可事项清单（2022年版）.pdf</w:t>
      </w:r>
      <w:r>
        <w:rPr>
          <w:rFonts w:hint="default" w:ascii="Times New Roman" w:hAnsi="Times New Roman" w:eastAsia="仿宋_GB2312" w:cs="Times New Roman"/>
          <w:color w:val="auto"/>
          <w:sz w:val="32"/>
          <w:szCs w:val="32"/>
          <w:u w:val="none"/>
          <w:bdr w:val="none" w:color="auto" w:sz="0" w:space="0"/>
        </w:rPr>
        <w:fldChar w:fldCharType="end"/>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color w:val="auto"/>
          <w:sz w:val="32"/>
          <w:szCs w:val="32"/>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right"/>
        <w:textAlignment w:val="auto"/>
        <w:rPr>
          <w:rFonts w:hint="default" w:ascii="Times New Roman" w:hAnsi="Times New Roman" w:eastAsia="仿宋_GB2312" w:cs="Times New Roman"/>
          <w:color w:val="auto"/>
          <w:sz w:val="32"/>
          <w:szCs w:val="32"/>
        </w:rPr>
      </w:pPr>
      <w:bookmarkStart w:id="0" w:name="_GoBack"/>
      <w:bookmarkEnd w:id="0"/>
      <w:r>
        <w:rPr>
          <w:rFonts w:hint="default" w:ascii="Times New Roman" w:hAnsi="Times New Roman" w:eastAsia="仿宋_GB2312" w:cs="Times New Roman"/>
          <w:color w:val="auto"/>
          <w:sz w:val="32"/>
          <w:szCs w:val="32"/>
          <w:bdr w:val="none" w:color="auto" w:sz="0" w:space="0"/>
        </w:rPr>
        <w:t>威海市环翠区人民政府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righ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bdr w:val="none" w:color="auto" w:sz="0" w:space="0"/>
        </w:rPr>
        <w:t>2022年8月26日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bdr w:val="none" w:color="auto" w:sz="0" w:space="0"/>
        </w:rPr>
        <w:t>（此件公开发布）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color w:val="auto"/>
          <w:sz w:val="32"/>
          <w:szCs w:val="32"/>
        </w:rPr>
      </w:pP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p>
    <w:sectPr>
      <w:pgSz w:w="11906" w:h="16838"/>
      <w:pgMar w:top="1701" w:right="1417" w:bottom="1701"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Microsoft Yahei">
    <w:altName w:val="URW Bookman"/>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URW Bookman">
    <w:panose1 w:val="00000400000000000000"/>
    <w:charset w:val="00"/>
    <w:family w:val="auto"/>
    <w:pitch w:val="default"/>
    <w:sig w:usb0="00000287" w:usb1="00000800" w:usb2="00000000" w:usb3="00000000" w:csb0="6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47F71003"/>
    <w:rsid w:val="4A1947CF"/>
    <w:rsid w:val="4F71F0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2018-07-11T15:11:00Z</dcterms:created>
  <dc:creator>d</dc:creator>
  <cp:lastModifiedBy>WPS_1528096066</cp:lastModifiedBy>
  <dcterms:modified xsi:type="dcterms:W3CDTF">2022-11-14T14:14:05Z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