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2D73B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威海市环翠区人力资源和社会保障局</w:t>
      </w:r>
    </w:p>
    <w:p w14:paraId="175E00F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2023年政府信息公开工作年度报告</w:t>
      </w:r>
    </w:p>
    <w:p w14:paraId="08008EE6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03CA2910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根据《中华人民共和国政府信息公开条例》（国务院令第711号，以下简称《条例》）和《中华人民共和国政府信息公开工作年度报告格式》（国办公开办函〔2021〕30号）要求，结合202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年威海市环翠区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人力资源和社会保障局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信息公开工作实际，编制发布本报告。</w:t>
      </w:r>
    </w:p>
    <w:p w14:paraId="6F603A01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本报告内容包括：总体情况、主动公开政府信息情况、收到和处理政府信息公开申请情况、政府信息公开行政复议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行政诉讼情况、存在的主要问题及改进情况、其他事项，以及相关指标统计附表等。报告中所列数据统计期限从202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年1月1日到12月31日止。报告电子版可从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威海市环翠区人民政府网站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网址：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instrText xml:space="preserve"> HYPERLINK "http://www.huancui.gov.cn/col/" </w:instrTex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fldChar w:fldCharType="separate"/>
      </w:r>
      <w:r>
        <w:rPr>
          <w:rStyle w:val="6"/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http://www.huancui.gov.cn/col/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fldChar w:fldCharType="end"/>
      </w:r>
    </w:p>
    <w:p w14:paraId="54F7ACAA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col82465/index.html）查阅或下载。公众如需进一步咨询了解相关信息，请与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威海市环翠区人力资源和社会保障局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联系（地址：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single"/>
          <w:lang w:eastAsia="zh-CN"/>
          <w14:textFill>
            <w14:solidFill>
              <w14:schemeClr w14:val="tx1"/>
            </w14:solidFill>
          </w14:textFill>
        </w:rPr>
        <w:t>威海市环翠区杏花西街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>1号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，电话：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single"/>
          <w:lang w:eastAsia="zh-CN"/>
          <w14:textFill>
            <w14:solidFill>
              <w14:schemeClr w14:val="tx1"/>
            </w14:solidFill>
          </w14:textFill>
        </w:rPr>
        <w:t>0631—522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>9296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）。</w:t>
      </w:r>
    </w:p>
    <w:p w14:paraId="516AD7E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一、总体情况</w:t>
      </w:r>
    </w:p>
    <w:p w14:paraId="1E700D1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2023年，威海市环翠区人力资源和社会保障局认真贯彻《条例》及区委、区政府的工作要求，全面推进人社领域的政务公开工作，进一步加大信息公开力度，切实保障人民群众的知情权、参与权和监督权，提升了工作透明度。</w:t>
      </w:r>
    </w:p>
    <w:p w14:paraId="6CD0213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主动公开方面。</w:t>
      </w: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区人力资源和社会保障局不断完善政府信息公开制度，通过政府网站公开各类信息共517条，主要包括：上传制发文件7件、公开人大代表建议办理情况3件、政协委员提案办理情况2件，发布优化营商环境信息120条、部门动态41条、通知公告72条、就业政策17条、职业指导15条、补贴信息30条、职业培训68条、就业服务42条、社会保险13条、部门会议13条、单位预决算信息6条、政务公开工作措施8条，其他信息60条。</w:t>
      </w:r>
    </w:p>
    <w:p w14:paraId="30630E6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依申请公开工作方面。</w:t>
      </w: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2023年，我局收到公开政府信息申请2件，其中1件网络平台形式申请，1件通过信函邮寄形式申请。从依申请公开政府信息内容上来分，养老保险类1件，政策咨询1件。本年度所有政府信息公开申请均按时答复，没有发生依申请公开行政复议和行政诉讼情况。</w:t>
      </w:r>
    </w:p>
    <w:p w14:paraId="324E0E5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政府信息管理方面。</w:t>
      </w:r>
    </w:p>
    <w:p w14:paraId="20FF77E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认真落实政府信息公开审核和保密审查制度，进一步完善政府信息公开工作各项制度规范，严格落实“三审三校”等相关要求，确保发布的信息内容无涉密内容。进一步加强制发文件管理，积极做好新文件库的信息录入工作，同时对现行规范性文件进行清理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2023年录入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文件库文件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件。</w:t>
      </w:r>
    </w:p>
    <w:p w14:paraId="2F57E6F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平台建设方面。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依托环翠区人民政府网站平台，进一步健全完善政府信息公开工作格局，及时公开社会保险基金运行情况、岗位供求信息，职业培训信息以及各项就业创业政策等，进一步增强了办事公开透明度，提高了公共管理和服务水平。同时加大最威海是环翠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APP、大众网、山东商报、海报新闻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等新媒体的合作力度，及时发布各类工作动态、惠企惠民政策等，不断提升政府信息公开的效能。202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年度，大众网等平台累计发布及转发信息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383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篇。</w:t>
      </w:r>
    </w:p>
    <w:p w14:paraId="4E76056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监督保障方面。</w:t>
      </w: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进一步完善政府信息公开工作机制，及时调整局政府信息工作领导小组成员，确保各项工作责任到人、落实到位。按要求组织召开政府信息公开工作专题会议，主要负责同志亲自调度、亲自部署，确保各项工作及时推进到位。按要求组织开展政府信息公开工作培训，不断提高工作人员工作能力和水平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。</w:t>
      </w:r>
    </w:p>
    <w:p w14:paraId="7D7B7FC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二、主动公开政府信息情况</w:t>
      </w:r>
    </w:p>
    <w:tbl>
      <w:tblPr>
        <w:tblStyle w:val="4"/>
        <w:tblW w:w="958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95"/>
        <w:gridCol w:w="2395"/>
        <w:gridCol w:w="2395"/>
        <w:gridCol w:w="2395"/>
      </w:tblGrid>
      <w:tr w14:paraId="1CFDF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8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A2A196F"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第二十条第（一）项</w:t>
            </w:r>
          </w:p>
        </w:tc>
      </w:tr>
      <w:tr w14:paraId="42081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458485B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23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4CA8B5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本年制发件数</w:t>
            </w:r>
          </w:p>
        </w:tc>
        <w:tc>
          <w:tcPr>
            <w:tcW w:w="23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2B1E3C1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本年废止件数</w:t>
            </w:r>
          </w:p>
        </w:tc>
        <w:tc>
          <w:tcPr>
            <w:tcW w:w="23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43B6D31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现行有效件数</w:t>
            </w:r>
          </w:p>
        </w:tc>
      </w:tr>
      <w:tr w14:paraId="5A2916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DDF7093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规章</w:t>
            </w:r>
          </w:p>
        </w:tc>
        <w:tc>
          <w:tcPr>
            <w:tcW w:w="23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87EB1DF"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3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8E04338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3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7262966"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4058B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CDC4A4E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行政规范性文件</w:t>
            </w:r>
          </w:p>
        </w:tc>
        <w:tc>
          <w:tcPr>
            <w:tcW w:w="23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2CB510E"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3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CF5E931"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3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42DB5ED"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bookmarkStart w:id="10" w:name="_GoBack"/>
            <w:bookmarkEnd w:id="10"/>
          </w:p>
        </w:tc>
      </w:tr>
      <w:tr w14:paraId="68B861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8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1CBF125"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第二十条第（五）项</w:t>
            </w:r>
          </w:p>
        </w:tc>
      </w:tr>
      <w:tr w14:paraId="3D32B8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6101284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718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35C731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367EA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9E90479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718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0A0D2F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22BA5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8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29A50F7"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第二十条第（六）项</w:t>
            </w:r>
          </w:p>
        </w:tc>
      </w:tr>
      <w:tr w14:paraId="6C9E4B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3EE2429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718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1D4C7B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453E7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6C68B0B6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行政处罚</w:t>
            </w:r>
          </w:p>
        </w:tc>
        <w:tc>
          <w:tcPr>
            <w:tcW w:w="7185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F12E4CE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</w:tr>
      <w:tr w14:paraId="04CF75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2F7B3D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行政强制</w:t>
            </w:r>
          </w:p>
        </w:tc>
        <w:tc>
          <w:tcPr>
            <w:tcW w:w="71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4429F3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18042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80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36403BE"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第二十条第（八）项</w:t>
            </w:r>
          </w:p>
        </w:tc>
      </w:tr>
      <w:tr w14:paraId="69008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86C0796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718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14323EA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本年收费金额（单位：万元）</w:t>
            </w:r>
          </w:p>
        </w:tc>
      </w:tr>
      <w:tr w14:paraId="55BC1F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6F891E0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行政事业性收费</w:t>
            </w:r>
          </w:p>
        </w:tc>
        <w:tc>
          <w:tcPr>
            <w:tcW w:w="718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F9EA84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1.766</w:t>
            </w:r>
          </w:p>
        </w:tc>
      </w:tr>
    </w:tbl>
    <w:p w14:paraId="2589DEA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三、收到和处理政府信息公开申请情况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54A83AF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6CFDD6">
            <w:pPr>
              <w:widowControl/>
              <w:jc w:val="center"/>
              <w:rPr>
                <w:rFonts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（本列数据的勾稽关系为：第一项加第二项之和，</w:t>
            </w:r>
          </w:p>
          <w:p w14:paraId="3436E103">
            <w:pPr>
              <w:widowControl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BD70A7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申请人情况</w:t>
            </w:r>
          </w:p>
        </w:tc>
      </w:tr>
      <w:tr w14:paraId="39BBA42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DF3F8F">
            <w:pPr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2F8655">
            <w:pPr>
              <w:widowControl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09F5BB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E24D0B">
            <w:pPr>
              <w:widowControl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 w14:paraId="08EDD57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B5EE15">
            <w:pPr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8A8206">
            <w:pPr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AF6732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9981D7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C3D31F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DAB6CB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23C288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A2700E">
            <w:pPr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118FFD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15F7DC"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1106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D30E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C31C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E4B5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F4E4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5BFA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3C8D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</w:tr>
      <w:tr w14:paraId="54ED2B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8B87C4"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56C1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BCCC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8627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147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8073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50BA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E214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9C9DD0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FC89A8">
            <w:pPr>
              <w:widowControl/>
              <w:spacing w:after="180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9B5CD6"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667F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C36C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8AA4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5258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394E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D2B9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8C88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</w:tr>
      <w:tr w14:paraId="5C8FA75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3C649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231034"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31AD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2B22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439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7C3D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EDEE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27A0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55A8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66F43F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376EE4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11E86B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4F1824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744E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39D0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35AF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D69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DC24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B030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D509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1C88BF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05EDA8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A3DDA5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EC85C2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3551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6A59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E7BA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FF6E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E56F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DDDE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B564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3797BB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87F9D4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FCDAE7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47AED6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2183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F5D7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321E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02DC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4335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1823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D07A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55F788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B5F83F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FE336B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4F76F9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3149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2BB8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0599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C24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8C87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731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A5C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BB024D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3E7BEA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F42E7D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32E4A6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47A8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5D55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1D0F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0E85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36B7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7BF3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D99D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246B47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ACE01F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039869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157D7C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2DE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B19E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6F12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1855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35BE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AE70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334D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D29B4D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A9150F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E6A749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7DD76F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2423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DEA7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E761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1B7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F933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9202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5182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E97471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44F69B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DAB9B4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57A957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5987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EEBB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4E64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367B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BB1E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CE9E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13C2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111D7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1A4147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77DC3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6C2997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FF4D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1E87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B1A8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A831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EA7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650E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45C4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C0A6F1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CEB9B0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A7348A">
            <w:pPr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BF589A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ED9E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78E0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8647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0EB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FA72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021C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D6CD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5E633B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AB2062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4B2B04">
            <w:pPr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CC45B6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A51B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4BE3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DCCC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413B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A4A4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540C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48FD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98E6AD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DA70E0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2BDA7C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0EC150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81A2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8B7B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C71F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D6AD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3465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3B9B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9ABF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BB01E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F2F31C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BAFC57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7FADB6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0B32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E905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EA61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4043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3342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E11B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A697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C39CF3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8B4745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B5C60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191160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ABC7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7127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63C9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B3B0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E9AB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B635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A7C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393466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0887E8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87633E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B5BEC8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60C1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2601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24DC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603F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F96C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96A9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E19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F0CF72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E1FAF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4246B6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404170">
            <w:pPr>
              <w:widowControl/>
              <w:spacing w:line="3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5.要求行政机关确认或重新</w:t>
            </w:r>
          </w:p>
          <w:p w14:paraId="7419B3F3"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22E3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E8D1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3E6B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9299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AEC0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8696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5483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8C1C24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DB8AF5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9BFCA5"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87E73E8">
            <w:pPr>
              <w:widowControl/>
              <w:spacing w:line="300" w:lineRule="exact"/>
              <w:rPr>
                <w:rFonts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024B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35D3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69A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5FED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628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5B37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2F51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7DA753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B3F6B8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DAB5F"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E9B8A70">
            <w:pPr>
              <w:widowControl/>
              <w:spacing w:line="3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C030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2E83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B359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A312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97C2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56DB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F8D6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A0E72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7EF8B4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5AF669"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9AF8B74">
            <w:pPr>
              <w:widowControl/>
              <w:spacing w:line="3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8A0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FB3B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B4CE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F3BC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A4A7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B9A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C28F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2E9B58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1A09FA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5B3178"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BF1F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2700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FA17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7725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8BC7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6CB7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DF75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</w:tr>
      <w:tr w14:paraId="6FC9FE0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FBCB5"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CE0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8CB0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015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A4E4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1879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8FBA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5BAC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4B600D5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四、政府信息公开行政复议、行政诉讼情况</w:t>
      </w:r>
    </w:p>
    <w:tbl>
      <w:tblPr>
        <w:tblStyle w:val="4"/>
        <w:tblW w:w="959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8"/>
        <w:gridCol w:w="638"/>
        <w:gridCol w:w="638"/>
        <w:gridCol w:w="638"/>
        <w:gridCol w:w="701"/>
        <w:gridCol w:w="581"/>
        <w:gridCol w:w="639"/>
        <w:gridCol w:w="639"/>
        <w:gridCol w:w="639"/>
        <w:gridCol w:w="645"/>
        <w:gridCol w:w="639"/>
        <w:gridCol w:w="639"/>
        <w:gridCol w:w="639"/>
        <w:gridCol w:w="640"/>
        <w:gridCol w:w="646"/>
      </w:tblGrid>
      <w:tr w14:paraId="28D0B07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7" w:hRule="atLeast"/>
          <w:jc w:val="center"/>
        </w:trPr>
        <w:tc>
          <w:tcPr>
            <w:tcW w:w="325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84657C"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行政复议</w:t>
            </w:r>
          </w:p>
        </w:tc>
        <w:tc>
          <w:tcPr>
            <w:tcW w:w="6346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83905C"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行政诉讼</w:t>
            </w:r>
          </w:p>
        </w:tc>
      </w:tr>
      <w:tr w14:paraId="0CF5BC2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7" w:hRule="atLeast"/>
          <w:jc w:val="center"/>
        </w:trPr>
        <w:tc>
          <w:tcPr>
            <w:tcW w:w="638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091E30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 w14:paraId="5DFC9F1F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维持</w:t>
            </w:r>
          </w:p>
        </w:tc>
        <w:tc>
          <w:tcPr>
            <w:tcW w:w="63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E933BC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3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B3E00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63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93D0B0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 w14:paraId="5AEE48E1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701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C09D19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</w:t>
            </w:r>
          </w:p>
          <w:p w14:paraId="1428B4C9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计</w:t>
            </w:r>
          </w:p>
        </w:tc>
        <w:tc>
          <w:tcPr>
            <w:tcW w:w="314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E24AFE"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未经复议直接起诉</w:t>
            </w:r>
          </w:p>
        </w:tc>
        <w:tc>
          <w:tcPr>
            <w:tcW w:w="320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425AFF"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bookmarkStart w:id="9" w:name="_Hlk67039688"/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复议后起诉</w:t>
            </w:r>
            <w:bookmarkEnd w:id="9"/>
          </w:p>
        </w:tc>
      </w:tr>
      <w:tr w14:paraId="61C22D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atLeast"/>
          <w:jc w:val="center"/>
        </w:trPr>
        <w:tc>
          <w:tcPr>
            <w:tcW w:w="63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F1F759"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20DBC5"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CC844A"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B789C"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1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24561E"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40DA3F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62E785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3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5E95D8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 w14:paraId="375A820D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3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AF8C23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 w14:paraId="6C82D991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4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928C5C"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63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ABC593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3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63DFE6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 w14:paraId="7EDC7BE9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纠正</w:t>
            </w:r>
          </w:p>
        </w:tc>
        <w:tc>
          <w:tcPr>
            <w:tcW w:w="63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23BC38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 w14:paraId="55CACA48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4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73A9E3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64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A8101C"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 w14:paraId="188306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  <w:jc w:val="center"/>
        </w:trPr>
        <w:tc>
          <w:tcPr>
            <w:tcW w:w="6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BDD7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1488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E2FC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2F46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F49B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7148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CE58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7C6A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A32C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14EF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EE9E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AE78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766F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82C3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83CE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1FCC8689">
      <w:pPr>
        <w:widowControl/>
        <w:jc w:val="left"/>
        <w:rPr>
          <w:rFonts w:hint="eastAsia" w:ascii="仿宋_GB2312" w:hAnsi="Calibri" w:eastAsia="仿宋_GB2312" w:cs="Calibri"/>
          <w:color w:val="000000" w:themeColor="text1"/>
          <w:kern w:val="0"/>
          <w:szCs w:val="21"/>
          <w:lang w:val="en-US" w:eastAsia="zh-CN"/>
          <w14:textFill>
            <w14:solidFill>
              <w14:schemeClr w14:val="tx1"/>
            </w14:solidFill>
          </w14:textFill>
        </w:rPr>
      </w:pPr>
    </w:p>
    <w:p w14:paraId="3A258D89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存在的主要问题及改进情况</w:t>
      </w:r>
    </w:p>
    <w:p w14:paraId="32F84B31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政府信息公开工作经验做法总结不及时，创新性举措缺乏。</w:t>
      </w:r>
      <w:r>
        <w:rPr>
          <w:rFonts w:hint="eastAsia" w:ascii="仿宋_GB2312" w:hAnsi="仿宋_GB2312" w:eastAsia="仿宋_GB2312" w:cs="仿宋_GB2312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工作中经验做法未能及时总结宣传，工作做法未有突破。</w:t>
      </w:r>
    </w:p>
    <w:p w14:paraId="4E7028EF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下一步，将进一步细化各项工作要求，制定具体工作计划，定期上报政府信息公开工作经验做法；同时，向其他单位积极学习政府信息公开工作经验做法，不断提升本单位工作水平。</w:t>
      </w:r>
    </w:p>
    <w:p w14:paraId="367868A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六、其他需要报告的事项</w:t>
      </w:r>
    </w:p>
    <w:p w14:paraId="7F162E87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政府信息公开收费方面：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威海市环翠区人力资源和社会保障局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未收取政府信息公开信息处理费。</w:t>
      </w:r>
    </w:p>
    <w:p w14:paraId="42B5C2B9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人大代表、政协委员提案办理方面：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威海市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环翠区人力资源和社会保障局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共承办市人大代表建议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件、政协提案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件。</w:t>
      </w:r>
    </w:p>
    <w:p w14:paraId="7EEF64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其他方面：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一是信息及时准确公开。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定期做好稳岗就业、社会保险等专题信息更新，尤其是岗位供求信息、技能培训信息等，同时对各项业务经办流程进行梳理完善，确保公开信息准确及时。二是注重与工作结合。在日常的工作中，将政策宣传、普法宣传与政务公开相结合，进一步提高了政策关注度、知晓度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Q3MjRhZTdkNDY3YzgyMGU0MjQzNmU5MjU1NjY3ZTkifQ=="/>
  </w:docVars>
  <w:rsids>
    <w:rsidRoot w:val="11AF18C8"/>
    <w:rsid w:val="08D157AC"/>
    <w:rsid w:val="10AFA3C6"/>
    <w:rsid w:val="11AF18C8"/>
    <w:rsid w:val="1A6A77C7"/>
    <w:rsid w:val="21E9640B"/>
    <w:rsid w:val="23606B3B"/>
    <w:rsid w:val="3A205BBD"/>
    <w:rsid w:val="3F7F6D07"/>
    <w:rsid w:val="464F74E8"/>
    <w:rsid w:val="46B75FA6"/>
    <w:rsid w:val="511E6463"/>
    <w:rsid w:val="54F23AC6"/>
    <w:rsid w:val="56F344A5"/>
    <w:rsid w:val="57D6155B"/>
    <w:rsid w:val="59D11CCF"/>
    <w:rsid w:val="5A2D0ECE"/>
    <w:rsid w:val="5B2F2252"/>
    <w:rsid w:val="657F7FC2"/>
    <w:rsid w:val="68C9088B"/>
    <w:rsid w:val="6C7C7FF0"/>
    <w:rsid w:val="77181135"/>
    <w:rsid w:val="79767689"/>
    <w:rsid w:val="7BFC1E22"/>
    <w:rsid w:val="7E2277F5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2528</Words>
  <Characters>2668</Characters>
  <Lines>0</Lines>
  <Paragraphs>0</Paragraphs>
  <TotalTime>52</TotalTime>
  <ScaleCrop>false</ScaleCrop>
  <LinksUpToDate>false</LinksUpToDate>
  <CharactersWithSpaces>2668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哦</cp:lastModifiedBy>
  <cp:lastPrinted>2023-01-16T17:08:00Z</cp:lastPrinted>
  <dcterms:modified xsi:type="dcterms:W3CDTF">2024-11-25T07:39:28Z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E69FC135B6704485BACA57740AE2D712</vt:lpwstr>
  </property>
</Properties>
</file>