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rPr>
          <w:rFonts w:hint="default" w:ascii="Times New Roman" w:hAnsi="Times New Roman" w:eastAsia="黑体" w:cs="Times New Roman"/>
          <w:sz w:val="24"/>
        </w:rPr>
      </w:pPr>
      <w:r>
        <w:rPr>
          <w:rFonts w:hint="default" w:ascii="Times New Roman" w:hAnsi="Times New Roman" w:eastAsia="黑体" w:cs="Times New Roman"/>
        </w:rPr>
        <w:t>附件1</w:t>
      </w:r>
    </w:p>
    <w:p>
      <w:pPr>
        <w:pStyle w:val="4"/>
        <w:jc w:val="center"/>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企业全生命周期事项清单及责任分工</w:t>
      </w:r>
    </w:p>
    <w:tbl>
      <w:tblPr>
        <w:tblStyle w:val="8"/>
        <w:tblW w:w="13233"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33"/>
        <w:gridCol w:w="520"/>
        <w:gridCol w:w="525"/>
        <w:gridCol w:w="1500"/>
        <w:gridCol w:w="4440"/>
        <w:gridCol w:w="1335"/>
        <w:gridCol w:w="1995"/>
        <w:gridCol w:w="22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blHeader/>
        </w:trPr>
        <w:tc>
          <w:tcPr>
            <w:tcW w:w="633"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序号</w:t>
            </w:r>
          </w:p>
        </w:tc>
        <w:tc>
          <w:tcPr>
            <w:tcW w:w="520"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阶段</w:t>
            </w:r>
          </w:p>
        </w:tc>
        <w:tc>
          <w:tcPr>
            <w:tcW w:w="52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场景</w:t>
            </w:r>
          </w:p>
        </w:tc>
        <w:tc>
          <w:tcPr>
            <w:tcW w:w="5940" w:type="dxa"/>
            <w:gridSpan w:val="2"/>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事项名称</w:t>
            </w:r>
          </w:p>
        </w:tc>
        <w:tc>
          <w:tcPr>
            <w:tcW w:w="133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事项类型</w:t>
            </w:r>
          </w:p>
        </w:tc>
        <w:tc>
          <w:tcPr>
            <w:tcW w:w="199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牵头部门</w:t>
            </w:r>
          </w:p>
        </w:tc>
        <w:tc>
          <w:tcPr>
            <w:tcW w:w="228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协同部门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企业开办</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企业开办</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公司（企业）设立登记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Merge w:val="restart"/>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Merge w:val="continue"/>
            <w:vAlign w:val="center"/>
          </w:tcPr>
          <w:p>
            <w:pPr>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营业单位、非法人分支机构设立登记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公章刻制备案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涉税办理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预约银行开户</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人民银行</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威海市中心支行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企业准营</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生产许可办理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建筑施工企业安全生产许可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区住建局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食品生产许可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工业产品生产许可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二、三类医疗器械生产许可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省级事项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排污许可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2.2</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经营许可办理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公共场所卫生许可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公众聚集场所投入使用、营业前消防安全检查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消防大队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食品经营许可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烟草专卖零售许可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药品经营许可（零售）</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18</w:t>
            </w:r>
          </w:p>
        </w:tc>
        <w:tc>
          <w:tcPr>
            <w:tcW w:w="520" w:type="dxa"/>
            <w:vMerge w:val="continue"/>
            <w:vAlign w:val="center"/>
          </w:tcPr>
          <w:p>
            <w:pPr>
              <w:pStyle w:val="10"/>
              <w:spacing w:line="240" w:lineRule="atLeast"/>
              <w:jc w:val="center"/>
              <w:rPr>
                <w:rFonts w:hint="default" w:ascii="Times New Roman" w:hAnsi="Times New Roman" w:eastAsia="黑体" w:cs="Times New Roman"/>
                <w:sz w:val="21"/>
              </w:rPr>
            </w:pPr>
          </w:p>
        </w:tc>
        <w:tc>
          <w:tcPr>
            <w:tcW w:w="525" w:type="dxa"/>
            <w:vMerge w:val="continue"/>
            <w:vAlign w:val="center"/>
          </w:tcPr>
          <w:p>
            <w:pPr>
              <w:pStyle w:val="10"/>
              <w:spacing w:line="240" w:lineRule="atLeast"/>
              <w:jc w:val="center"/>
              <w:rPr>
                <w:rFonts w:hint="default" w:ascii="Times New Roman" w:hAnsi="Times New Roman" w:eastAsia="黑体" w:cs="Times New Roman"/>
                <w:sz w:val="21"/>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第二类医疗器械经营备案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第三类医疗器械经营许可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旅馆业特种行业许可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危险货物运输经营以外的道路货物运输经营许可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城市公共汽（电）车客运经营（含线路经营）许可</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城市公共汽（电）车客运经营许可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城市公交线路经营许可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道路客运（班车客运、包车客运、旅游客运）及班线经营许可</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道路班车客运（含班线）经营许可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道路包车客运经营许可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出租汽车经营许可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对外贸易经营者备案登记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农药经营许可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兽药经营许可（兽用生物制品）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2.3</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社会服务许可办理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医疗机构设置审批及执业登记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医疗机构校验</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区卫健局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民办职业技能培训机构审批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经营性人力资源服务机构从事职业中介活动许可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劳务派遣经营许可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互联网上网服务营业场所经营单位从事互联网上网服务经营活动许可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包装装潢印刷品和其他印刷品印刷企业设立</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35</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企业运营</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员工保障</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公共人力资源市场服务（网上发布招聘信息）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区人力资源</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社会保障局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开展就业失业登记工作（单位就业登记）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劳动用工备案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社会保险登记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企业职工参保登记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工程建设项目办理工伤保险参保登记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职工参保登记（医保）</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企业社会保险缴费基数申报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企业职工医疗保险费、生育保险费的申报核定</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单位医疗保险工资申报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企业社会保险费缴纳</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企业养老保险关系转入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住房公积金缴存</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住房公积金个人账户设立</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住房公积金汇（补）缴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住房公积金缴存基数、缴存比例调整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开具单位住房公积金缴存证明等</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确有困难的单位住房公积金降低缴存比例或者缓缴审核</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纳税服务</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纳税人资格信息报告（一般纳税人登记等事项）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纳税人制度信息报告（存款账户账号报告等事项）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发票管理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纳税申报（各项税费）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税收优惠</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出口退（免）税</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53</w:t>
            </w: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财产登记</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不动产登记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建设用地使用权登记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房屋等建筑物、构筑物所有权登记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抵押权登记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机动车登记（注册登记、变更登记、转移登记、抵押登记、注销登记）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w:t>
            </w:r>
            <w:r>
              <w:rPr>
                <w:rFonts w:hint="default" w:ascii="Times New Roman" w:hAnsi="Times New Roman" w:cs="Times New Roman"/>
                <w:sz w:val="21"/>
                <w:szCs w:val="21"/>
                <w:lang w:val="en-US"/>
              </w:rPr>
              <w:t>—</w:t>
            </w:r>
            <w:r>
              <w:rPr>
                <w:rFonts w:hint="default" w:ascii="Times New Roman" w:hAnsi="Times New Roman" w:cs="Times New Roman"/>
                <w:sz w:val="21"/>
                <w:szCs w:val="21"/>
              </w:rPr>
              <w:t>注册登记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机动车登记—转移登记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机动车登记—抵押登记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动产和权利担保登记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动产抵押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应收账款质押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存款单、仓单、提单质押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融资租赁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保理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股权出质登记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扶持补贴</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创业担保贷款、创业补贴服务</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小微企业申请创业担保贷款资格审核</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区人力资源</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社会保障局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一次性创业补贴申领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一次性创业岗位开发补贴申领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企业申领稳岗返还</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公共就业专项服务活动</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用人单位吸纳就业困难人员申领岗位补贴和社会保险补贴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pStyle w:val="10"/>
              <w:spacing w:line="240" w:lineRule="atLeast"/>
              <w:jc w:val="center"/>
              <w:rPr>
                <w:rFonts w:hint="default" w:ascii="Times New Roman" w:hAnsi="Times New Roman" w:cs="Times New Roman"/>
                <w:sz w:val="21"/>
              </w:rPr>
            </w:pP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continue"/>
            <w:vAlign w:val="center"/>
          </w:tcPr>
          <w:p>
            <w:pPr>
              <w:pStyle w:val="10"/>
              <w:spacing w:line="240" w:lineRule="atLeast"/>
              <w:jc w:val="center"/>
              <w:rPr>
                <w:rFonts w:hint="default" w:ascii="Times New Roman" w:hAnsi="Times New Roman" w:cs="Times New Roman"/>
                <w:sz w:val="2"/>
                <w:szCs w:val="2"/>
              </w:rPr>
            </w:pPr>
          </w:p>
        </w:tc>
        <w:tc>
          <w:tcPr>
            <w:tcW w:w="1500" w:type="dxa"/>
            <w:vMerge w:val="continue"/>
            <w:vAlign w:val="center"/>
          </w:tcPr>
          <w:p>
            <w:pPr>
              <w:pStyle w:val="10"/>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培训机构代领职业培训补贴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培训机构代领职业技能鉴定补贴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小微企业吸纳高校毕业生社会保险补贴申领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用人单位按比例安排残疾人就业情况申报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区残联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技术合同认定登记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区科技局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知识产权维权援助</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63</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投资建设</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投资立项</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企业投资项目核准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区行政审批服务局、规划分局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企业投资项目备案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节能审查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建设项目用地预审与选址意见书</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建设项目环境影响评价审批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环境影响登记表备案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生产建设项目水土保持方案审批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取水许可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建设项目用地以有偿方式使用国有建设用地审查</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建设用地规划许可证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规划许可</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结合民用建筑修建防空地下室审批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防空地下室易地建设审批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建设工程规划许可证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建设工程规划验线</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施工许可</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施工图设计文件审查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建设工程消防设计审查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市政设施建设类审批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80</w:t>
            </w: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continue"/>
            <w:vAlign w:val="center"/>
          </w:tcPr>
          <w:p>
            <w:pPr>
              <w:pStyle w:val="10"/>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工程建设涉及城市绿地、树木审批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城市建筑垃圾处置核准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城镇污水排入排水管网许可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建筑工程施工许可证核发</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竣工验收</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建设工程竣工规划核实</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区住房城乡建设局</w:t>
            </w: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人防工程竣工验收备案</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特殊建设工程消防验收</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其他建设工程消防验收备案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房屋建筑工程和市政基础设施工程竣工验收备案</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建设工程档案验收</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房地产开发项目竣工综合验收备案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区教体局、区民政局、区卫健局、通信协会、威海供电公司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生产建设项目水土保持设施自主验收报备</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市政公用</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供水报装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供电报装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燃气报装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热力报装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通信报装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排水报装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98</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企业变更</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企业变更</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公司（企业）变更登记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营业单位、企业非法人分支机构变更登记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社会保险单位（项目）基本信息变更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住房公积金单位缴存登记信息变更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102</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企业退出</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企业注销</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公司（企业）注销登记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营业单位、企业非法人分支机构注销登记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103</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税务注销（清税申报）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104</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105</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106</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住房公积金单位缴存登记注销</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107</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预约银行销户</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人民银行</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威海市中心支行</w:t>
            </w:r>
          </w:p>
        </w:tc>
      </w:tr>
    </w:tbl>
    <w:p>
      <w:pPr>
        <w:pStyle w:val="2"/>
        <w:keepNext w:val="0"/>
        <w:keepLines w:val="0"/>
        <w:pageBreakBefore w:val="0"/>
        <w:widowControl w:val="0"/>
        <w:kinsoku/>
        <w:wordWrap/>
        <w:overflowPunct/>
        <w:topLinePunct w:val="0"/>
        <w:bidi w:val="0"/>
        <w:snapToGrid/>
        <w:spacing w:line="400" w:lineRule="exact"/>
        <w:ind w:firstLine="240" w:firstLineChars="100"/>
        <w:textAlignment w:val="auto"/>
        <w:outlineLvl w:val="9"/>
        <w:rPr>
          <w:rFonts w:hint="default" w:ascii="Times New Roman" w:hAnsi="Times New Roman" w:cs="Times New Roman"/>
        </w:rPr>
      </w:pPr>
      <w:bookmarkStart w:id="0" w:name="_GoBack"/>
      <w:bookmarkEnd w:id="0"/>
    </w:p>
    <w:sectPr>
      <w:footerReference r:id="rId3" w:type="default"/>
      <w:pgSz w:w="16838" w:h="11906" w:orient="landscape"/>
      <w:pgMar w:top="1587" w:right="1928" w:bottom="1474" w:left="1701" w:header="851" w:footer="1417" w:gutter="0"/>
      <w:pgNumType w:fmt="decimal" w:start="7"/>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文星简小标宋">
    <w:altName w:val="方正小标宋_GBK"/>
    <w:panose1 w:val="02010609000101010101"/>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BD4029"/>
    <w:rsid w:val="00424016"/>
    <w:rsid w:val="007266F3"/>
    <w:rsid w:val="009910F4"/>
    <w:rsid w:val="01E41BFA"/>
    <w:rsid w:val="02BD3DDA"/>
    <w:rsid w:val="06925742"/>
    <w:rsid w:val="08C22C0F"/>
    <w:rsid w:val="08E178BF"/>
    <w:rsid w:val="0A14281C"/>
    <w:rsid w:val="0BC6600B"/>
    <w:rsid w:val="0C961149"/>
    <w:rsid w:val="0CC43B74"/>
    <w:rsid w:val="0EED10B0"/>
    <w:rsid w:val="151F662F"/>
    <w:rsid w:val="15E67107"/>
    <w:rsid w:val="191F352E"/>
    <w:rsid w:val="192A13BE"/>
    <w:rsid w:val="1B764F14"/>
    <w:rsid w:val="1C881AE9"/>
    <w:rsid w:val="1FC4419D"/>
    <w:rsid w:val="22E350A3"/>
    <w:rsid w:val="2322137D"/>
    <w:rsid w:val="2349521A"/>
    <w:rsid w:val="249B33D2"/>
    <w:rsid w:val="26382CB1"/>
    <w:rsid w:val="29B51D69"/>
    <w:rsid w:val="2EDF0F8E"/>
    <w:rsid w:val="2F8211DD"/>
    <w:rsid w:val="30A74353"/>
    <w:rsid w:val="33CC786B"/>
    <w:rsid w:val="34B8581C"/>
    <w:rsid w:val="351F586E"/>
    <w:rsid w:val="37A504E1"/>
    <w:rsid w:val="37D95311"/>
    <w:rsid w:val="3962556F"/>
    <w:rsid w:val="3B5745AF"/>
    <w:rsid w:val="3D5D0B53"/>
    <w:rsid w:val="3D603008"/>
    <w:rsid w:val="400C7283"/>
    <w:rsid w:val="40C42BD2"/>
    <w:rsid w:val="4471009F"/>
    <w:rsid w:val="448945FF"/>
    <w:rsid w:val="451F7815"/>
    <w:rsid w:val="45973D08"/>
    <w:rsid w:val="45F37CE8"/>
    <w:rsid w:val="474E2595"/>
    <w:rsid w:val="492E1E4A"/>
    <w:rsid w:val="4A0F1FE1"/>
    <w:rsid w:val="4C572030"/>
    <w:rsid w:val="4CED7D82"/>
    <w:rsid w:val="4DAF79EA"/>
    <w:rsid w:val="4E545424"/>
    <w:rsid w:val="4F8C0549"/>
    <w:rsid w:val="52B95831"/>
    <w:rsid w:val="53135270"/>
    <w:rsid w:val="5377217E"/>
    <w:rsid w:val="5AF037F6"/>
    <w:rsid w:val="5BBD4029"/>
    <w:rsid w:val="5EBB5380"/>
    <w:rsid w:val="60DD044B"/>
    <w:rsid w:val="612521AF"/>
    <w:rsid w:val="63637C04"/>
    <w:rsid w:val="64990356"/>
    <w:rsid w:val="64BE095F"/>
    <w:rsid w:val="67B830BF"/>
    <w:rsid w:val="6ADF62EF"/>
    <w:rsid w:val="6BBD168E"/>
    <w:rsid w:val="6F2856E0"/>
    <w:rsid w:val="6F3911B1"/>
    <w:rsid w:val="71923F91"/>
    <w:rsid w:val="74232B90"/>
    <w:rsid w:val="75272066"/>
    <w:rsid w:val="75C70C68"/>
    <w:rsid w:val="75F17E35"/>
    <w:rsid w:val="776913B0"/>
    <w:rsid w:val="7771339F"/>
    <w:rsid w:val="77CC05AB"/>
    <w:rsid w:val="7892460B"/>
    <w:rsid w:val="791F4EA4"/>
    <w:rsid w:val="7ACA20C0"/>
    <w:rsid w:val="7B3D1452"/>
    <w:rsid w:val="7E126680"/>
    <w:rsid w:val="CBF5F86D"/>
    <w:rsid w:val="FEF22C1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pPr>
    <w:rPr>
      <w:rFonts w:ascii="宋体" w:hAnsi="宋体" w:eastAsia="宋体" w:cs="宋体"/>
      <w:sz w:val="22"/>
      <w:szCs w:val="22"/>
      <w:lang w:val="zh-CN" w:eastAsia="zh-CN" w:bidi="zh-CN"/>
    </w:rPr>
  </w:style>
  <w:style w:type="paragraph" w:styleId="3">
    <w:name w:val="heading 1"/>
    <w:basedOn w:val="1"/>
    <w:next w:val="1"/>
    <w:qFormat/>
    <w:uiPriority w:val="1"/>
    <w:pPr>
      <w:spacing w:line="751" w:lineRule="exact"/>
      <w:ind w:left="545" w:right="566"/>
      <w:jc w:val="center"/>
      <w:outlineLvl w:val="0"/>
    </w:pPr>
    <w:rPr>
      <w:rFonts w:ascii="方正小标宋简体" w:hAnsi="方正小标宋简体" w:eastAsia="方正小标宋简体" w:cs="方正小标宋简体"/>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4">
    <w:name w:val="Body Text"/>
    <w:basedOn w:val="1"/>
    <w:qFormat/>
    <w:uiPriority w:val="1"/>
    <w:rPr>
      <w:rFonts w:ascii="仿宋_GB2312" w:hAnsi="仿宋_GB2312" w:eastAsia="仿宋_GB2312" w:cs="仿宋_GB2312"/>
      <w:sz w:val="32"/>
      <w:szCs w:val="32"/>
    </w:rPr>
  </w:style>
  <w:style w:type="paragraph" w:styleId="5">
    <w:name w:val="Block Text"/>
    <w:basedOn w:val="1"/>
    <w:unhideWhenUsed/>
    <w:qFormat/>
    <w:uiPriority w:val="99"/>
    <w:pPr>
      <w:ind w:left="1289" w:leftChars="101" w:right="320" w:rightChars="100" w:hanging="966" w:hangingChars="483"/>
    </w:pPr>
    <w:rPr>
      <w:rFonts w:ascii="Times New Roman" w:hAnsi="Times New Roman" w:eastAsia="仿宋_GB2312"/>
      <w:sz w:val="32"/>
    </w:rPr>
  </w:style>
  <w:style w:type="paragraph" w:styleId="6">
    <w:name w:val="footer"/>
    <w:basedOn w:val="1"/>
    <w:qFormat/>
    <w:uiPriority w:val="0"/>
    <w:pPr>
      <w:tabs>
        <w:tab w:val="center" w:pos="4153"/>
        <w:tab w:val="right" w:pos="8306"/>
      </w:tabs>
      <w:snapToGrid w:val="0"/>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customStyle="1" w:styleId="10">
    <w:name w:val="Table Paragraph"/>
    <w:basedOn w:val="1"/>
    <w:qFormat/>
    <w:uiPriority w:val="1"/>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9364</Words>
  <Characters>9723</Characters>
  <Lines>86</Lines>
  <Paragraphs>24</Paragraphs>
  <TotalTime>5</TotalTime>
  <ScaleCrop>false</ScaleCrop>
  <LinksUpToDate>false</LinksUpToDate>
  <CharactersWithSpaces>9812</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2021-06-30T19:26:00Z</dcterms:created>
  <dc:creator>卷毛羊</dc:creator>
  <cp:lastModifiedBy>WPS_1528096066</cp:lastModifiedBy>
  <cp:lastPrinted>2021-07-08T18:45:00Z</cp:lastPrinted>
  <dcterms:modified xsi:type="dcterms:W3CDTF">2022-11-17T10:54:02Z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A7125644C0A54BC5AB2FF1E2A1CF8955</vt:lpwstr>
  </property>
</Properties>
</file>