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olors1.xml" ContentType="application/vnd.ms-office.chartcolorstyle+xml"/>
  <Override PartName="/word/charts/style1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威海市环翠区</w:t>
      </w:r>
      <w:r>
        <w:rPr>
          <w:rStyle w:val="10"/>
          <w:rFonts w:hint="eastAsia" w:ascii="方正小标宋简体" w:hAnsi="方正小标宋简体" w:eastAsia="方正小标宋简体" w:cs="方正小标宋简体"/>
          <w:color w:val="auto"/>
          <w:lang w:val="en-US" w:eastAsia="zh-CN"/>
        </w:rPr>
        <w:t>发展和改革局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20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22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880" w:firstLineChars="20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根据新修订的《中华人民共和国政府信息公开条例》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现公布威海市环翠区发展和改革局2022年政府信息公开工作年度报告。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本报告中所列数据的统计期限自20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日起至20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年12月31日止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本报告的电子版可在威海市环翠区人民政府门户网站（http://www.huancui.gov.cn/col/col82465/index.html）下载。 如对本报告有疑问，请与威海市环翠区发展和改革局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办公室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联系（地址：威海市环翠区文化中路59号，邮编：264200，电话：0631—5223178）。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 xml:space="preserve">总体情况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</w:pP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认真贯彻落实《条例》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和各级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关于政务公开工作的决策部署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，按照“公开为常态、不公开为例外”的原则，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扎实做好政务信息公开工作，切实保障人民群众的知情权、参与权、监督权和表达权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主动公开政府信息情况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紧密结合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发展改革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工作实际，不断健全完善政务信息公开工作制度，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全年主动公开政府信息253条，其中政府网站公开125条、政务微信公开128条，通过视频、图文等形式解读扶持政策文件，全年答复政协委员提案5件，政府信息公开形式不断创新，内容不断丰富。</w:t>
      </w:r>
    </w:p>
    <w:p>
      <w:pPr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FF000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FF0000"/>
          <w:kern w:val="0"/>
          <w:sz w:val="32"/>
          <w:szCs w:val="32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261620</wp:posOffset>
            </wp:positionH>
            <wp:positionV relativeFrom="paragraph">
              <wp:posOffset>2896235</wp:posOffset>
            </wp:positionV>
            <wp:extent cx="5389880" cy="3474720"/>
            <wp:effectExtent l="0" t="0" r="1270" b="11430"/>
            <wp:wrapTopAndBottom/>
            <wp:docPr id="3" name="图片 3" descr="16728048194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672804819407"/>
                    <pic:cNvPicPr>
                      <a:picLocks noChangeAspect="1"/>
                    </pic:cNvPicPr>
                  </pic:nvPicPr>
                  <pic:blipFill>
                    <a:blip r:embed="rId5"/>
                    <a:srcRect l="16194" t="26142" r="2384"/>
                    <a:stretch>
                      <a:fillRect/>
                    </a:stretch>
                  </pic:blipFill>
                  <pic:spPr>
                    <a:xfrm>
                      <a:off x="0" y="0"/>
                      <a:ext cx="5389880" cy="3474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eastAsia="仿宋_GB2312" w:cs="Times New Roman"/>
          <w:b w:val="0"/>
          <w:bCs w:val="0"/>
          <w:color w:val="FF0000"/>
          <w:kern w:val="0"/>
          <w:sz w:val="32"/>
          <w:szCs w:val="32"/>
          <w:lang w:val="en-US" w:eastAsia="zh-CN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809625</wp:posOffset>
            </wp:positionH>
            <wp:positionV relativeFrom="paragraph">
              <wp:posOffset>120650</wp:posOffset>
            </wp:positionV>
            <wp:extent cx="4159250" cy="2593340"/>
            <wp:effectExtent l="4445" t="4445" r="8255" b="12065"/>
            <wp:wrapTopAndBottom/>
            <wp:docPr id="2" name="图表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2.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依申请公开政府信息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本单位共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受理政府信息公开申请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件，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其中线上申请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件，线下申请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件，按时办结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件，超期答复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从办理结果看，无法提供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件，占比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100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3.政府信息管理情况。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执行发布审核等制度要求，推进政务公开工作标准化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对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机构简介、机构设置、部门领导、人事任免等单位概况进行公开，根据机构、人员变动情况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动态管理，实时更新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。及时公开国民经济和社会发展规划、年度计划、部门规范性文件等内容，制定出台涉及公共利益、公众权益的政策文件时，除依法应当保密的外，在决策前向社会公布决策草案、决策依据，广泛听取公众意见，</w:t>
      </w:r>
      <w:bookmarkStart w:id="1" w:name="_GoBack"/>
      <w:bookmarkEnd w:id="1"/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并通过图文解读、视频解读等多种方式对《环翠区关于进一步加快服务业发展的扶持意见》文件精神进行解读。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105410</wp:posOffset>
            </wp:positionH>
            <wp:positionV relativeFrom="paragraph">
              <wp:posOffset>24765</wp:posOffset>
            </wp:positionV>
            <wp:extent cx="5424805" cy="3109595"/>
            <wp:effectExtent l="0" t="0" r="4445" b="14605"/>
            <wp:wrapTopAndBottom/>
            <wp:docPr id="4" name="图片 4" descr="16728241349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67282413494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24805" cy="31095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4.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公开平台建设情况。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不断完善网站内容和获取有效信息的便利程度，拉近与群众之间的距离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对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机构简介、机构设置、部门领导、人事任免等单位概况及时公开；对群众关心的扶持政策第一时间公开，并通过多种形式进行解读；对减税降费、优化营商环境等系列内容进行专题公开；对涉及公众利益、社会广泛关注的政协委员提案办理结果主动公开。按照行政执法事前、事后公开要求，及时在网站进行公示，对执法人员名单、权责清单等内容动态更新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32385</wp:posOffset>
            </wp:positionH>
            <wp:positionV relativeFrom="paragraph">
              <wp:posOffset>156845</wp:posOffset>
            </wp:positionV>
            <wp:extent cx="5751830" cy="2734310"/>
            <wp:effectExtent l="0" t="0" r="1270" b="8890"/>
            <wp:wrapTopAndBottom/>
            <wp:docPr id="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51830" cy="2734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5.监督保障情况。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right="0"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我局由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  <w:t>办公室负责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lang w:val="en-US" w:eastAsia="zh-CN"/>
        </w:rPr>
        <w:t>牵头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  <w:t>组织开展政务公开工作，按时参加各级政务公开工作培训，及时将会议精神传达到各科室，并对各科室的政务公开工作进行指导、监督，将政务公开信息、网站信息发布等事项纳入工作计划。</w:t>
      </w:r>
    </w:p>
    <w:p>
      <w:pPr>
        <w:pStyle w:val="7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topLinePunct w:val="0"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主动公开政府信息情况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115"/>
        <w:gridCol w:w="2146"/>
        <w:gridCol w:w="1474"/>
        <w:gridCol w:w="1987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81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第二十条第（一）项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制发件数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废止件数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现行有效件数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规章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规范性文件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第二十条第（五）项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2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行政许可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第二十条第（六）项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行政处罚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行政强制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第二十条第（八）项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行政事业性收费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收到和处理政府信息公开申请情况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518"/>
        <w:gridCol w:w="1531"/>
        <w:gridCol w:w="2592"/>
        <w:gridCol w:w="624"/>
        <w:gridCol w:w="562"/>
        <w:gridCol w:w="562"/>
        <w:gridCol w:w="566"/>
        <w:gridCol w:w="566"/>
        <w:gridCol w:w="566"/>
        <w:gridCol w:w="63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6" w:hRule="exact"/>
          <w:jc w:val="center"/>
        </w:trPr>
        <w:tc>
          <w:tcPr>
            <w:gridSpan w:val="3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（本列数据的勾稽关系为：第一项加第二项之和， 等于第三项加第四项之和）</w:t>
            </w:r>
          </w:p>
        </w:tc>
        <w:tc>
          <w:tcPr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申请人情况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自然人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法人或其他组织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4" w:hRule="atLeas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商业 企业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科研 机构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15"/>
                <w:szCs w:val="15"/>
                <w:u w:val="none"/>
                <w:shd w:val="clear" w:color="auto" w:fill="auto"/>
                <w:lang w:val="en-US" w:eastAsia="zh-CN" w:bidi="zh-TW"/>
              </w:rPr>
            </w:pPr>
          </w:p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sz w:val="10"/>
                <w:szCs w:val="1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TW"/>
              </w:rPr>
              <w:t>社会公益组织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法律 服务 机构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</w:t>
            </w:r>
          </w:p>
        </w:tc>
        <w:tc>
          <w:tcPr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三、本年度办理结果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（一）予以公开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2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（二）部分公开（区分处理的，只计这一情形，不计其他情形）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（三）不予公开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属于国家秘密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其他法律行政法规禁止公开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危及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  <w:lang w:val="zh-CN" w:eastAsia="zh-CN" w:bidi="zh-CN"/>
              </w:rPr>
              <w:t>“三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安全一稳定”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保护第三方合法权益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属于三类内部事务信息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9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6.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属于四类过程性信息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3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7.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属于行政执法案卷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8.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属于行政查询事项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（四）无法提供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本机关不掌握相关政府信息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没有现成信息需要另行制作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补正后申请内容仍不明确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（五）不予处理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信访举报投诉类申请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3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要求提供公开出版物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400" w:right="0" w:hanging="40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无正当理由大量反复申请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8" w:lineRule="exact"/>
              <w:ind w:left="340" w:right="0" w:hanging="340"/>
              <w:jc w:val="left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要求行政机关确认或重新出具已获取信息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（六）其他处理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（七）总计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四、结转下年度继续办理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4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bookmarkStart w:id="0" w:name="bookmark21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四</w:t>
      </w:r>
      <w:bookmarkEnd w:id="0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、政府信息公开行政复议、行政诉讼情况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29"/>
        <w:gridCol w:w="629"/>
        <w:gridCol w:w="624"/>
        <w:gridCol w:w="624"/>
        <w:gridCol w:w="562"/>
        <w:gridCol w:w="562"/>
        <w:gridCol w:w="571"/>
        <w:gridCol w:w="562"/>
        <w:gridCol w:w="566"/>
        <w:gridCol w:w="566"/>
        <w:gridCol w:w="562"/>
        <w:gridCol w:w="571"/>
        <w:gridCol w:w="562"/>
        <w:gridCol w:w="566"/>
        <w:gridCol w:w="581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行政复议</w:t>
            </w:r>
          </w:p>
        </w:tc>
        <w:tc>
          <w:tcPr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行政诉讼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2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未经复议直接起诉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复议后起诉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62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6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8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5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 xml:space="preserve">存在的主要问题及改进情况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对于哪些信息应该主动公开、哪些信息群众关心的认识不够深。立足发展改革职能，深入钻研业务，结合信访、12345热线办理、依申请公开等群众反映诉求较为集中的问题，有针对性地进行政府信息公开。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>其他</w:t>
      </w: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 xml:space="preserve">需要报告的事项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1.政府信息公开申请收费情况。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本年度我单位依申请公开政府信息未收取任何费用。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方正楷体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2.落实环翠区2022年度政务公开工作要点情况。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根据年度政务公开工作要点，及时对减税降费、扩大有效投资、规范性文件等内容在局网站进行公开。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3.人大代表建议、政协委员提案办理情况。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FF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2022年，共收到并答复政协委员提案5件，均及时在局网站政协委员提案办理栏目进行公开。本年度未收到人大代表建议。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4.政务公开工作创新情况。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将政务公开工作与业务工作深度融合，以群众需求为导向，主动通过开展政府工作日活动，结合创城、党员报到等活动，对群众关心的停车场收费、物业收费等政策进行宣传解读，规范收费行为，减少纠纷。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所属事业单位信息公开工作情况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本单位所属事业单位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环翠区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重点项目服务中心、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能源事业发展中心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、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服务业发展中心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均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参照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统一要求进行信息公开工作。 </w:t>
      </w:r>
    </w:p>
    <w:sectPr>
      <w:footerReference r:id="rId3" w:type="default"/>
      <w:pgSz w:w="11906" w:h="16838"/>
      <w:pgMar w:top="1701" w:right="1418" w:bottom="1701" w:left="141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B354E62-D813-4373-BEC7-420753FDFA8C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  <w:embedRegular r:id="rId2" w:fontKey="{719CB3EC-C121-46AB-A3D5-770561B86D79}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209E4064-B8C3-4FAA-A0B1-82C029542C58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5CAB6930-9BEE-4A54-ADEE-7D0099639768}"/>
  </w:font>
  <w:font w:name="方正楷体_GB2312">
    <w:panose1 w:val="02000000000000000000"/>
    <w:charset w:val="86"/>
    <w:family w:val="auto"/>
    <w:pitch w:val="default"/>
    <w:sig w:usb0="00000000" w:usb1="00000000" w:usb2="00000000" w:usb3="00000000" w:csb0="00000000" w:csb1="00000000"/>
    <w:embedRegular r:id="rId5" w:fontKey="{E56478B4-BD07-4E44-8C2B-245B882D9D10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9BAAFF5"/>
    <w:multiLevelType w:val="singleLevel"/>
    <w:tmpl w:val="89BAAFF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A8ABE86A"/>
    <w:multiLevelType w:val="singleLevel"/>
    <w:tmpl w:val="A8ABE86A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diY2QyZDU3NjdlNTIyZTJiNWU5NTdiM2ZiY2YwOWYifQ=="/>
  </w:docVars>
  <w:rsids>
    <w:rsidRoot w:val="00000000"/>
    <w:rsid w:val="0008361F"/>
    <w:rsid w:val="00CA47CC"/>
    <w:rsid w:val="00D23242"/>
    <w:rsid w:val="00F0308A"/>
    <w:rsid w:val="013577AC"/>
    <w:rsid w:val="01C92466"/>
    <w:rsid w:val="03392D36"/>
    <w:rsid w:val="0463118C"/>
    <w:rsid w:val="04C2468E"/>
    <w:rsid w:val="0501370E"/>
    <w:rsid w:val="05BC550E"/>
    <w:rsid w:val="062326B9"/>
    <w:rsid w:val="06B807E5"/>
    <w:rsid w:val="07413183"/>
    <w:rsid w:val="07B77D29"/>
    <w:rsid w:val="082E105B"/>
    <w:rsid w:val="09030A93"/>
    <w:rsid w:val="09EE6B28"/>
    <w:rsid w:val="0A5E16A3"/>
    <w:rsid w:val="0B2E5519"/>
    <w:rsid w:val="0C636DD8"/>
    <w:rsid w:val="0D6E7E4F"/>
    <w:rsid w:val="0D9F5A17"/>
    <w:rsid w:val="142357A8"/>
    <w:rsid w:val="142D3CA5"/>
    <w:rsid w:val="15072425"/>
    <w:rsid w:val="169A6998"/>
    <w:rsid w:val="19334076"/>
    <w:rsid w:val="199D5F29"/>
    <w:rsid w:val="1A91517D"/>
    <w:rsid w:val="1ABC2A04"/>
    <w:rsid w:val="1BCE4B75"/>
    <w:rsid w:val="1DAF0231"/>
    <w:rsid w:val="1EE135F3"/>
    <w:rsid w:val="1FC77D4B"/>
    <w:rsid w:val="21A50B34"/>
    <w:rsid w:val="22587648"/>
    <w:rsid w:val="241D650E"/>
    <w:rsid w:val="242C1780"/>
    <w:rsid w:val="246A68B4"/>
    <w:rsid w:val="261D0FA9"/>
    <w:rsid w:val="2784713D"/>
    <w:rsid w:val="278A3680"/>
    <w:rsid w:val="27AF470B"/>
    <w:rsid w:val="295B49DC"/>
    <w:rsid w:val="295E4994"/>
    <w:rsid w:val="2B670771"/>
    <w:rsid w:val="2BB35523"/>
    <w:rsid w:val="2C585345"/>
    <w:rsid w:val="2CB4622E"/>
    <w:rsid w:val="2CBE62A5"/>
    <w:rsid w:val="2E493C90"/>
    <w:rsid w:val="2E62595A"/>
    <w:rsid w:val="2EFD5413"/>
    <w:rsid w:val="2FCA0B83"/>
    <w:rsid w:val="31254D9C"/>
    <w:rsid w:val="324C7EAF"/>
    <w:rsid w:val="32F04CDF"/>
    <w:rsid w:val="36772C3A"/>
    <w:rsid w:val="369616B9"/>
    <w:rsid w:val="37DD091B"/>
    <w:rsid w:val="38BD1B07"/>
    <w:rsid w:val="39383221"/>
    <w:rsid w:val="3A1157B7"/>
    <w:rsid w:val="3B3C4D37"/>
    <w:rsid w:val="3DFD19DA"/>
    <w:rsid w:val="41195BFF"/>
    <w:rsid w:val="413279EE"/>
    <w:rsid w:val="42CA37F1"/>
    <w:rsid w:val="43FC3E73"/>
    <w:rsid w:val="454E44B9"/>
    <w:rsid w:val="45AE06B3"/>
    <w:rsid w:val="4A487FDE"/>
    <w:rsid w:val="4B456772"/>
    <w:rsid w:val="4B6650BF"/>
    <w:rsid w:val="4C246A68"/>
    <w:rsid w:val="4DC04BAC"/>
    <w:rsid w:val="4E4D546F"/>
    <w:rsid w:val="4FCE4806"/>
    <w:rsid w:val="500E459E"/>
    <w:rsid w:val="50191771"/>
    <w:rsid w:val="50AE6CAE"/>
    <w:rsid w:val="515416D5"/>
    <w:rsid w:val="51C85A81"/>
    <w:rsid w:val="52065E75"/>
    <w:rsid w:val="53D10A00"/>
    <w:rsid w:val="540957A8"/>
    <w:rsid w:val="55DE6E82"/>
    <w:rsid w:val="55FD30EB"/>
    <w:rsid w:val="58E92FBE"/>
    <w:rsid w:val="5A6266B0"/>
    <w:rsid w:val="5BA529F7"/>
    <w:rsid w:val="5BFF8664"/>
    <w:rsid w:val="5C8000FD"/>
    <w:rsid w:val="5C964BFE"/>
    <w:rsid w:val="5D5812EC"/>
    <w:rsid w:val="5E07266A"/>
    <w:rsid w:val="5E1E349F"/>
    <w:rsid w:val="5EA0458C"/>
    <w:rsid w:val="5F3376FB"/>
    <w:rsid w:val="5FFC638B"/>
    <w:rsid w:val="60B511B4"/>
    <w:rsid w:val="629616EA"/>
    <w:rsid w:val="63EF49BB"/>
    <w:rsid w:val="674B0E3B"/>
    <w:rsid w:val="68735867"/>
    <w:rsid w:val="68D26659"/>
    <w:rsid w:val="6A8E549C"/>
    <w:rsid w:val="6B856C99"/>
    <w:rsid w:val="6BF055A8"/>
    <w:rsid w:val="6EBB79A1"/>
    <w:rsid w:val="6F343150"/>
    <w:rsid w:val="70330580"/>
    <w:rsid w:val="711B17F7"/>
    <w:rsid w:val="734D3842"/>
    <w:rsid w:val="75066E2C"/>
    <w:rsid w:val="77C22EDF"/>
    <w:rsid w:val="78066F6E"/>
    <w:rsid w:val="7A4153ED"/>
    <w:rsid w:val="7A601A23"/>
    <w:rsid w:val="7ABE6A3D"/>
    <w:rsid w:val="7AEA69F0"/>
    <w:rsid w:val="7F625BE9"/>
    <w:rsid w:val="7FEF9C73"/>
    <w:rsid w:val="BF376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Body text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8">
    <w:name w:val="Other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9">
    <w:name w:val="Other|2"/>
    <w:basedOn w:val="1"/>
    <w:qFormat/>
    <w:uiPriority w:val="0"/>
    <w:pPr>
      <w:widowControl w:val="0"/>
      <w:shd w:val="clear" w:color="auto" w:fill="auto"/>
      <w:spacing w:before="80"/>
      <w:ind w:firstLine="11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  <w:style w:type="character" w:customStyle="1" w:styleId="10">
    <w:name w:val="fontstyle21"/>
    <w:basedOn w:val="6"/>
    <w:qFormat/>
    <w:uiPriority w:val="0"/>
    <w:rPr>
      <w:rFonts w:ascii="方正小标宋简体" w:hAnsi="方正小标宋简体" w:eastAsia="方正小标宋简体" w:cs="方正小标宋简体"/>
      <w:color w:val="000000"/>
      <w:sz w:val="44"/>
      <w:szCs w:val="44"/>
    </w:rPr>
  </w:style>
  <w:style w:type="character" w:customStyle="1" w:styleId="11">
    <w:name w:val="fontstyle11"/>
    <w:basedOn w:val="6"/>
    <w:qFormat/>
    <w:uiPriority w:val="0"/>
    <w:rPr>
      <w:rFonts w:ascii="TimesNewRomanPSMT" w:hAnsi="TimesNewRomanPSMT" w:eastAsia="TimesNewRomanPSMT" w:cs="TimesNewRomanPSMT"/>
      <w:color w:val="00000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chart" Target="charts/chart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package" Target="../embeddings/Workbook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altLang="zh-CN"/>
              <a:t>2022</a:t>
            </a:r>
            <a:r>
              <a:rPr altLang="en-US"/>
              <a:t>年主动公开政府信息</a:t>
            </a:r>
            <a:endParaRPr lang="en-US" altLang="zh-CN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信息数量</c:v>
                </c:pt>
              </c:strCache>
            </c:strRef>
          </c:tx>
          <c:spPr/>
          <c:explosion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Lbls>
            <c:delete val="1"/>
          </c:dLbls>
          <c:cat>
            <c:strRef>
              <c:f>Sheet1!$A$2:$A$3</c:f>
              <c:strCache>
                <c:ptCount val="2"/>
                <c:pt idx="0">
                  <c:v>网站</c:v>
                </c:pt>
                <c:pt idx="1">
                  <c:v>公众号</c:v>
                </c:pt>
              </c:strCache>
            </c:strRef>
          </c:cat>
          <c:val>
            <c:numRef>
              <c:f>Sheet1!$B$2:$B$3</c:f>
              <c:numCache>
                <c:formatCode>General</c:formatCode>
                <c:ptCount val="2"/>
                <c:pt idx="0">
                  <c:v>125</c:v>
                </c:pt>
                <c:pt idx="1">
                  <c:v>128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1899</Words>
  <Characters>2015</Characters>
  <Lines>0</Lines>
  <Paragraphs>0</Paragraphs>
  <TotalTime>255</TotalTime>
  <ScaleCrop>false</ScaleCrop>
  <LinksUpToDate>false</LinksUpToDate>
  <CharactersWithSpaces>2037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Administrator</dc:creator>
  <cp:lastModifiedBy>洋村长</cp:lastModifiedBy>
  <dcterms:modified xsi:type="dcterms:W3CDTF">2023-01-04T14:50:02Z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  <property fmtid="{D5CDD505-2E9C-101B-9397-08002B2CF9AE}" pid="3" name="ICV">
    <vt:lpwstr>C572666A6F1B4635A951FB1178BB458E</vt:lpwstr>
  </property>
</Properties>
</file>