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03759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pPr>
    </w:p>
    <w:p w14:paraId="5FF73DF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pP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威海市环翠区应急管理局</w:t>
      </w:r>
    </w:p>
    <w:p w14:paraId="3D88549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简体" w:cs="方正小标宋简体"/>
          <w:b w:val="0"/>
          <w:bCs/>
          <w:i w:val="0"/>
          <w:caps w:val="0"/>
          <w:color w:val="auto"/>
          <w:spacing w:val="0"/>
          <w:sz w:val="44"/>
          <w:szCs w:val="44"/>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2025</w:t>
      </w:r>
      <w:r>
        <w:rPr>
          <w:rFonts w:hint="eastAsia" w:ascii="Times New Roman" w:hAnsi="Times New Roman" w:eastAsia="方正小标宋简体" w:cs="方正小标宋简体"/>
          <w:b w:val="0"/>
          <w:bCs/>
          <w:i w:val="0"/>
          <w:caps w:val="0"/>
          <w:color w:val="auto"/>
          <w:spacing w:val="-17"/>
          <w:sz w:val="44"/>
          <w:szCs w:val="44"/>
          <w:shd w:val="clear" w:fill="FFFFFF"/>
          <w:lang w:val="en-US" w:eastAsia="zh-CN"/>
        </w:rPr>
        <w:t>年</w:t>
      </w:r>
      <w:r>
        <w:rPr>
          <w:rFonts w:hint="eastAsia" w:ascii="Times New Roman" w:hAnsi="Times New Roman" w:eastAsia="方正小标宋简体" w:cs="方正小标宋简体"/>
          <w:b w:val="0"/>
          <w:bCs/>
          <w:i w:val="0"/>
          <w:caps w:val="0"/>
          <w:color w:val="auto"/>
          <w:spacing w:val="-17"/>
          <w:sz w:val="44"/>
          <w:szCs w:val="44"/>
          <w:shd w:val="clear" w:fill="FFFFFF"/>
        </w:rPr>
        <w:t>政府信息公开工作</w:t>
      </w:r>
      <w:r>
        <w:rPr>
          <w:rFonts w:hint="eastAsia" w:ascii="Times New Roman" w:hAnsi="Times New Roman" w:eastAsia="方正小标宋简体" w:cs="方正小标宋简体"/>
          <w:b w:val="0"/>
          <w:bCs/>
          <w:i w:val="0"/>
          <w:caps w:val="0"/>
          <w:color w:val="auto"/>
          <w:spacing w:val="0"/>
          <w:sz w:val="44"/>
          <w:szCs w:val="44"/>
          <w:shd w:val="clear" w:fill="FFFFFF"/>
        </w:rPr>
        <w:t>年度报告</w:t>
      </w:r>
    </w:p>
    <w:p w14:paraId="0649893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autoSpaceDE/>
        <w:autoSpaceDN/>
        <w:bidi w:val="0"/>
        <w:snapToGrid/>
        <w:spacing w:before="0" w:beforeAutospacing="0" w:after="0" w:afterAutospacing="0" w:line="560" w:lineRule="exact"/>
        <w:ind w:right="0" w:firstLine="640" w:firstLineChars="200"/>
        <w:jc w:val="left"/>
        <w:textAlignment w:val="auto"/>
        <w:rPr>
          <w:rFonts w:hint="eastAsia" w:ascii="Times New Roman" w:hAnsi="Times New Roman" w:eastAsia="仿宋_GB2312" w:cs="Times New Roman"/>
          <w:color w:val="auto"/>
          <w:kern w:val="0"/>
          <w:sz w:val="32"/>
          <w:szCs w:val="32"/>
          <w:lang w:val="en-US" w:eastAsia="zh-CN" w:bidi="ar"/>
        </w:rPr>
      </w:pPr>
    </w:p>
    <w:p w14:paraId="3AE5230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autoSpaceDE/>
        <w:autoSpaceDN/>
        <w:bidi w:val="0"/>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color w:val="auto"/>
          <w:kern w:val="0"/>
          <w:sz w:val="32"/>
          <w:szCs w:val="32"/>
          <w:lang w:val="en-US" w:eastAsia="zh-CN" w:bidi="ar"/>
        </w:rPr>
      </w:pPr>
      <w:r>
        <w:rPr>
          <w:rFonts w:hint="eastAsia" w:ascii="Times New Roman" w:hAnsi="Times New Roman" w:eastAsia="仿宋_GB2312" w:cs="Times New Roman"/>
          <w:color w:val="auto"/>
          <w:kern w:val="0"/>
          <w:sz w:val="32"/>
          <w:szCs w:val="32"/>
          <w:lang w:val="en-US" w:eastAsia="zh-CN" w:bidi="ar"/>
        </w:rPr>
        <w:t>根据《中华人民共和国政府信息公开条例》（国务院令第711号，以下简称《条例》）和《中华人民共和国政府信息公开工作年度报告格式》（国办公开办函〔2021〕30号）要求，结合2025年威海市环翠区应急管理局政府信息公开工作实际，编制发布本报告。</w:t>
      </w:r>
    </w:p>
    <w:p w14:paraId="234F4A6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autoSpaceDE/>
        <w:autoSpaceDN/>
        <w:bidi w:val="0"/>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color w:val="auto"/>
          <w:kern w:val="0"/>
          <w:sz w:val="32"/>
          <w:szCs w:val="32"/>
          <w:lang w:val="en-US" w:eastAsia="zh-CN" w:bidi="ar"/>
        </w:rPr>
      </w:pPr>
      <w:r>
        <w:rPr>
          <w:rFonts w:hint="eastAsia" w:ascii="Times New Roman" w:hAnsi="Times New Roman" w:eastAsia="仿宋_GB2312" w:cs="Times New Roman"/>
          <w:color w:val="auto"/>
          <w:kern w:val="0"/>
          <w:sz w:val="32"/>
          <w:szCs w:val="32"/>
          <w:lang w:val="en-US" w:eastAsia="zh-CN" w:bidi="ar"/>
        </w:rPr>
        <w:t>本报告内容包括：总体情况、主动公开政府信息情况、收到和处理政府信息公开申请情况、政府信息公开行政复议及行政诉讼情况、存在的主要问题及改进情况、其他事项，以及相关指标统计附表等。报告中所列数据统计期限从2025年1月1日到12月31日止。报告电子版可从威海市环翠区应急管理局网站（网址：http://www.huancui.gov.cn/col/col57869/index.html?vc_xxgkarea=11371002MB2858916K&amp;fbtime=2021&amp;jh=264）查阅或下载。公众如需进一步咨询了解相关信息，请与威海市环翠区应急管理局联系（地址：威海市环翠区海滨中路26号，电话：0631-5218910）。</w:t>
      </w:r>
    </w:p>
    <w:p w14:paraId="56295A5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sz w:val="32"/>
          <w:szCs w:val="32"/>
          <w:lang w:eastAsia="zh-CN"/>
        </w:rPr>
      </w:pPr>
      <w:r>
        <w:rPr>
          <w:rFonts w:hint="eastAsia" w:ascii="Times New Roman" w:hAnsi="Times New Roman" w:eastAsia="黑体" w:cs="黑体"/>
          <w:b w:val="0"/>
          <w:bCs/>
          <w:i w:val="0"/>
          <w:caps w:val="0"/>
          <w:color w:val="auto"/>
          <w:spacing w:val="0"/>
          <w:sz w:val="32"/>
          <w:szCs w:val="32"/>
          <w:shd w:val="clear" w:fill="FFFFFF"/>
        </w:rPr>
        <w:t>一、总体情况</w:t>
      </w:r>
    </w:p>
    <w:p w14:paraId="02F2C502">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Times New Roman" w:hAnsi="Times New Roman" w:eastAsia="仿宋_GB2312" w:cs="Times New Roman"/>
          <w:color w:val="auto"/>
          <w:kern w:val="0"/>
          <w:sz w:val="32"/>
          <w:szCs w:val="32"/>
          <w:lang w:val="en-US" w:eastAsia="zh-CN" w:bidi="ar"/>
        </w:rPr>
        <w:t>2025年，威海市环翠区应急管理局深入贯彻落实国家、省、市关于政务公开工作的决策部署及《中华人民共和国政府信息公开条例》要求，紧紧围绕区委、区政府中心工作及社会公众关切，坚持以公开为常态、不公开为例外，持续深化政府信息公开内容，强化信息管理监督，不断提升应急管理工作的透明度和公信力。</w:t>
      </w:r>
    </w:p>
    <w:p w14:paraId="360E2FFB">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color w:val="auto"/>
          <w:kern w:val="0"/>
          <w:sz w:val="32"/>
          <w:szCs w:val="32"/>
          <w:lang w:val="en-US" w:eastAsia="zh-CN" w:bidi="ar"/>
        </w:rPr>
        <w:t>（一）主动公开。</w:t>
      </w:r>
      <w:r>
        <w:rPr>
          <w:rFonts w:hint="eastAsia" w:ascii="Times New Roman" w:hAnsi="Times New Roman" w:eastAsia="仿宋_GB2312" w:cs="Times New Roman"/>
          <w:color w:val="auto"/>
          <w:kern w:val="0"/>
          <w:sz w:val="32"/>
          <w:szCs w:val="32"/>
          <w:lang w:val="en-US" w:eastAsia="zh-CN" w:bidi="ar"/>
        </w:rPr>
        <w:t>2025年，区应急管理局通过威海市环翠区人民政府门户网站主动政府信息公开41条，其中人事信息1条、政策文件1条、政府会议1条、规划计划3条、财政预结算4条、重点领域13条、建议提案2条、业务动态12条、法治政府建设1条、政务公开组织管理3条。</w:t>
      </w:r>
    </w:p>
    <w:p w14:paraId="6A31C1F2">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color w:val="auto"/>
          <w:kern w:val="0"/>
          <w:sz w:val="32"/>
          <w:szCs w:val="32"/>
          <w:lang w:val="en-US" w:eastAsia="zh-CN" w:bidi="ar"/>
        </w:rPr>
        <w:t>（二）依申请公开。</w:t>
      </w: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lang w:val="en-US" w:eastAsia="zh-CN"/>
        </w:rPr>
        <w:t>年，我局共受理政府信</w:t>
      </w:r>
      <w:r>
        <w:rPr>
          <w:rFonts w:hint="default" w:ascii="Times New Roman" w:hAnsi="Times New Roman" w:eastAsia="仿宋_GB2312" w:cs="Times New Roman"/>
          <w:color w:val="auto"/>
          <w:sz w:val="32"/>
          <w:szCs w:val="32"/>
        </w:rPr>
        <w:t>息公开申请</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件，均已依法依规按时办结</w:t>
      </w:r>
      <w:r>
        <w:rPr>
          <w:rFonts w:hint="default" w:ascii="Times New Roman" w:hAnsi="Times New Roman" w:eastAsia="仿宋_GB2312" w:cs="Times New Roman"/>
          <w:color w:val="auto"/>
          <w:sz w:val="32"/>
          <w:szCs w:val="32"/>
          <w:lang w:val="en-US" w:eastAsia="zh-CN"/>
        </w:rPr>
        <w:t>，无结转至2026年继续办理的申请。我局注重规范依申请公开受理、处理、答复等各环节流程，切实保障申请人合法权益。</w:t>
      </w:r>
    </w:p>
    <w:p w14:paraId="3ABC7DCF">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楷体_GB2312" w:cs="楷体_GB2312"/>
          <w:color w:val="auto"/>
          <w:kern w:val="0"/>
          <w:sz w:val="32"/>
          <w:szCs w:val="32"/>
          <w:lang w:val="en-US" w:eastAsia="zh-CN" w:bidi="ar"/>
        </w:rPr>
        <w:t>（三）政府信息管理。</w:t>
      </w:r>
      <w:r>
        <w:rPr>
          <w:rFonts w:hint="default" w:ascii="Times New Roman" w:hAnsi="Times New Roman" w:eastAsia="仿宋_GB2312" w:cs="Times New Roman"/>
          <w:color w:val="auto"/>
          <w:sz w:val="32"/>
          <w:szCs w:val="32"/>
          <w:lang w:val="en-US" w:eastAsia="zh-CN"/>
        </w:rPr>
        <w:t>压实审核责任，</w:t>
      </w:r>
      <w:r>
        <w:rPr>
          <w:rFonts w:hint="eastAsia" w:ascii="仿宋_GB2312" w:hAnsi="仿宋_GB2312" w:eastAsia="仿宋_GB2312" w:cs="仿宋_GB2312"/>
          <w:color w:val="auto"/>
          <w:kern w:val="0"/>
          <w:sz w:val="32"/>
          <w:szCs w:val="32"/>
          <w:lang w:val="en-US" w:eastAsia="zh-CN" w:bidi="ar"/>
        </w:rPr>
        <w:t>我局严格</w:t>
      </w:r>
      <w:r>
        <w:rPr>
          <w:rFonts w:hint="eastAsia" w:ascii="Times New Roman" w:hAnsi="Times New Roman" w:eastAsia="仿宋_GB2312" w:cs="Times New Roman"/>
          <w:color w:val="auto"/>
          <w:sz w:val="32"/>
          <w:szCs w:val="32"/>
          <w:lang w:val="en-US" w:eastAsia="zh-CN"/>
        </w:rPr>
        <w:t>落实</w:t>
      </w:r>
      <w:r>
        <w:rPr>
          <w:rFonts w:hint="default" w:ascii="Times New Roman" w:hAnsi="Times New Roman" w:eastAsia="仿宋_GB2312" w:cs="Times New Roman"/>
          <w:color w:val="auto"/>
          <w:sz w:val="32"/>
          <w:szCs w:val="32"/>
          <w:lang w:val="en-US" w:eastAsia="zh-CN"/>
        </w:rPr>
        <w:t>信息发布“三审三校”制度</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信息公开保密审查机制，对拟公开的政府信息进行严格的内容审查和保密把关</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确保公开信息内容准确、表述规范。</w:t>
      </w:r>
      <w:r>
        <w:rPr>
          <w:rFonts w:hint="eastAsia" w:ascii="Times New Roman" w:hAnsi="Times New Roman" w:eastAsia="仿宋_GB2312" w:cs="Times New Roman"/>
          <w:color w:val="auto"/>
          <w:sz w:val="32"/>
          <w:szCs w:val="32"/>
          <w:lang w:val="en-US" w:eastAsia="zh-CN"/>
        </w:rPr>
        <w:t>同时</w:t>
      </w:r>
      <w:r>
        <w:rPr>
          <w:rFonts w:hint="default" w:ascii="Times New Roman" w:hAnsi="Times New Roman" w:eastAsia="仿宋_GB2312" w:cs="Times New Roman"/>
          <w:color w:val="auto"/>
          <w:sz w:val="32"/>
          <w:szCs w:val="32"/>
          <w:lang w:val="en-US" w:eastAsia="zh-CN"/>
        </w:rPr>
        <w:t>加强规范性文件的全生命周期管理，及时做好公开文件的动态更新与归档工作。</w:t>
      </w:r>
    </w:p>
    <w:p w14:paraId="62E8C63B">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color w:val="auto"/>
          <w:kern w:val="0"/>
          <w:sz w:val="32"/>
          <w:szCs w:val="32"/>
          <w:lang w:val="en-US" w:eastAsia="zh-CN" w:bidi="ar"/>
        </w:rPr>
        <w:t>（四）政府信息公开平台建设。</w:t>
      </w:r>
      <w:r>
        <w:rPr>
          <w:rFonts w:hint="eastAsia" w:ascii="Times New Roman" w:hAnsi="Times New Roman" w:eastAsia="仿宋_GB2312" w:cs="仿宋_GB2312"/>
          <w:color w:val="auto"/>
          <w:kern w:val="0"/>
          <w:sz w:val="32"/>
          <w:szCs w:val="32"/>
          <w:lang w:val="en-US" w:eastAsia="zh-CN" w:bidi="ar"/>
        </w:rPr>
        <w:t>坚持政府门户网站作为信息公开第一平台</w:t>
      </w:r>
      <w:r>
        <w:rPr>
          <w:rFonts w:hint="eastAsia" w:ascii="Times New Roman" w:hAnsi="Times New Roman" w:eastAsia="仿宋_GB2312" w:cs="仿宋_GB2312"/>
          <w:color w:val="auto"/>
          <w:sz w:val="32"/>
          <w:szCs w:val="32"/>
          <w:lang w:val="en-US" w:eastAsia="zh-CN"/>
        </w:rPr>
        <w:t>，同时</w:t>
      </w:r>
      <w:r>
        <w:rPr>
          <w:rFonts w:hint="eastAsia" w:ascii="Times New Roman" w:hAnsi="Times New Roman" w:eastAsia="仿宋_GB2312" w:cs="Times New Roman"/>
          <w:color w:val="auto"/>
          <w:sz w:val="32"/>
          <w:szCs w:val="32"/>
          <w:lang w:val="en-US" w:eastAsia="zh-CN"/>
        </w:rPr>
        <w:t>强化政务新媒体建设与管理，</w:t>
      </w:r>
      <w:r>
        <w:rPr>
          <w:rFonts w:hint="eastAsia" w:ascii="Times New Roman" w:hAnsi="Times New Roman" w:eastAsia="仿宋_GB2312" w:cs="Times New Roman"/>
          <w:color w:val="auto"/>
          <w:kern w:val="0"/>
          <w:sz w:val="32"/>
          <w:szCs w:val="32"/>
          <w:lang w:val="en-US" w:eastAsia="zh-CN" w:bidi="ar"/>
        </w:rPr>
        <w:t>在“最威海是环翠”政企号发布工作动态72篇，紧紧围绕安全生产、防灾减灾救灾、应急救援等主责主业，开展精准化、常态化宣传，有效提升了公众安全意识和应急避险能力。</w:t>
      </w:r>
    </w:p>
    <w:p w14:paraId="2C64CD50">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eastAsia" w:ascii="Times New Roman" w:hAnsi="Times New Roman" w:eastAsia="楷体_GB2312" w:cs="楷体_GB2312"/>
          <w:color w:val="auto"/>
          <w:kern w:val="0"/>
          <w:sz w:val="32"/>
          <w:szCs w:val="32"/>
          <w:lang w:val="en-US" w:eastAsia="zh-CN" w:bidi="ar"/>
        </w:rPr>
        <w:t>（五）监督保障。</w:t>
      </w:r>
      <w:r>
        <w:rPr>
          <w:rFonts w:hint="eastAsia" w:ascii="Times New Roman" w:hAnsi="Times New Roman" w:eastAsia="仿宋_GB2312" w:cs="仿宋_GB2312"/>
          <w:color w:val="auto"/>
          <w:kern w:val="0"/>
          <w:sz w:val="32"/>
          <w:szCs w:val="32"/>
          <w:lang w:val="en-US" w:eastAsia="zh-CN" w:bidi="ar"/>
        </w:rPr>
        <w:t>明确</w:t>
      </w:r>
      <w:r>
        <w:rPr>
          <w:rFonts w:hint="default" w:ascii="Times New Roman" w:hAnsi="Times New Roman" w:eastAsia="仿宋_GB2312" w:cs="Times New Roman"/>
          <w:color w:val="auto"/>
          <w:kern w:val="0"/>
          <w:sz w:val="32"/>
          <w:szCs w:val="32"/>
          <w:lang w:val="en-US" w:eastAsia="zh-CN" w:bidi="ar"/>
        </w:rPr>
        <w:t>政务公开</w:t>
      </w:r>
      <w:r>
        <w:rPr>
          <w:rFonts w:hint="eastAsia" w:ascii="Times New Roman" w:hAnsi="Times New Roman" w:eastAsia="仿宋_GB2312" w:cs="Times New Roman"/>
          <w:color w:val="auto"/>
          <w:kern w:val="0"/>
          <w:sz w:val="32"/>
          <w:szCs w:val="32"/>
          <w:lang w:val="en-US" w:eastAsia="zh-CN" w:bidi="ar"/>
        </w:rPr>
        <w:t>的牵头科室为局</w:t>
      </w:r>
      <w:r>
        <w:rPr>
          <w:rFonts w:hint="default" w:ascii="Times New Roman" w:hAnsi="Times New Roman" w:eastAsia="仿宋_GB2312" w:cs="Times New Roman"/>
          <w:color w:val="auto"/>
          <w:kern w:val="0"/>
          <w:sz w:val="32"/>
          <w:szCs w:val="32"/>
          <w:lang w:val="en-US" w:eastAsia="zh-CN" w:bidi="ar"/>
        </w:rPr>
        <w:t>办公室</w:t>
      </w:r>
      <w:r>
        <w:rPr>
          <w:rFonts w:hint="eastAsia" w:ascii="Times New Roman" w:hAnsi="Times New Roman" w:eastAsia="仿宋_GB2312" w:cs="Times New Roman"/>
          <w:color w:val="auto"/>
          <w:kern w:val="0"/>
          <w:sz w:val="32"/>
          <w:szCs w:val="32"/>
          <w:lang w:val="en-US" w:eastAsia="zh-CN" w:bidi="ar"/>
        </w:rPr>
        <w:t>，负责统筹协调与督促落实政府信息公开工作。加强对各类网站的信息发布审核管理，安排专人开展政务公开网站工作，规范政府信息管理，切实提高局机关政府信息公开工作质量和效率。</w:t>
      </w:r>
    </w:p>
    <w:p w14:paraId="40EAB17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Times New Roman" w:hAnsi="Times New Roman" w:eastAsia="仿宋_GB2312" w:cs="仿宋_GB2312"/>
          <w:b w:val="0"/>
          <w:bCs/>
          <w:i w:val="0"/>
          <w:caps w:val="0"/>
          <w:color w:val="auto"/>
          <w:spacing w:val="0"/>
          <w:sz w:val="32"/>
          <w:szCs w:val="32"/>
          <w:shd w:val="clear" w:fill="FFFFFF"/>
          <w:lang w:eastAsia="zh-CN"/>
        </w:rPr>
      </w:pPr>
      <w:r>
        <w:rPr>
          <w:rFonts w:hint="eastAsia" w:ascii="Times New Roman" w:hAnsi="Times New Roman" w:eastAsia="黑体" w:cs="黑体"/>
          <w:b w:val="0"/>
          <w:bCs/>
          <w:i w:val="0"/>
          <w:caps w:val="0"/>
          <w:color w:val="auto"/>
          <w:spacing w:val="0"/>
          <w:sz w:val="32"/>
          <w:szCs w:val="32"/>
          <w:shd w:val="clear" w:fill="FFFFFF"/>
        </w:rPr>
        <w:t>二、主动公开政府信息情况</w:t>
      </w:r>
    </w:p>
    <w:tbl>
      <w:tblPr>
        <w:tblStyle w:val="6"/>
        <w:tblW w:w="5000" w:type="pct"/>
        <w:jc w:val="center"/>
        <w:tblLayout w:type="autofit"/>
        <w:tblCellMar>
          <w:top w:w="0" w:type="dxa"/>
          <w:left w:w="108" w:type="dxa"/>
          <w:bottom w:w="0" w:type="dxa"/>
          <w:right w:w="108" w:type="dxa"/>
        </w:tblCellMar>
      </w:tblPr>
      <w:tblGrid>
        <w:gridCol w:w="2560"/>
        <w:gridCol w:w="2240"/>
        <w:gridCol w:w="2240"/>
        <w:gridCol w:w="2248"/>
      </w:tblGrid>
      <w:tr w14:paraId="2CA7E867">
        <w:tblPrEx>
          <w:tblCellMar>
            <w:top w:w="0" w:type="dxa"/>
            <w:left w:w="108" w:type="dxa"/>
            <w:bottom w:w="0" w:type="dxa"/>
            <w:right w:w="108" w:type="dxa"/>
          </w:tblCellMar>
        </w:tblPrEx>
        <w:trPr>
          <w:trHeight w:val="567"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8B87287">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s="宋体"/>
                <w:color w:val="auto"/>
                <w:kern w:val="0"/>
                <w:sz w:val="21"/>
                <w:szCs w:val="21"/>
              </w:rPr>
            </w:pPr>
            <w:r>
              <w:rPr>
                <w:rFonts w:hint="eastAsia" w:ascii="Times New Roman" w:hAnsi="Times New Roman" w:eastAsia="黑体" w:cs="宋体"/>
                <w:color w:val="auto"/>
                <w:kern w:val="0"/>
                <w:sz w:val="21"/>
                <w:szCs w:val="21"/>
              </w:rPr>
              <w:t>第二十条第（一）项</w:t>
            </w:r>
          </w:p>
        </w:tc>
      </w:tr>
      <w:tr w14:paraId="58C341EA">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0A35CC3F">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信息内容</w:t>
            </w:r>
          </w:p>
        </w:tc>
        <w:tc>
          <w:tcPr>
            <w:tcW w:w="1206" w:type="pct"/>
            <w:tcBorders>
              <w:top w:val="nil"/>
              <w:left w:val="nil"/>
              <w:bottom w:val="single" w:color="auto" w:sz="8" w:space="0"/>
              <w:right w:val="single" w:color="auto" w:sz="8" w:space="0"/>
            </w:tcBorders>
            <w:shd w:val="clear" w:color="auto" w:fill="auto"/>
            <w:vAlign w:val="center"/>
          </w:tcPr>
          <w:p w14:paraId="20DF279E">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本年制发件数</w:t>
            </w:r>
          </w:p>
        </w:tc>
        <w:tc>
          <w:tcPr>
            <w:tcW w:w="1206" w:type="pct"/>
            <w:tcBorders>
              <w:top w:val="nil"/>
              <w:left w:val="nil"/>
              <w:bottom w:val="single" w:color="auto" w:sz="8" w:space="0"/>
              <w:right w:val="single" w:color="auto" w:sz="8" w:space="0"/>
            </w:tcBorders>
            <w:shd w:val="clear" w:color="auto" w:fill="auto"/>
            <w:vAlign w:val="center"/>
          </w:tcPr>
          <w:p w14:paraId="158E6226">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本年废止件数</w:t>
            </w:r>
          </w:p>
        </w:tc>
        <w:tc>
          <w:tcPr>
            <w:tcW w:w="1207" w:type="pct"/>
            <w:tcBorders>
              <w:top w:val="nil"/>
              <w:left w:val="nil"/>
              <w:bottom w:val="single" w:color="auto" w:sz="8" w:space="0"/>
              <w:right w:val="single" w:color="auto" w:sz="8" w:space="0"/>
            </w:tcBorders>
            <w:shd w:val="clear" w:color="auto" w:fill="auto"/>
            <w:vAlign w:val="center"/>
          </w:tcPr>
          <w:p w14:paraId="6D327F89">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现行有效件数</w:t>
            </w:r>
          </w:p>
        </w:tc>
      </w:tr>
      <w:tr w14:paraId="4F2EA169">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7EB5E67D">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规章</w:t>
            </w:r>
          </w:p>
        </w:tc>
        <w:tc>
          <w:tcPr>
            <w:tcW w:w="1206" w:type="pct"/>
            <w:tcBorders>
              <w:top w:val="nil"/>
              <w:left w:val="nil"/>
              <w:bottom w:val="single" w:color="auto" w:sz="8" w:space="0"/>
              <w:right w:val="single" w:color="auto" w:sz="8" w:space="0"/>
            </w:tcBorders>
            <w:shd w:val="clear" w:color="auto" w:fill="auto"/>
            <w:vAlign w:val="center"/>
          </w:tcPr>
          <w:p w14:paraId="3A0B8A8E">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宋体"/>
                <w:color w:val="auto"/>
                <w:kern w:val="0"/>
                <w:sz w:val="21"/>
                <w:szCs w:val="21"/>
                <w:lang w:val="en-US" w:eastAsia="zh-CN"/>
              </w:rPr>
            </w:pPr>
            <w:r>
              <w:rPr>
                <w:rFonts w:hint="eastAsia" w:ascii="Times New Roman" w:hAnsi="Times New Roman" w:eastAsia="仿宋_GB2312" w:cs="宋体"/>
                <w:color w:val="auto"/>
                <w:kern w:val="0"/>
                <w:sz w:val="21"/>
                <w:szCs w:val="21"/>
                <w:lang w:val="en-US" w:eastAsia="zh-CN"/>
              </w:rPr>
              <w:t>0</w:t>
            </w:r>
          </w:p>
        </w:tc>
        <w:tc>
          <w:tcPr>
            <w:tcW w:w="1206" w:type="pct"/>
            <w:tcBorders>
              <w:top w:val="nil"/>
              <w:left w:val="nil"/>
              <w:bottom w:val="single" w:color="auto" w:sz="8" w:space="0"/>
              <w:right w:val="single" w:color="auto" w:sz="8" w:space="0"/>
            </w:tcBorders>
            <w:shd w:val="clear" w:color="auto" w:fill="auto"/>
            <w:vAlign w:val="center"/>
          </w:tcPr>
          <w:p w14:paraId="520250E2">
            <w:pPr>
              <w:keepNext w:val="0"/>
              <w:keepLines w:val="0"/>
              <w:pageBreakBefore w:val="0"/>
              <w:widowControl w:val="0"/>
              <w:kinsoku/>
              <w:wordWrap/>
              <w:overflowPunct w:val="0"/>
              <w:topLinePunct w:val="0"/>
              <w:autoSpaceDE/>
              <w:autoSpaceDN/>
              <w:bidi w:val="0"/>
              <w:snapToGrid/>
              <w:jc w:val="center"/>
              <w:textAlignment w:val="auto"/>
              <w:rPr>
                <w:rFonts w:hint="eastAsia" w:ascii="Times New Roman" w:hAnsi="Times New Roman" w:eastAsia="仿宋_GB2312" w:cs="宋体"/>
                <w:color w:val="auto"/>
                <w:kern w:val="0"/>
                <w:sz w:val="21"/>
                <w:szCs w:val="21"/>
                <w:lang w:val="en-US" w:eastAsia="zh-CN"/>
              </w:rPr>
            </w:pPr>
            <w:r>
              <w:rPr>
                <w:rFonts w:hint="eastAsia" w:ascii="Times New Roman" w:hAnsi="Times New Roman" w:eastAsia="仿宋_GB2312" w:cs="宋体"/>
                <w:color w:val="auto"/>
                <w:kern w:val="0"/>
                <w:sz w:val="21"/>
                <w:szCs w:val="21"/>
                <w:lang w:val="en-US" w:eastAsia="zh-CN"/>
              </w:rPr>
              <w:t>0</w:t>
            </w:r>
          </w:p>
        </w:tc>
        <w:tc>
          <w:tcPr>
            <w:tcW w:w="1207" w:type="pct"/>
            <w:tcBorders>
              <w:top w:val="nil"/>
              <w:left w:val="nil"/>
              <w:bottom w:val="single" w:color="auto" w:sz="8" w:space="0"/>
              <w:right w:val="single" w:color="auto" w:sz="8" w:space="0"/>
            </w:tcBorders>
            <w:shd w:val="clear" w:color="auto" w:fill="auto"/>
            <w:vAlign w:val="center"/>
          </w:tcPr>
          <w:p w14:paraId="4B9CFFFE">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Calibri"/>
                <w:color w:val="auto"/>
                <w:kern w:val="0"/>
                <w:sz w:val="21"/>
                <w:szCs w:val="21"/>
                <w:lang w:val="en-US" w:eastAsia="zh-CN"/>
              </w:rPr>
            </w:pPr>
            <w:r>
              <w:rPr>
                <w:rFonts w:hint="eastAsia" w:ascii="Times New Roman" w:hAnsi="Times New Roman" w:eastAsia="仿宋_GB2312" w:cs="Calibri"/>
                <w:color w:val="auto"/>
                <w:kern w:val="0"/>
                <w:sz w:val="21"/>
                <w:szCs w:val="21"/>
                <w:lang w:val="en-US" w:eastAsia="zh-CN"/>
              </w:rPr>
              <w:t>0</w:t>
            </w:r>
          </w:p>
        </w:tc>
      </w:tr>
      <w:tr w14:paraId="7BA36A1D">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27E82738">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行政规范性文件</w:t>
            </w:r>
          </w:p>
        </w:tc>
        <w:tc>
          <w:tcPr>
            <w:tcW w:w="1206" w:type="pct"/>
            <w:tcBorders>
              <w:top w:val="nil"/>
              <w:left w:val="nil"/>
              <w:bottom w:val="single" w:color="auto" w:sz="8" w:space="0"/>
              <w:right w:val="single" w:color="auto" w:sz="8" w:space="0"/>
            </w:tcBorders>
            <w:shd w:val="clear" w:color="auto" w:fill="auto"/>
            <w:vAlign w:val="center"/>
          </w:tcPr>
          <w:p w14:paraId="70C570D0">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宋体"/>
                <w:color w:val="auto"/>
                <w:kern w:val="0"/>
                <w:sz w:val="21"/>
                <w:szCs w:val="21"/>
                <w:lang w:val="en-US" w:eastAsia="zh-CN"/>
              </w:rPr>
            </w:pPr>
            <w:r>
              <w:rPr>
                <w:rFonts w:hint="eastAsia" w:ascii="Times New Roman" w:hAnsi="Times New Roman" w:eastAsia="仿宋_GB2312" w:cs="宋体"/>
                <w:color w:val="auto"/>
                <w:kern w:val="0"/>
                <w:sz w:val="21"/>
                <w:szCs w:val="21"/>
                <w:lang w:val="en-US" w:eastAsia="zh-CN"/>
              </w:rPr>
              <w:t>0</w:t>
            </w:r>
          </w:p>
        </w:tc>
        <w:tc>
          <w:tcPr>
            <w:tcW w:w="1206" w:type="pct"/>
            <w:tcBorders>
              <w:top w:val="nil"/>
              <w:left w:val="nil"/>
              <w:bottom w:val="single" w:color="auto" w:sz="8" w:space="0"/>
              <w:right w:val="single" w:color="auto" w:sz="8" w:space="0"/>
            </w:tcBorders>
            <w:shd w:val="clear" w:color="auto" w:fill="auto"/>
            <w:vAlign w:val="center"/>
          </w:tcPr>
          <w:p w14:paraId="7C88155D">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宋体"/>
                <w:color w:val="auto"/>
                <w:kern w:val="0"/>
                <w:sz w:val="21"/>
                <w:szCs w:val="21"/>
                <w:lang w:val="en-US" w:eastAsia="zh-CN"/>
              </w:rPr>
            </w:pPr>
            <w:r>
              <w:rPr>
                <w:rFonts w:hint="eastAsia" w:ascii="Times New Roman" w:hAnsi="Times New Roman" w:eastAsia="仿宋_GB2312" w:cs="宋体"/>
                <w:color w:val="auto"/>
                <w:kern w:val="0"/>
                <w:sz w:val="21"/>
                <w:szCs w:val="21"/>
                <w:lang w:val="en-US" w:eastAsia="zh-CN"/>
              </w:rPr>
              <w:t>0</w:t>
            </w:r>
          </w:p>
        </w:tc>
        <w:tc>
          <w:tcPr>
            <w:tcW w:w="1207" w:type="pct"/>
            <w:tcBorders>
              <w:top w:val="nil"/>
              <w:left w:val="nil"/>
              <w:bottom w:val="single" w:color="auto" w:sz="8" w:space="0"/>
              <w:right w:val="single" w:color="auto" w:sz="8" w:space="0"/>
            </w:tcBorders>
            <w:shd w:val="clear" w:color="auto" w:fill="auto"/>
            <w:vAlign w:val="center"/>
          </w:tcPr>
          <w:p w14:paraId="7495A925">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宋体"/>
                <w:color w:val="auto"/>
                <w:kern w:val="0"/>
                <w:sz w:val="21"/>
                <w:szCs w:val="21"/>
                <w:lang w:val="en-US" w:eastAsia="zh-CN"/>
              </w:rPr>
            </w:pPr>
            <w:r>
              <w:rPr>
                <w:rFonts w:hint="eastAsia" w:ascii="Times New Roman" w:hAnsi="Times New Roman" w:eastAsia="仿宋_GB2312" w:cs="宋体"/>
                <w:color w:val="auto"/>
                <w:kern w:val="0"/>
                <w:sz w:val="21"/>
                <w:szCs w:val="21"/>
                <w:lang w:val="en-US" w:eastAsia="zh-CN"/>
              </w:rPr>
              <w:t>1</w:t>
            </w:r>
          </w:p>
        </w:tc>
      </w:tr>
      <w:tr w14:paraId="612001D3">
        <w:tblPrEx>
          <w:tblCellMar>
            <w:top w:w="0" w:type="dxa"/>
            <w:left w:w="108" w:type="dxa"/>
            <w:bottom w:w="0" w:type="dxa"/>
            <w:right w:w="108" w:type="dxa"/>
          </w:tblCellMar>
        </w:tblPrEx>
        <w:trPr>
          <w:trHeight w:val="567"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84E2B9E">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s="宋体"/>
                <w:color w:val="auto"/>
                <w:kern w:val="0"/>
                <w:sz w:val="21"/>
                <w:szCs w:val="21"/>
              </w:rPr>
            </w:pPr>
            <w:r>
              <w:rPr>
                <w:rFonts w:hint="eastAsia" w:ascii="Times New Roman" w:hAnsi="Times New Roman" w:eastAsia="黑体" w:cs="宋体"/>
                <w:color w:val="auto"/>
                <w:kern w:val="0"/>
                <w:sz w:val="21"/>
                <w:szCs w:val="21"/>
              </w:rPr>
              <w:t>第二十条第（五）项</w:t>
            </w:r>
          </w:p>
        </w:tc>
      </w:tr>
      <w:tr w14:paraId="76DA29F2">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4" w:space="0"/>
              <w:right w:val="single" w:color="auto" w:sz="8" w:space="0"/>
            </w:tcBorders>
            <w:shd w:val="clear" w:color="auto" w:fill="auto"/>
            <w:vAlign w:val="center"/>
          </w:tcPr>
          <w:p w14:paraId="00A88F89">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信息内容</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670607CE">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本年处理决定数量</w:t>
            </w:r>
          </w:p>
        </w:tc>
      </w:tr>
      <w:tr w14:paraId="3725511C">
        <w:tblPrEx>
          <w:tblCellMar>
            <w:top w:w="0" w:type="dxa"/>
            <w:left w:w="108" w:type="dxa"/>
            <w:bottom w:w="0" w:type="dxa"/>
            <w:right w:w="108" w:type="dxa"/>
          </w:tblCellMar>
        </w:tblPrEx>
        <w:trPr>
          <w:trHeight w:val="567" w:hRule="atLeast"/>
          <w:jc w:val="center"/>
        </w:trPr>
        <w:tc>
          <w:tcPr>
            <w:tcW w:w="1378" w:type="pct"/>
            <w:tcBorders>
              <w:top w:val="single" w:color="auto" w:sz="4" w:space="0"/>
              <w:left w:val="single" w:color="auto" w:sz="8" w:space="0"/>
              <w:bottom w:val="single" w:color="auto" w:sz="8" w:space="0"/>
              <w:right w:val="single" w:color="auto" w:sz="8" w:space="0"/>
            </w:tcBorders>
            <w:shd w:val="clear" w:color="auto" w:fill="auto"/>
            <w:vAlign w:val="center"/>
          </w:tcPr>
          <w:p w14:paraId="4E07891E">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行政许可</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750C512D">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Calibri"/>
                <w:color w:val="auto"/>
                <w:kern w:val="0"/>
                <w:sz w:val="21"/>
                <w:szCs w:val="21"/>
                <w:lang w:val="en-US" w:eastAsia="zh-CN"/>
              </w:rPr>
            </w:pPr>
            <w:r>
              <w:rPr>
                <w:rFonts w:hint="eastAsia" w:ascii="Times New Roman" w:hAnsi="Times New Roman" w:eastAsia="仿宋_GB2312" w:cs="Calibri"/>
                <w:color w:val="auto"/>
                <w:kern w:val="0"/>
                <w:sz w:val="21"/>
                <w:szCs w:val="21"/>
                <w:lang w:val="en-US" w:eastAsia="zh-CN"/>
              </w:rPr>
              <w:t>66</w:t>
            </w:r>
          </w:p>
        </w:tc>
      </w:tr>
      <w:tr w14:paraId="738BEA1D">
        <w:tblPrEx>
          <w:tblCellMar>
            <w:top w:w="0" w:type="dxa"/>
            <w:left w:w="108" w:type="dxa"/>
            <w:bottom w:w="0" w:type="dxa"/>
            <w:right w:w="108" w:type="dxa"/>
          </w:tblCellMar>
        </w:tblPrEx>
        <w:trPr>
          <w:trHeight w:val="567"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152423A">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s="宋体"/>
                <w:color w:val="auto"/>
                <w:kern w:val="0"/>
                <w:sz w:val="21"/>
                <w:szCs w:val="21"/>
              </w:rPr>
            </w:pPr>
            <w:r>
              <w:rPr>
                <w:rFonts w:hint="eastAsia" w:ascii="Times New Roman" w:hAnsi="Times New Roman" w:eastAsia="黑体" w:cs="宋体"/>
                <w:color w:val="auto"/>
                <w:kern w:val="0"/>
                <w:sz w:val="21"/>
                <w:szCs w:val="21"/>
              </w:rPr>
              <w:t>第二十条第（六）项</w:t>
            </w:r>
          </w:p>
        </w:tc>
      </w:tr>
      <w:tr w14:paraId="643EE8CC">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5F2B3F1D">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信息内容</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042B51AF">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本年处理决定数量</w:t>
            </w:r>
          </w:p>
        </w:tc>
      </w:tr>
      <w:tr w14:paraId="249F8939">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51A586C6">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行政处罚</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287FA0C8">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Calibri"/>
                <w:color w:val="auto"/>
                <w:kern w:val="0"/>
                <w:sz w:val="21"/>
                <w:szCs w:val="21"/>
                <w:lang w:val="en-US" w:eastAsia="zh-CN"/>
              </w:rPr>
            </w:pPr>
            <w:r>
              <w:rPr>
                <w:rFonts w:hint="eastAsia" w:ascii="Times New Roman" w:hAnsi="Times New Roman" w:eastAsia="仿宋_GB2312" w:cs="Calibri"/>
                <w:color w:val="auto"/>
                <w:kern w:val="0"/>
                <w:sz w:val="21"/>
                <w:szCs w:val="21"/>
                <w:lang w:val="en-US" w:eastAsia="zh-CN"/>
              </w:rPr>
              <w:t>24</w:t>
            </w:r>
          </w:p>
        </w:tc>
      </w:tr>
      <w:tr w14:paraId="60151C48">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6B58AF90">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行政强制</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42A47E35">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Calibri"/>
                <w:color w:val="auto"/>
                <w:kern w:val="0"/>
                <w:sz w:val="21"/>
                <w:szCs w:val="21"/>
                <w:lang w:val="en-US" w:eastAsia="zh-CN"/>
              </w:rPr>
            </w:pPr>
            <w:r>
              <w:rPr>
                <w:rFonts w:hint="eastAsia" w:ascii="Times New Roman" w:hAnsi="Times New Roman" w:eastAsia="仿宋_GB2312" w:cs="Calibri"/>
                <w:color w:val="auto"/>
                <w:kern w:val="0"/>
                <w:sz w:val="21"/>
                <w:szCs w:val="21"/>
                <w:lang w:val="en-US" w:eastAsia="zh-CN"/>
              </w:rPr>
              <w:t>0</w:t>
            </w:r>
          </w:p>
        </w:tc>
      </w:tr>
      <w:tr w14:paraId="1E0307B3">
        <w:tblPrEx>
          <w:tblCellMar>
            <w:top w:w="0" w:type="dxa"/>
            <w:left w:w="108" w:type="dxa"/>
            <w:bottom w:w="0" w:type="dxa"/>
            <w:right w:w="108" w:type="dxa"/>
          </w:tblCellMar>
        </w:tblPrEx>
        <w:trPr>
          <w:trHeight w:val="567"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72E2917">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s="宋体"/>
                <w:color w:val="auto"/>
                <w:kern w:val="0"/>
                <w:sz w:val="21"/>
                <w:szCs w:val="21"/>
              </w:rPr>
            </w:pPr>
            <w:r>
              <w:rPr>
                <w:rFonts w:hint="eastAsia" w:ascii="Times New Roman" w:hAnsi="Times New Roman" w:eastAsia="黑体" w:cs="宋体"/>
                <w:color w:val="auto"/>
                <w:kern w:val="0"/>
                <w:sz w:val="21"/>
                <w:szCs w:val="21"/>
              </w:rPr>
              <w:t>第二十条第（八）项</w:t>
            </w:r>
          </w:p>
        </w:tc>
      </w:tr>
      <w:tr w14:paraId="591B4F9D">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743EFFD7">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信息内容</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0AFA01AD">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本年收费金额（单位：万元）</w:t>
            </w:r>
          </w:p>
        </w:tc>
      </w:tr>
      <w:tr w14:paraId="592AFCA5">
        <w:tblPrEx>
          <w:tblCellMar>
            <w:top w:w="0" w:type="dxa"/>
            <w:left w:w="108" w:type="dxa"/>
            <w:bottom w:w="0" w:type="dxa"/>
            <w:right w:w="108" w:type="dxa"/>
          </w:tblCellMar>
        </w:tblPrEx>
        <w:trPr>
          <w:trHeight w:val="567" w:hRule="atLeast"/>
          <w:jc w:val="center"/>
        </w:trPr>
        <w:tc>
          <w:tcPr>
            <w:tcW w:w="1378" w:type="pct"/>
            <w:tcBorders>
              <w:top w:val="nil"/>
              <w:left w:val="single" w:color="auto" w:sz="8" w:space="0"/>
              <w:bottom w:val="single" w:color="auto" w:sz="8" w:space="0"/>
              <w:right w:val="single" w:color="auto" w:sz="8" w:space="0"/>
            </w:tcBorders>
            <w:shd w:val="clear" w:color="auto" w:fill="auto"/>
            <w:vAlign w:val="center"/>
          </w:tcPr>
          <w:p w14:paraId="61B4CB6D">
            <w:pPr>
              <w:keepNext w:val="0"/>
              <w:keepLines w:val="0"/>
              <w:pageBreakBefore w:val="0"/>
              <w:widowControl w:val="0"/>
              <w:kinsoku/>
              <w:wordWrap/>
              <w:overflowPunct w:val="0"/>
              <w:topLinePunct w:val="0"/>
              <w:autoSpaceDE/>
              <w:autoSpaceDN/>
              <w:bidi w:val="0"/>
              <w:snapToGrid/>
              <w:jc w:val="left"/>
              <w:textAlignment w:val="auto"/>
              <w:rPr>
                <w:rFonts w:ascii="Times New Roman" w:hAnsi="Times New Roman" w:eastAsia="仿宋_GB2312" w:cs="宋体"/>
                <w:color w:val="auto"/>
                <w:kern w:val="0"/>
                <w:sz w:val="21"/>
                <w:szCs w:val="21"/>
              </w:rPr>
            </w:pPr>
            <w:r>
              <w:rPr>
                <w:rFonts w:hint="eastAsia" w:ascii="Times New Roman" w:hAnsi="Times New Roman" w:eastAsia="仿宋_GB2312" w:cs="宋体"/>
                <w:color w:val="auto"/>
                <w:kern w:val="0"/>
                <w:sz w:val="21"/>
                <w:szCs w:val="21"/>
              </w:rPr>
              <w:t>行政事业性收费</w:t>
            </w:r>
          </w:p>
        </w:tc>
        <w:tc>
          <w:tcPr>
            <w:tcW w:w="3621" w:type="pct"/>
            <w:gridSpan w:val="3"/>
            <w:tcBorders>
              <w:top w:val="single" w:color="auto" w:sz="8" w:space="0"/>
              <w:left w:val="nil"/>
              <w:bottom w:val="single" w:color="auto" w:sz="8" w:space="0"/>
              <w:right w:val="single" w:color="000000" w:sz="8" w:space="0"/>
            </w:tcBorders>
            <w:shd w:val="clear" w:color="auto" w:fill="auto"/>
            <w:vAlign w:val="center"/>
          </w:tcPr>
          <w:p w14:paraId="52B4C830">
            <w:pPr>
              <w:keepNext w:val="0"/>
              <w:keepLines w:val="0"/>
              <w:pageBreakBefore w:val="0"/>
              <w:widowControl w:val="0"/>
              <w:kinsoku/>
              <w:wordWrap/>
              <w:overflowPunct w:val="0"/>
              <w:topLinePunct w:val="0"/>
              <w:autoSpaceDE/>
              <w:autoSpaceDN/>
              <w:bidi w:val="0"/>
              <w:snapToGrid/>
              <w:jc w:val="center"/>
              <w:textAlignment w:val="auto"/>
              <w:rPr>
                <w:rFonts w:hint="default" w:ascii="Times New Roman" w:hAnsi="Times New Roman" w:eastAsia="仿宋_GB2312" w:cs="Calibri"/>
                <w:color w:val="auto"/>
                <w:kern w:val="0"/>
                <w:sz w:val="21"/>
                <w:szCs w:val="21"/>
                <w:lang w:val="en-US" w:eastAsia="zh-CN"/>
              </w:rPr>
            </w:pPr>
            <w:r>
              <w:rPr>
                <w:rFonts w:hint="eastAsia" w:ascii="Times New Roman" w:hAnsi="Times New Roman" w:eastAsia="仿宋_GB2312" w:cs="Calibri"/>
                <w:color w:val="auto"/>
                <w:kern w:val="0"/>
                <w:sz w:val="21"/>
                <w:szCs w:val="21"/>
                <w:lang w:val="en-US" w:eastAsia="zh-CN"/>
              </w:rPr>
              <w:t>0</w:t>
            </w:r>
          </w:p>
        </w:tc>
      </w:tr>
    </w:tbl>
    <w:p w14:paraId="53109AFC">
      <w:pPr>
        <w:keepNext w:val="0"/>
        <w:keepLines w:val="0"/>
        <w:pageBreakBefore w:val="0"/>
        <w:widowControl w:val="0"/>
        <w:numPr>
          <w:ilvl w:val="0"/>
          <w:numId w:val="0"/>
        </w:numPr>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三、收到和处理政府信息公开申请情况</w:t>
      </w:r>
    </w:p>
    <w:tbl>
      <w:tblPr>
        <w:tblStyle w:val="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2"/>
        <w:gridCol w:w="1718"/>
        <w:gridCol w:w="3359"/>
        <w:gridCol w:w="578"/>
        <w:gridCol w:w="509"/>
        <w:gridCol w:w="509"/>
        <w:gridCol w:w="658"/>
        <w:gridCol w:w="658"/>
        <w:gridCol w:w="372"/>
        <w:gridCol w:w="515"/>
      </w:tblGrid>
      <w:tr w14:paraId="5983A1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954" w:type="pct"/>
            <w:gridSpan w:val="3"/>
            <w:vMerge w:val="restart"/>
            <w:shd w:val="clear" w:color="auto" w:fill="auto"/>
            <w:tcMar>
              <w:left w:w="108" w:type="dxa"/>
              <w:right w:w="108" w:type="dxa"/>
            </w:tcMar>
            <w:vAlign w:val="center"/>
          </w:tcPr>
          <w:p w14:paraId="471ACC3A">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楷体_GB2312"/>
                <w:color w:val="auto"/>
                <w:kern w:val="0"/>
                <w:sz w:val="21"/>
                <w:szCs w:val="21"/>
              </w:rPr>
            </w:pPr>
            <w:r>
              <w:rPr>
                <w:rFonts w:hint="eastAsia" w:ascii="Times New Roman" w:hAnsi="Times New Roman" w:eastAsia="楷体_GB2312"/>
                <w:color w:val="auto"/>
                <w:kern w:val="0"/>
                <w:sz w:val="21"/>
                <w:szCs w:val="21"/>
              </w:rPr>
              <w:t>（本列数据的勾稽关系为：第一项加第二项之和，</w:t>
            </w:r>
          </w:p>
          <w:p w14:paraId="62896565">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olor w:val="auto"/>
                <w:sz w:val="21"/>
                <w:szCs w:val="21"/>
              </w:rPr>
            </w:pPr>
            <w:r>
              <w:rPr>
                <w:rFonts w:hint="eastAsia" w:ascii="Times New Roman" w:hAnsi="Times New Roman" w:eastAsia="楷体_GB2312"/>
                <w:color w:val="auto"/>
                <w:kern w:val="0"/>
                <w:sz w:val="21"/>
                <w:szCs w:val="21"/>
              </w:rPr>
              <w:t>等于第三项加第四项之和）</w:t>
            </w:r>
          </w:p>
        </w:tc>
        <w:tc>
          <w:tcPr>
            <w:tcW w:w="2045" w:type="pct"/>
            <w:gridSpan w:val="7"/>
            <w:shd w:val="clear" w:color="auto" w:fill="auto"/>
            <w:tcMar>
              <w:left w:w="108" w:type="dxa"/>
              <w:right w:w="108" w:type="dxa"/>
            </w:tcMar>
            <w:vAlign w:val="center"/>
          </w:tcPr>
          <w:p w14:paraId="1777AADD">
            <w:pPr>
              <w:keepNext w:val="0"/>
              <w:keepLines w:val="0"/>
              <w:pageBreakBefore w:val="0"/>
              <w:widowControl w:val="0"/>
              <w:kinsoku/>
              <w:wordWrap/>
              <w:overflowPunct w:val="0"/>
              <w:topLinePunct w:val="0"/>
              <w:autoSpaceDE/>
              <w:autoSpaceDN/>
              <w:bidi w:val="0"/>
              <w:snapToGrid/>
              <w:spacing w:line="320" w:lineRule="exact"/>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申请人情况</w:t>
            </w:r>
          </w:p>
        </w:tc>
      </w:tr>
      <w:tr w14:paraId="176A50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954" w:type="pct"/>
            <w:gridSpan w:val="3"/>
            <w:vMerge w:val="continue"/>
            <w:shd w:val="clear" w:color="auto" w:fill="auto"/>
            <w:tcMar>
              <w:left w:w="108" w:type="dxa"/>
              <w:right w:w="108" w:type="dxa"/>
            </w:tcMar>
            <w:vAlign w:val="center"/>
          </w:tcPr>
          <w:p w14:paraId="2C605BB5">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olor w:val="auto"/>
                <w:sz w:val="21"/>
                <w:szCs w:val="21"/>
              </w:rPr>
            </w:pPr>
          </w:p>
        </w:tc>
        <w:tc>
          <w:tcPr>
            <w:tcW w:w="311" w:type="pct"/>
            <w:vMerge w:val="restart"/>
            <w:shd w:val="clear" w:color="auto" w:fill="auto"/>
            <w:tcMar>
              <w:left w:w="108" w:type="dxa"/>
              <w:right w:w="108" w:type="dxa"/>
            </w:tcMar>
            <w:vAlign w:val="center"/>
          </w:tcPr>
          <w:p w14:paraId="5D2C0227">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自然人</w:t>
            </w:r>
          </w:p>
        </w:tc>
        <w:tc>
          <w:tcPr>
            <w:tcW w:w="1456" w:type="pct"/>
            <w:gridSpan w:val="5"/>
            <w:shd w:val="clear" w:color="auto" w:fill="auto"/>
            <w:tcMar>
              <w:left w:w="108" w:type="dxa"/>
              <w:right w:w="108" w:type="dxa"/>
            </w:tcMar>
            <w:vAlign w:val="center"/>
          </w:tcPr>
          <w:p w14:paraId="3DCB5B81">
            <w:pPr>
              <w:keepNext w:val="0"/>
              <w:keepLines w:val="0"/>
              <w:pageBreakBefore w:val="0"/>
              <w:widowControl w:val="0"/>
              <w:kinsoku/>
              <w:wordWrap/>
              <w:overflowPunct w:val="0"/>
              <w:topLinePunct w:val="0"/>
              <w:autoSpaceDE/>
              <w:autoSpaceDN/>
              <w:bidi w:val="0"/>
              <w:snapToGrid/>
              <w:spacing w:line="320" w:lineRule="exact"/>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法人或其他组织</w:t>
            </w:r>
          </w:p>
        </w:tc>
        <w:tc>
          <w:tcPr>
            <w:tcW w:w="277" w:type="pct"/>
            <w:vMerge w:val="restart"/>
            <w:shd w:val="clear" w:color="auto" w:fill="auto"/>
            <w:tcMar>
              <w:left w:w="108" w:type="dxa"/>
              <w:right w:w="108" w:type="dxa"/>
            </w:tcMar>
            <w:vAlign w:val="center"/>
          </w:tcPr>
          <w:p w14:paraId="50A589AD">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总计</w:t>
            </w:r>
          </w:p>
        </w:tc>
      </w:tr>
      <w:tr w14:paraId="7DB535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2954" w:type="pct"/>
            <w:gridSpan w:val="3"/>
            <w:vMerge w:val="continue"/>
            <w:shd w:val="clear" w:color="auto" w:fill="auto"/>
            <w:tcMar>
              <w:left w:w="108" w:type="dxa"/>
              <w:right w:w="108" w:type="dxa"/>
            </w:tcMar>
            <w:vAlign w:val="center"/>
          </w:tcPr>
          <w:p w14:paraId="7345BD44">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olor w:val="auto"/>
                <w:sz w:val="21"/>
                <w:szCs w:val="21"/>
              </w:rPr>
            </w:pPr>
          </w:p>
        </w:tc>
        <w:tc>
          <w:tcPr>
            <w:tcW w:w="311" w:type="pct"/>
            <w:vMerge w:val="continue"/>
            <w:shd w:val="clear" w:color="auto" w:fill="auto"/>
            <w:tcMar>
              <w:left w:w="108" w:type="dxa"/>
              <w:right w:w="108" w:type="dxa"/>
            </w:tcMar>
            <w:vAlign w:val="center"/>
          </w:tcPr>
          <w:p w14:paraId="2A65B5C1">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274" w:type="pct"/>
            <w:shd w:val="clear" w:color="auto" w:fill="auto"/>
            <w:tcMar>
              <w:left w:w="108" w:type="dxa"/>
              <w:right w:w="108" w:type="dxa"/>
            </w:tcMar>
            <w:vAlign w:val="center"/>
          </w:tcPr>
          <w:p w14:paraId="71D1FF8B">
            <w:pPr>
              <w:keepNext w:val="0"/>
              <w:keepLines w:val="0"/>
              <w:pageBreakBefore w:val="0"/>
              <w:widowControl w:val="0"/>
              <w:kinsoku/>
              <w:wordWrap/>
              <w:overflowPunct w:val="0"/>
              <w:topLinePunct w:val="0"/>
              <w:autoSpaceDE/>
              <w:autoSpaceDN/>
              <w:bidi w:val="0"/>
              <w:snapToGrid/>
              <w:spacing w:line="320" w:lineRule="exact"/>
              <w:ind w:left="-106" w:leftChars="-51" w:right="-107" w:rightChars="-51" w:hanging="1"/>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商业企业</w:t>
            </w:r>
          </w:p>
        </w:tc>
        <w:tc>
          <w:tcPr>
            <w:tcW w:w="274" w:type="pct"/>
            <w:shd w:val="clear" w:color="auto" w:fill="auto"/>
            <w:tcMar>
              <w:left w:w="108" w:type="dxa"/>
              <w:right w:w="108" w:type="dxa"/>
            </w:tcMar>
            <w:vAlign w:val="center"/>
          </w:tcPr>
          <w:p w14:paraId="7C8BF189">
            <w:pPr>
              <w:keepNext w:val="0"/>
              <w:keepLines w:val="0"/>
              <w:pageBreakBefore w:val="0"/>
              <w:widowControl w:val="0"/>
              <w:kinsoku/>
              <w:wordWrap/>
              <w:overflowPunct w:val="0"/>
              <w:topLinePunct w:val="0"/>
              <w:autoSpaceDE/>
              <w:autoSpaceDN/>
              <w:bidi w:val="0"/>
              <w:snapToGrid/>
              <w:spacing w:line="320" w:lineRule="exact"/>
              <w:ind w:left="-107" w:leftChars="-51" w:right="-107" w:rightChars="-51"/>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科研机构</w:t>
            </w:r>
          </w:p>
        </w:tc>
        <w:tc>
          <w:tcPr>
            <w:tcW w:w="354" w:type="pct"/>
            <w:shd w:val="clear" w:color="auto" w:fill="auto"/>
            <w:tcMar>
              <w:left w:w="108" w:type="dxa"/>
              <w:right w:w="108" w:type="dxa"/>
            </w:tcMar>
            <w:vAlign w:val="center"/>
          </w:tcPr>
          <w:p w14:paraId="506DBBDE">
            <w:pPr>
              <w:keepNext w:val="0"/>
              <w:keepLines w:val="0"/>
              <w:pageBreakBefore w:val="0"/>
              <w:widowControl w:val="0"/>
              <w:kinsoku/>
              <w:wordWrap/>
              <w:overflowPunct w:val="0"/>
              <w:topLinePunct w:val="0"/>
              <w:autoSpaceDE/>
              <w:autoSpaceDN/>
              <w:bidi w:val="0"/>
              <w:snapToGrid/>
              <w:spacing w:line="320" w:lineRule="exact"/>
              <w:ind w:left="-107" w:leftChars="-51" w:right="-107" w:rightChars="-51"/>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社会公益组织</w:t>
            </w:r>
          </w:p>
        </w:tc>
        <w:tc>
          <w:tcPr>
            <w:tcW w:w="354" w:type="pct"/>
            <w:shd w:val="clear" w:color="auto" w:fill="auto"/>
            <w:tcMar>
              <w:left w:w="108" w:type="dxa"/>
              <w:right w:w="108" w:type="dxa"/>
            </w:tcMar>
            <w:vAlign w:val="center"/>
          </w:tcPr>
          <w:p w14:paraId="21DC6AAC">
            <w:pPr>
              <w:keepNext w:val="0"/>
              <w:keepLines w:val="0"/>
              <w:pageBreakBefore w:val="0"/>
              <w:widowControl w:val="0"/>
              <w:kinsoku/>
              <w:wordWrap/>
              <w:overflowPunct w:val="0"/>
              <w:topLinePunct w:val="0"/>
              <w:autoSpaceDE/>
              <w:autoSpaceDN/>
              <w:bidi w:val="0"/>
              <w:snapToGrid/>
              <w:spacing w:line="320" w:lineRule="exact"/>
              <w:ind w:left="-106" w:leftChars="-51" w:right="-107" w:rightChars="-51" w:hanging="1"/>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法律服务机构</w:t>
            </w:r>
          </w:p>
        </w:tc>
        <w:tc>
          <w:tcPr>
            <w:tcW w:w="200" w:type="pct"/>
            <w:shd w:val="clear" w:color="auto" w:fill="auto"/>
            <w:tcMar>
              <w:left w:w="108" w:type="dxa"/>
              <w:right w:w="108" w:type="dxa"/>
            </w:tcMar>
            <w:vAlign w:val="center"/>
          </w:tcPr>
          <w:p w14:paraId="1AE6BED5">
            <w:pPr>
              <w:keepNext w:val="0"/>
              <w:keepLines w:val="0"/>
              <w:pageBreakBefore w:val="0"/>
              <w:widowControl w:val="0"/>
              <w:kinsoku/>
              <w:wordWrap/>
              <w:overflowPunct w:val="0"/>
              <w:topLinePunct w:val="0"/>
              <w:autoSpaceDE/>
              <w:autoSpaceDN/>
              <w:bidi w:val="0"/>
              <w:snapToGrid/>
              <w:spacing w:line="360" w:lineRule="exact"/>
              <w:ind w:left="-63" w:leftChars="-30" w:right="-134" w:rightChars="-64"/>
              <w:jc w:val="center"/>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其他</w:t>
            </w:r>
          </w:p>
        </w:tc>
        <w:tc>
          <w:tcPr>
            <w:tcW w:w="277" w:type="pct"/>
            <w:vMerge w:val="continue"/>
            <w:shd w:val="clear" w:color="auto" w:fill="auto"/>
            <w:tcMar>
              <w:left w:w="108" w:type="dxa"/>
              <w:right w:w="108" w:type="dxa"/>
            </w:tcMar>
            <w:vAlign w:val="center"/>
          </w:tcPr>
          <w:p w14:paraId="29128C51">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仿宋_GB2312"/>
                <w:color w:val="auto"/>
                <w:sz w:val="21"/>
                <w:szCs w:val="21"/>
              </w:rPr>
            </w:pPr>
          </w:p>
        </w:tc>
      </w:tr>
      <w:tr w14:paraId="1EF81B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954" w:type="pct"/>
            <w:gridSpan w:val="3"/>
            <w:shd w:val="clear" w:color="auto" w:fill="auto"/>
            <w:tcMar>
              <w:left w:w="108" w:type="dxa"/>
              <w:right w:w="108" w:type="dxa"/>
            </w:tcMar>
            <w:vAlign w:val="center"/>
          </w:tcPr>
          <w:p w14:paraId="6250A4E5">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一、</w:t>
            </w:r>
            <w:bookmarkStart w:id="0" w:name="_Hlk66973412"/>
            <w:r>
              <w:rPr>
                <w:rFonts w:hint="eastAsia" w:ascii="Times New Roman" w:hAnsi="Times New Roman" w:eastAsia="黑体"/>
                <w:color w:val="auto"/>
                <w:kern w:val="0"/>
                <w:sz w:val="21"/>
                <w:szCs w:val="21"/>
              </w:rPr>
              <w:t>本年新收政府信息公开申请数量</w:t>
            </w:r>
            <w:bookmarkEnd w:id="0"/>
          </w:p>
        </w:tc>
        <w:tc>
          <w:tcPr>
            <w:tcW w:w="311" w:type="pct"/>
            <w:shd w:val="clear" w:color="auto" w:fill="auto"/>
            <w:tcMar>
              <w:left w:w="108" w:type="dxa"/>
              <w:right w:w="108" w:type="dxa"/>
            </w:tcMar>
            <w:vAlign w:val="center"/>
          </w:tcPr>
          <w:p w14:paraId="375C8BB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2</w:t>
            </w:r>
          </w:p>
        </w:tc>
        <w:tc>
          <w:tcPr>
            <w:tcW w:w="274" w:type="pct"/>
            <w:shd w:val="clear" w:color="auto" w:fill="auto"/>
            <w:tcMar>
              <w:left w:w="108" w:type="dxa"/>
              <w:right w:w="108" w:type="dxa"/>
            </w:tcMar>
            <w:vAlign w:val="center"/>
          </w:tcPr>
          <w:p w14:paraId="2E82A12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1F99DB7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4701E01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C5F816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5397B70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569CACE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2</w:t>
            </w:r>
          </w:p>
        </w:tc>
      </w:tr>
      <w:tr w14:paraId="7F977E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954" w:type="pct"/>
            <w:gridSpan w:val="3"/>
            <w:shd w:val="clear" w:color="auto" w:fill="auto"/>
            <w:tcMar>
              <w:left w:w="108" w:type="dxa"/>
              <w:right w:w="108" w:type="dxa"/>
            </w:tcMar>
            <w:vAlign w:val="center"/>
          </w:tcPr>
          <w:p w14:paraId="64C2D705">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二、上年结转政府信息公开申请数量</w:t>
            </w:r>
          </w:p>
        </w:tc>
        <w:tc>
          <w:tcPr>
            <w:tcW w:w="311" w:type="pct"/>
            <w:shd w:val="clear" w:color="auto" w:fill="auto"/>
            <w:tcMar>
              <w:left w:w="108" w:type="dxa"/>
              <w:right w:w="108" w:type="dxa"/>
            </w:tcMar>
            <w:vAlign w:val="center"/>
          </w:tcPr>
          <w:p w14:paraId="0C1A4E8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34EB262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B56B5F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4A5172E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215918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6F56ACF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4E53A99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2E8416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1" w:type="pct"/>
            <w:vMerge w:val="restart"/>
            <w:shd w:val="clear" w:color="auto" w:fill="auto"/>
            <w:tcMar>
              <w:left w:w="108" w:type="dxa"/>
              <w:right w:w="108" w:type="dxa"/>
            </w:tcMar>
            <w:vAlign w:val="center"/>
          </w:tcPr>
          <w:p w14:paraId="593637EA">
            <w:pPr>
              <w:keepNext w:val="0"/>
              <w:keepLines w:val="0"/>
              <w:pageBreakBefore w:val="0"/>
              <w:widowControl w:val="0"/>
              <w:kinsoku/>
              <w:wordWrap/>
              <w:overflowPunct w:val="0"/>
              <w:topLinePunct w:val="0"/>
              <w:autoSpaceDE/>
              <w:autoSpaceDN/>
              <w:bidi w:val="0"/>
              <w:snapToGrid/>
              <w:spacing w:after="180"/>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三、本年度办理结果</w:t>
            </w:r>
          </w:p>
        </w:tc>
        <w:tc>
          <w:tcPr>
            <w:tcW w:w="2733" w:type="pct"/>
            <w:gridSpan w:val="2"/>
            <w:shd w:val="clear" w:color="auto" w:fill="auto"/>
            <w:tcMar>
              <w:left w:w="108" w:type="dxa"/>
              <w:right w:w="108" w:type="dxa"/>
            </w:tcMar>
            <w:vAlign w:val="center"/>
          </w:tcPr>
          <w:p w14:paraId="31329A1A">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（一）予以公开</w:t>
            </w:r>
          </w:p>
        </w:tc>
        <w:tc>
          <w:tcPr>
            <w:tcW w:w="311" w:type="pct"/>
            <w:shd w:val="clear" w:color="auto" w:fill="auto"/>
            <w:tcMar>
              <w:left w:w="108" w:type="dxa"/>
              <w:right w:w="108" w:type="dxa"/>
            </w:tcMar>
            <w:vAlign w:val="center"/>
          </w:tcPr>
          <w:p w14:paraId="56A3BCC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9A35F4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B91782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311BA1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E82E77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1C52422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3261FAD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593E0F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1" w:type="pct"/>
            <w:vMerge w:val="continue"/>
            <w:shd w:val="clear" w:color="auto" w:fill="auto"/>
            <w:tcMar>
              <w:left w:w="108" w:type="dxa"/>
              <w:right w:w="108" w:type="dxa"/>
            </w:tcMar>
            <w:vAlign w:val="center"/>
          </w:tcPr>
          <w:p w14:paraId="10F9B776">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2733" w:type="pct"/>
            <w:gridSpan w:val="2"/>
            <w:shd w:val="clear" w:color="auto" w:fill="auto"/>
            <w:tcMar>
              <w:left w:w="108" w:type="dxa"/>
              <w:right w:w="108" w:type="dxa"/>
            </w:tcMar>
            <w:vAlign w:val="center"/>
          </w:tcPr>
          <w:p w14:paraId="5A1E8D37">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（二）部分公开</w:t>
            </w:r>
            <w:r>
              <w:rPr>
                <w:rFonts w:hint="eastAsia" w:ascii="Times New Roman" w:hAnsi="Times New Roman" w:eastAsia="楷体_GB2312" w:cs="楷体_GB2312"/>
                <w:color w:val="auto"/>
                <w:kern w:val="0"/>
                <w:sz w:val="21"/>
                <w:szCs w:val="21"/>
              </w:rPr>
              <w:t>（</w:t>
            </w:r>
            <w:bookmarkStart w:id="1" w:name="_Hlk66973981"/>
            <w:r>
              <w:rPr>
                <w:rFonts w:hint="eastAsia" w:ascii="Times New Roman" w:hAnsi="Times New Roman" w:eastAsia="楷体_GB2312" w:cs="楷体_GB2312"/>
                <w:color w:val="auto"/>
                <w:kern w:val="0"/>
                <w:sz w:val="21"/>
                <w:szCs w:val="21"/>
              </w:rPr>
              <w:t>区分处理的，只计这一情形，不计其他情形</w:t>
            </w:r>
            <w:bookmarkEnd w:id="1"/>
            <w:r>
              <w:rPr>
                <w:rFonts w:hint="eastAsia" w:ascii="Times New Roman" w:hAnsi="Times New Roman" w:eastAsia="楷体_GB2312" w:cs="楷体_GB2312"/>
                <w:color w:val="auto"/>
                <w:kern w:val="0"/>
                <w:sz w:val="21"/>
                <w:szCs w:val="21"/>
              </w:rPr>
              <w:t>）</w:t>
            </w:r>
          </w:p>
        </w:tc>
        <w:tc>
          <w:tcPr>
            <w:tcW w:w="311" w:type="pct"/>
            <w:shd w:val="clear" w:color="auto" w:fill="auto"/>
            <w:tcMar>
              <w:left w:w="108" w:type="dxa"/>
              <w:right w:w="108" w:type="dxa"/>
            </w:tcMar>
            <w:vAlign w:val="center"/>
          </w:tcPr>
          <w:p w14:paraId="480B81F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09C061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3D53F87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2C292D5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E12187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34ABA6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5E3311E3">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627817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6D0199CA">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restart"/>
            <w:shd w:val="clear" w:color="auto" w:fill="auto"/>
            <w:tcMar>
              <w:left w:w="108" w:type="dxa"/>
              <w:right w:w="108" w:type="dxa"/>
            </w:tcMar>
            <w:vAlign w:val="center"/>
          </w:tcPr>
          <w:p w14:paraId="0AB1F8D6">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（三）不予公开</w:t>
            </w:r>
          </w:p>
        </w:tc>
        <w:tc>
          <w:tcPr>
            <w:tcW w:w="1808" w:type="pct"/>
            <w:shd w:val="clear" w:color="auto" w:fill="auto"/>
            <w:tcMar>
              <w:left w:w="108" w:type="dxa"/>
              <w:right w:w="108" w:type="dxa"/>
            </w:tcMar>
            <w:vAlign w:val="center"/>
          </w:tcPr>
          <w:p w14:paraId="003934FF">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1.属于国家秘密</w:t>
            </w:r>
          </w:p>
        </w:tc>
        <w:tc>
          <w:tcPr>
            <w:tcW w:w="311" w:type="pct"/>
            <w:shd w:val="clear" w:color="auto" w:fill="auto"/>
            <w:tcMar>
              <w:left w:w="108" w:type="dxa"/>
              <w:right w:w="108" w:type="dxa"/>
            </w:tcMar>
            <w:vAlign w:val="center"/>
          </w:tcPr>
          <w:p w14:paraId="5F52114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ADEA4D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63CE15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B61C5D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32320B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9783AA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3BF5E75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2048A3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2212C70D">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7AFE3042">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39397329">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2.</w:t>
            </w:r>
            <w:bookmarkStart w:id="2" w:name="_Hlk66974104"/>
            <w:r>
              <w:rPr>
                <w:rFonts w:hint="eastAsia" w:ascii="Times New Roman" w:hAnsi="Times New Roman" w:eastAsia="黑体" w:cs="黑体"/>
                <w:color w:val="auto"/>
                <w:kern w:val="0"/>
                <w:sz w:val="21"/>
                <w:szCs w:val="21"/>
              </w:rPr>
              <w:t>其他法律行政法规禁止公开</w:t>
            </w:r>
            <w:bookmarkEnd w:id="2"/>
          </w:p>
        </w:tc>
        <w:tc>
          <w:tcPr>
            <w:tcW w:w="311" w:type="pct"/>
            <w:shd w:val="clear" w:color="auto" w:fill="auto"/>
            <w:tcMar>
              <w:left w:w="108" w:type="dxa"/>
              <w:right w:w="108" w:type="dxa"/>
            </w:tcMar>
            <w:vAlign w:val="center"/>
          </w:tcPr>
          <w:p w14:paraId="105D2383">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BB935B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3136532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01DE677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2D0F8C9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284BAF4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36F4BFB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06AEDF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2DA73233">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356CED84">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3320F5E0">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3.危及“三安全一稳定”</w:t>
            </w:r>
          </w:p>
        </w:tc>
        <w:tc>
          <w:tcPr>
            <w:tcW w:w="311" w:type="pct"/>
            <w:shd w:val="clear" w:color="auto" w:fill="auto"/>
            <w:tcMar>
              <w:left w:w="108" w:type="dxa"/>
              <w:right w:w="108" w:type="dxa"/>
            </w:tcMar>
            <w:vAlign w:val="center"/>
          </w:tcPr>
          <w:p w14:paraId="4BF88BF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8CED0B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A50447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50F07A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27B7FB7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36C4B0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6768AE3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4DFE5D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43C695B9">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6640EA2A">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29EA81C6">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4.</w:t>
            </w:r>
            <w:bookmarkStart w:id="3" w:name="_Hlk66974290"/>
            <w:r>
              <w:rPr>
                <w:rFonts w:hint="eastAsia" w:ascii="Times New Roman" w:hAnsi="Times New Roman" w:eastAsia="黑体" w:cs="黑体"/>
                <w:color w:val="auto"/>
                <w:kern w:val="0"/>
                <w:sz w:val="21"/>
                <w:szCs w:val="21"/>
              </w:rPr>
              <w:t>保护第三方合法权益</w:t>
            </w:r>
            <w:bookmarkEnd w:id="3"/>
          </w:p>
        </w:tc>
        <w:tc>
          <w:tcPr>
            <w:tcW w:w="311" w:type="pct"/>
            <w:shd w:val="clear" w:color="auto" w:fill="auto"/>
            <w:tcMar>
              <w:left w:w="108" w:type="dxa"/>
              <w:right w:w="108" w:type="dxa"/>
            </w:tcMar>
            <w:vAlign w:val="center"/>
          </w:tcPr>
          <w:p w14:paraId="442CA32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B1D30A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9D63CB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F83CF5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1D4BAE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07F3048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07CC89E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4C5226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7E8E8FAA">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392D5B1B">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64003516">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5.属于三类内部事务信息</w:t>
            </w:r>
          </w:p>
        </w:tc>
        <w:tc>
          <w:tcPr>
            <w:tcW w:w="311" w:type="pct"/>
            <w:shd w:val="clear" w:color="auto" w:fill="auto"/>
            <w:tcMar>
              <w:left w:w="108" w:type="dxa"/>
              <w:right w:w="108" w:type="dxa"/>
            </w:tcMar>
            <w:vAlign w:val="center"/>
          </w:tcPr>
          <w:p w14:paraId="7948E7B3">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14A433C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0B0737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20A237E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069669C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D3C265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732286A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5F9FD2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4D8226D7">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23C9A5DC">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2838E7D9">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6.</w:t>
            </w:r>
            <w:bookmarkStart w:id="4" w:name="_Hlk66974555"/>
            <w:r>
              <w:rPr>
                <w:rFonts w:hint="eastAsia" w:ascii="Times New Roman" w:hAnsi="Times New Roman" w:eastAsia="黑体" w:cs="黑体"/>
                <w:color w:val="auto"/>
                <w:kern w:val="0"/>
                <w:sz w:val="21"/>
                <w:szCs w:val="21"/>
              </w:rPr>
              <w:t>属于四类过程性信息</w:t>
            </w:r>
            <w:bookmarkEnd w:id="4"/>
          </w:p>
        </w:tc>
        <w:tc>
          <w:tcPr>
            <w:tcW w:w="311" w:type="pct"/>
            <w:shd w:val="clear" w:color="auto" w:fill="auto"/>
            <w:tcMar>
              <w:left w:w="108" w:type="dxa"/>
              <w:right w:w="108" w:type="dxa"/>
            </w:tcMar>
            <w:vAlign w:val="center"/>
          </w:tcPr>
          <w:p w14:paraId="346A0753">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1</w:t>
            </w:r>
          </w:p>
        </w:tc>
        <w:tc>
          <w:tcPr>
            <w:tcW w:w="274" w:type="pct"/>
            <w:shd w:val="clear" w:color="auto" w:fill="auto"/>
            <w:tcMar>
              <w:left w:w="108" w:type="dxa"/>
              <w:right w:w="108" w:type="dxa"/>
            </w:tcMar>
            <w:vAlign w:val="center"/>
          </w:tcPr>
          <w:p w14:paraId="5CC7E86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8B00F8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960362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CF740D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6C04EC1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50F5A56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1</w:t>
            </w:r>
          </w:p>
        </w:tc>
      </w:tr>
      <w:tr w14:paraId="251542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54303A96">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6D386665">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5DD958E2">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7.属于行政执法案卷</w:t>
            </w:r>
          </w:p>
        </w:tc>
        <w:tc>
          <w:tcPr>
            <w:tcW w:w="311" w:type="pct"/>
            <w:shd w:val="clear" w:color="auto" w:fill="auto"/>
            <w:tcMar>
              <w:left w:w="108" w:type="dxa"/>
              <w:right w:w="108" w:type="dxa"/>
            </w:tcMar>
            <w:vAlign w:val="center"/>
          </w:tcPr>
          <w:p w14:paraId="4C4C6F6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54B64E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5C44F0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89F1AB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D869B3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12827B8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244C18B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0AB2B1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1B723409">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258BB2C0">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764C3255">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8.</w:t>
            </w:r>
            <w:bookmarkStart w:id="5" w:name="_Hlk66975211"/>
            <w:r>
              <w:rPr>
                <w:rFonts w:hint="eastAsia" w:ascii="Times New Roman" w:hAnsi="Times New Roman" w:eastAsia="黑体" w:cs="黑体"/>
                <w:color w:val="auto"/>
                <w:kern w:val="0"/>
                <w:sz w:val="21"/>
                <w:szCs w:val="21"/>
              </w:rPr>
              <w:t>属于行政查询事项</w:t>
            </w:r>
            <w:bookmarkEnd w:id="5"/>
          </w:p>
        </w:tc>
        <w:tc>
          <w:tcPr>
            <w:tcW w:w="311" w:type="pct"/>
            <w:shd w:val="clear" w:color="auto" w:fill="auto"/>
            <w:tcMar>
              <w:left w:w="108" w:type="dxa"/>
              <w:right w:w="108" w:type="dxa"/>
            </w:tcMar>
            <w:vAlign w:val="center"/>
          </w:tcPr>
          <w:p w14:paraId="042F875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758D362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052B9A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D70A21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FCACC4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1D83F0B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4FA834D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r w14:paraId="2D7EDD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0EBDDA2F">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restart"/>
            <w:shd w:val="clear" w:color="auto" w:fill="auto"/>
            <w:tcMar>
              <w:left w:w="108" w:type="dxa"/>
              <w:right w:w="108" w:type="dxa"/>
            </w:tcMar>
            <w:vAlign w:val="center"/>
          </w:tcPr>
          <w:p w14:paraId="5B67DA3C">
            <w:pPr>
              <w:keepNext w:val="0"/>
              <w:keepLines w:val="0"/>
              <w:pageBreakBefore w:val="0"/>
              <w:widowControl w:val="0"/>
              <w:kinsoku/>
              <w:wordWrap/>
              <w:overflowPunct w:val="0"/>
              <w:topLinePunct w:val="0"/>
              <w:autoSpaceDE/>
              <w:autoSpaceDN/>
              <w:bidi w:val="0"/>
              <w:adjustRightInd/>
              <w:snapToGrid/>
              <w:spacing w:line="300" w:lineRule="exact"/>
              <w:ind w:left="-107" w:leftChars="-51"/>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（四）无法提供</w:t>
            </w:r>
          </w:p>
        </w:tc>
        <w:tc>
          <w:tcPr>
            <w:tcW w:w="1808" w:type="pct"/>
            <w:shd w:val="clear" w:color="auto" w:fill="auto"/>
            <w:tcMar>
              <w:left w:w="108" w:type="dxa"/>
              <w:right w:w="108" w:type="dxa"/>
            </w:tcMar>
            <w:vAlign w:val="center"/>
          </w:tcPr>
          <w:p w14:paraId="4E619B4C">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1.本机关不掌握相关政府信息</w:t>
            </w:r>
          </w:p>
        </w:tc>
        <w:tc>
          <w:tcPr>
            <w:tcW w:w="311" w:type="pct"/>
            <w:shd w:val="clear" w:color="auto" w:fill="auto"/>
            <w:tcMar>
              <w:left w:w="108" w:type="dxa"/>
              <w:right w:w="108" w:type="dxa"/>
            </w:tcMar>
            <w:vAlign w:val="center"/>
          </w:tcPr>
          <w:p w14:paraId="29F3233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1</w:t>
            </w:r>
          </w:p>
        </w:tc>
        <w:tc>
          <w:tcPr>
            <w:tcW w:w="274" w:type="pct"/>
            <w:shd w:val="clear" w:color="auto" w:fill="auto"/>
            <w:tcMar>
              <w:left w:w="108" w:type="dxa"/>
              <w:right w:w="108" w:type="dxa"/>
            </w:tcMar>
            <w:vAlign w:val="center"/>
          </w:tcPr>
          <w:p w14:paraId="4F75828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0129CB9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292A077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394E48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7D440F8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47C5C3B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1</w:t>
            </w:r>
          </w:p>
        </w:tc>
      </w:tr>
      <w:tr w14:paraId="282344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408A8321">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3C6CB727">
            <w:pPr>
              <w:keepNext w:val="0"/>
              <w:keepLines w:val="0"/>
              <w:pageBreakBefore w:val="0"/>
              <w:widowControl w:val="0"/>
              <w:kinsoku/>
              <w:wordWrap/>
              <w:overflowPunct w:val="0"/>
              <w:topLinePunct w:val="0"/>
              <w:autoSpaceDE/>
              <w:autoSpaceDN/>
              <w:bidi w:val="0"/>
              <w:adjustRightInd/>
              <w:snapToGrid/>
              <w:spacing w:line="300" w:lineRule="exact"/>
              <w:ind w:left="-107" w:leftChars="-51"/>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01263BBB">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2.</w:t>
            </w:r>
            <w:bookmarkStart w:id="6" w:name="_Hlk66975392"/>
            <w:r>
              <w:rPr>
                <w:rFonts w:hint="eastAsia" w:ascii="Times New Roman" w:hAnsi="Times New Roman" w:eastAsia="黑体" w:cs="黑体"/>
                <w:color w:val="auto"/>
                <w:kern w:val="0"/>
                <w:sz w:val="21"/>
                <w:szCs w:val="21"/>
              </w:rPr>
              <w:t>没有现成信息需要另行制作</w:t>
            </w:r>
            <w:bookmarkEnd w:id="6"/>
          </w:p>
        </w:tc>
        <w:tc>
          <w:tcPr>
            <w:tcW w:w="311" w:type="pct"/>
            <w:shd w:val="clear" w:color="auto" w:fill="auto"/>
            <w:tcMar>
              <w:left w:w="108" w:type="dxa"/>
              <w:right w:w="108" w:type="dxa"/>
            </w:tcMar>
            <w:vAlign w:val="center"/>
          </w:tcPr>
          <w:p w14:paraId="1456F5B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1867474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3D7011D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3283D8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1708698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7BB9794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1CF44D2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1F83D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61FBB12C">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52D5550F">
            <w:pPr>
              <w:keepNext w:val="0"/>
              <w:keepLines w:val="0"/>
              <w:pageBreakBefore w:val="0"/>
              <w:widowControl w:val="0"/>
              <w:kinsoku/>
              <w:wordWrap/>
              <w:overflowPunct w:val="0"/>
              <w:topLinePunct w:val="0"/>
              <w:autoSpaceDE/>
              <w:autoSpaceDN/>
              <w:bidi w:val="0"/>
              <w:adjustRightInd/>
              <w:snapToGrid/>
              <w:spacing w:line="300" w:lineRule="exact"/>
              <w:ind w:left="-107" w:leftChars="-51"/>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0DB5AE5B">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3.</w:t>
            </w:r>
            <w:bookmarkStart w:id="7" w:name="_Hlk66975466"/>
            <w:r>
              <w:rPr>
                <w:rFonts w:hint="eastAsia" w:ascii="Times New Roman" w:hAnsi="Times New Roman" w:eastAsia="黑体" w:cs="黑体"/>
                <w:color w:val="auto"/>
                <w:kern w:val="0"/>
                <w:sz w:val="21"/>
                <w:szCs w:val="21"/>
              </w:rPr>
              <w:t>补正后申请内容仍不明确</w:t>
            </w:r>
            <w:bookmarkEnd w:id="7"/>
          </w:p>
        </w:tc>
        <w:tc>
          <w:tcPr>
            <w:tcW w:w="311" w:type="pct"/>
            <w:shd w:val="clear" w:color="auto" w:fill="auto"/>
            <w:tcMar>
              <w:left w:w="108" w:type="dxa"/>
              <w:right w:w="108" w:type="dxa"/>
            </w:tcMar>
            <w:vAlign w:val="center"/>
          </w:tcPr>
          <w:p w14:paraId="6AB789F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498D7A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B91A21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913FBB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A0AF7B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C7C62F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51F733E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0BADF9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7337D59A">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restart"/>
            <w:shd w:val="clear" w:color="auto" w:fill="auto"/>
            <w:tcMar>
              <w:left w:w="108" w:type="dxa"/>
              <w:right w:w="108" w:type="dxa"/>
            </w:tcMar>
            <w:vAlign w:val="center"/>
          </w:tcPr>
          <w:p w14:paraId="54ECF9CB">
            <w:pPr>
              <w:keepNext w:val="0"/>
              <w:keepLines w:val="0"/>
              <w:pageBreakBefore w:val="0"/>
              <w:widowControl w:val="0"/>
              <w:kinsoku/>
              <w:wordWrap/>
              <w:overflowPunct w:val="0"/>
              <w:topLinePunct w:val="0"/>
              <w:autoSpaceDE/>
              <w:autoSpaceDN/>
              <w:bidi w:val="0"/>
              <w:adjustRightInd/>
              <w:snapToGrid/>
              <w:spacing w:line="300" w:lineRule="exact"/>
              <w:ind w:left="-107" w:leftChars="-51"/>
              <w:textAlignment w:val="auto"/>
              <w:rPr>
                <w:rFonts w:ascii="Times New Roman" w:hAnsi="Times New Roman" w:eastAsia="黑体"/>
                <w:color w:val="auto"/>
                <w:sz w:val="21"/>
                <w:szCs w:val="21"/>
              </w:rPr>
            </w:pPr>
            <w:r>
              <w:rPr>
                <w:rFonts w:hint="eastAsia" w:ascii="Times New Roman" w:hAnsi="Times New Roman" w:eastAsia="黑体"/>
                <w:color w:val="auto"/>
                <w:kern w:val="0"/>
                <w:sz w:val="21"/>
                <w:szCs w:val="21"/>
              </w:rPr>
              <w:t>（五）不予处理</w:t>
            </w:r>
          </w:p>
        </w:tc>
        <w:tc>
          <w:tcPr>
            <w:tcW w:w="1808" w:type="pct"/>
            <w:shd w:val="clear" w:color="auto" w:fill="auto"/>
            <w:tcMar>
              <w:left w:w="108" w:type="dxa"/>
              <w:right w:w="108" w:type="dxa"/>
            </w:tcMar>
            <w:vAlign w:val="center"/>
          </w:tcPr>
          <w:p w14:paraId="41F9EA4B">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1.</w:t>
            </w:r>
            <w:bookmarkStart w:id="8" w:name="_Hlk66975537"/>
            <w:r>
              <w:rPr>
                <w:rFonts w:hint="eastAsia" w:ascii="Times New Roman" w:hAnsi="Times New Roman" w:eastAsia="黑体" w:cs="黑体"/>
                <w:color w:val="auto"/>
                <w:kern w:val="0"/>
                <w:sz w:val="21"/>
                <w:szCs w:val="21"/>
              </w:rPr>
              <w:t>信访举报投诉类申请</w:t>
            </w:r>
            <w:bookmarkEnd w:id="8"/>
          </w:p>
        </w:tc>
        <w:tc>
          <w:tcPr>
            <w:tcW w:w="311" w:type="pct"/>
            <w:shd w:val="clear" w:color="auto" w:fill="auto"/>
            <w:tcMar>
              <w:left w:w="108" w:type="dxa"/>
              <w:right w:w="108" w:type="dxa"/>
            </w:tcMar>
            <w:vAlign w:val="center"/>
          </w:tcPr>
          <w:p w14:paraId="71FA8AC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862E4F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78D5FC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76687DE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4BC031D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6BB6DDE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60A13F1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7782CE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72D3DC5E">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0B88753E">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79F89667">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kern w:val="0"/>
                <w:sz w:val="21"/>
                <w:szCs w:val="21"/>
              </w:rPr>
              <w:t>2.重复申请</w:t>
            </w:r>
          </w:p>
        </w:tc>
        <w:tc>
          <w:tcPr>
            <w:tcW w:w="311" w:type="pct"/>
            <w:shd w:val="clear" w:color="auto" w:fill="auto"/>
            <w:tcMar>
              <w:left w:w="108" w:type="dxa"/>
              <w:right w:w="108" w:type="dxa"/>
            </w:tcMar>
            <w:vAlign w:val="center"/>
          </w:tcPr>
          <w:p w14:paraId="40768776">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DEB532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451B322">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0983011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6BAC9A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67B6E0F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7DC8238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1405CC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18F8192A">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2E7D8659">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20F31023">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sz w:val="21"/>
                <w:szCs w:val="21"/>
              </w:rPr>
            </w:pPr>
            <w:r>
              <w:rPr>
                <w:rFonts w:hint="eastAsia" w:ascii="Times New Roman" w:hAnsi="Times New Roman" w:eastAsia="黑体" w:cs="黑体"/>
                <w:color w:val="auto"/>
                <w:kern w:val="0"/>
                <w:sz w:val="21"/>
                <w:szCs w:val="21"/>
              </w:rPr>
              <w:t>3.要求提供公开出版物</w:t>
            </w:r>
          </w:p>
        </w:tc>
        <w:tc>
          <w:tcPr>
            <w:tcW w:w="311" w:type="pct"/>
            <w:shd w:val="clear" w:color="auto" w:fill="auto"/>
            <w:tcMar>
              <w:left w:w="108" w:type="dxa"/>
              <w:right w:w="108" w:type="dxa"/>
            </w:tcMar>
            <w:vAlign w:val="center"/>
          </w:tcPr>
          <w:p w14:paraId="618C5FC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3B583D6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C4D64B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3A9F72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010015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5F54ABD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63BAADE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66F7EF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221" w:type="pct"/>
            <w:vMerge w:val="continue"/>
            <w:shd w:val="clear" w:color="auto" w:fill="auto"/>
            <w:tcMar>
              <w:left w:w="108" w:type="dxa"/>
              <w:right w:w="108" w:type="dxa"/>
            </w:tcMar>
            <w:vAlign w:val="center"/>
          </w:tcPr>
          <w:p w14:paraId="7A290B88">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35427947">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06EE66A6">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sz w:val="21"/>
                <w:szCs w:val="21"/>
              </w:rPr>
            </w:pPr>
            <w:r>
              <w:rPr>
                <w:rFonts w:hint="eastAsia" w:ascii="Times New Roman" w:hAnsi="Times New Roman" w:eastAsia="黑体" w:cs="黑体"/>
                <w:color w:val="auto"/>
                <w:kern w:val="0"/>
                <w:sz w:val="21"/>
                <w:szCs w:val="21"/>
              </w:rPr>
              <w:t>4.无正当理由大量反复申请</w:t>
            </w:r>
          </w:p>
        </w:tc>
        <w:tc>
          <w:tcPr>
            <w:tcW w:w="311" w:type="pct"/>
            <w:shd w:val="clear" w:color="auto" w:fill="auto"/>
            <w:tcMar>
              <w:left w:w="108" w:type="dxa"/>
              <w:right w:w="108" w:type="dxa"/>
            </w:tcMar>
            <w:vAlign w:val="center"/>
          </w:tcPr>
          <w:p w14:paraId="192D03F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4A387E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1079200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47C415A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CE0E18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7017BCB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2A5B751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32B4A8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21" w:type="pct"/>
            <w:vMerge w:val="continue"/>
            <w:shd w:val="clear" w:color="auto" w:fill="auto"/>
            <w:tcMar>
              <w:left w:w="108" w:type="dxa"/>
              <w:right w:w="108" w:type="dxa"/>
            </w:tcMar>
            <w:vAlign w:val="center"/>
          </w:tcPr>
          <w:p w14:paraId="326908A8">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1B5ABEB3">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sz w:val="21"/>
                <w:szCs w:val="21"/>
              </w:rPr>
            </w:pPr>
          </w:p>
        </w:tc>
        <w:tc>
          <w:tcPr>
            <w:tcW w:w="1808" w:type="pct"/>
            <w:shd w:val="clear" w:color="auto" w:fill="auto"/>
            <w:tcMar>
              <w:left w:w="108" w:type="dxa"/>
              <w:right w:w="108" w:type="dxa"/>
            </w:tcMar>
            <w:vAlign w:val="center"/>
          </w:tcPr>
          <w:p w14:paraId="7DD34492">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sz w:val="21"/>
                <w:szCs w:val="21"/>
              </w:rPr>
            </w:pPr>
            <w:r>
              <w:rPr>
                <w:rFonts w:hint="eastAsia" w:ascii="Times New Roman" w:hAnsi="Times New Roman" w:eastAsia="黑体" w:cs="黑体"/>
                <w:color w:val="auto"/>
                <w:kern w:val="0"/>
                <w:sz w:val="21"/>
                <w:szCs w:val="21"/>
              </w:rPr>
              <w:t>5.要求行政机关确认或重新出具已获取信息</w:t>
            </w:r>
          </w:p>
        </w:tc>
        <w:tc>
          <w:tcPr>
            <w:tcW w:w="311" w:type="pct"/>
            <w:shd w:val="clear" w:color="auto" w:fill="auto"/>
            <w:tcMar>
              <w:left w:w="108" w:type="dxa"/>
              <w:right w:w="108" w:type="dxa"/>
            </w:tcMar>
            <w:vAlign w:val="center"/>
          </w:tcPr>
          <w:p w14:paraId="16C3158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44F956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B741DB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5D40DA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0C63D4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7E65BAA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2F1146C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097469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64" w:hRule="atLeast"/>
          <w:jc w:val="center"/>
        </w:trPr>
        <w:tc>
          <w:tcPr>
            <w:tcW w:w="221" w:type="pct"/>
            <w:vMerge w:val="continue"/>
            <w:shd w:val="clear" w:color="auto" w:fill="auto"/>
            <w:tcMar>
              <w:left w:w="108" w:type="dxa"/>
              <w:right w:w="108" w:type="dxa"/>
            </w:tcMar>
            <w:vAlign w:val="center"/>
          </w:tcPr>
          <w:p w14:paraId="10CFA609">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restart"/>
            <w:shd w:val="clear" w:color="auto" w:fill="auto"/>
            <w:tcMar>
              <w:left w:w="108" w:type="dxa"/>
              <w:right w:w="108" w:type="dxa"/>
            </w:tcMar>
            <w:vAlign w:val="center"/>
          </w:tcPr>
          <w:p w14:paraId="723E2CC4">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kern w:val="0"/>
                <w:sz w:val="21"/>
                <w:szCs w:val="21"/>
              </w:rPr>
            </w:pPr>
            <w:r>
              <w:rPr>
                <w:rFonts w:hint="eastAsia" w:ascii="Times New Roman" w:hAnsi="Times New Roman" w:eastAsia="黑体"/>
                <w:color w:val="auto"/>
                <w:kern w:val="0"/>
                <w:sz w:val="21"/>
                <w:szCs w:val="21"/>
              </w:rPr>
              <w:t>（六）其他处理</w:t>
            </w:r>
          </w:p>
        </w:tc>
        <w:tc>
          <w:tcPr>
            <w:tcW w:w="1808" w:type="pct"/>
            <w:shd w:val="clear" w:color="auto" w:fill="auto"/>
            <w:vAlign w:val="center"/>
          </w:tcPr>
          <w:p w14:paraId="4F26A0AF">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sz w:val="21"/>
                <w:szCs w:val="21"/>
              </w:rPr>
            </w:pPr>
            <w:r>
              <w:rPr>
                <w:rFonts w:hint="eastAsia" w:ascii="Times New Roman" w:hAnsi="Times New Roman" w:eastAsia="黑体" w:cs="黑体"/>
                <w:color w:val="auto"/>
                <w:kern w:val="0"/>
                <w:sz w:val="21"/>
                <w:szCs w:val="21"/>
                <w:lang w:val="en-US" w:eastAsia="zh-CN"/>
              </w:rPr>
              <w:t xml:space="preserve"> 1.</w:t>
            </w:r>
            <w:r>
              <w:rPr>
                <w:rFonts w:hint="eastAsia" w:ascii="Times New Roman" w:hAnsi="Times New Roman" w:eastAsia="黑体" w:cs="黑体"/>
                <w:color w:val="auto"/>
                <w:kern w:val="0"/>
                <w:sz w:val="21"/>
                <w:szCs w:val="21"/>
              </w:rPr>
              <w:t>申请人无正当理由逾期不补正、行政机关不再处理其政府信息公开申请</w:t>
            </w:r>
          </w:p>
        </w:tc>
        <w:tc>
          <w:tcPr>
            <w:tcW w:w="311" w:type="pct"/>
            <w:shd w:val="clear" w:color="auto" w:fill="auto"/>
            <w:tcMar>
              <w:left w:w="108" w:type="dxa"/>
              <w:right w:w="108" w:type="dxa"/>
            </w:tcMar>
            <w:vAlign w:val="center"/>
          </w:tcPr>
          <w:p w14:paraId="4F3C23B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07328AA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0358A53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5BCAE88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BBD8B7E">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76FD5FF">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06C6B83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4CDF12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64" w:hRule="atLeast"/>
          <w:jc w:val="center"/>
        </w:trPr>
        <w:tc>
          <w:tcPr>
            <w:tcW w:w="221" w:type="pct"/>
            <w:vMerge w:val="continue"/>
            <w:shd w:val="clear" w:color="auto" w:fill="auto"/>
            <w:tcMar>
              <w:left w:w="108" w:type="dxa"/>
              <w:right w:w="108" w:type="dxa"/>
            </w:tcMar>
            <w:vAlign w:val="center"/>
          </w:tcPr>
          <w:p w14:paraId="4F4360AC">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4F79C914">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kern w:val="0"/>
                <w:sz w:val="21"/>
                <w:szCs w:val="21"/>
              </w:rPr>
            </w:pPr>
          </w:p>
        </w:tc>
        <w:tc>
          <w:tcPr>
            <w:tcW w:w="1808" w:type="pct"/>
            <w:shd w:val="clear" w:color="auto" w:fill="auto"/>
            <w:vAlign w:val="center"/>
          </w:tcPr>
          <w:p w14:paraId="5A6A8817">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sz w:val="21"/>
                <w:szCs w:val="21"/>
                <w:lang w:val="en-US" w:eastAsia="zh-CN"/>
              </w:rPr>
              <w:t xml:space="preserve"> </w:t>
            </w:r>
            <w:r>
              <w:rPr>
                <w:rFonts w:hint="eastAsia" w:ascii="Times New Roman" w:hAnsi="Times New Roman" w:eastAsia="黑体" w:cs="黑体"/>
                <w:color w:val="auto"/>
                <w:sz w:val="21"/>
                <w:szCs w:val="21"/>
              </w:rPr>
              <w:t>2.申请人逾期未按收费通知要求缴纳费用、行政机关不再处理其政府信息公开申请</w:t>
            </w:r>
          </w:p>
        </w:tc>
        <w:tc>
          <w:tcPr>
            <w:tcW w:w="311" w:type="pct"/>
            <w:shd w:val="clear" w:color="auto" w:fill="auto"/>
            <w:tcMar>
              <w:left w:w="108" w:type="dxa"/>
              <w:right w:w="108" w:type="dxa"/>
            </w:tcMar>
            <w:vAlign w:val="center"/>
          </w:tcPr>
          <w:p w14:paraId="01D77AF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4C21EB3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60890CF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12AFAC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159DABD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17BA0AA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5B8DF694">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164F09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1" w:type="pct"/>
            <w:vMerge w:val="continue"/>
            <w:shd w:val="clear" w:color="auto" w:fill="auto"/>
            <w:tcMar>
              <w:left w:w="108" w:type="dxa"/>
              <w:right w:w="108" w:type="dxa"/>
            </w:tcMar>
            <w:vAlign w:val="center"/>
          </w:tcPr>
          <w:p w14:paraId="0500C2C0">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924" w:type="pct"/>
            <w:vMerge w:val="continue"/>
            <w:shd w:val="clear" w:color="auto" w:fill="auto"/>
            <w:tcMar>
              <w:left w:w="108" w:type="dxa"/>
              <w:right w:w="108" w:type="dxa"/>
            </w:tcMar>
            <w:vAlign w:val="center"/>
          </w:tcPr>
          <w:p w14:paraId="143C6AF6">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kern w:val="0"/>
                <w:sz w:val="21"/>
                <w:szCs w:val="21"/>
              </w:rPr>
            </w:pPr>
          </w:p>
        </w:tc>
        <w:tc>
          <w:tcPr>
            <w:tcW w:w="1808" w:type="pct"/>
            <w:shd w:val="clear" w:color="auto" w:fill="auto"/>
            <w:vAlign w:val="center"/>
          </w:tcPr>
          <w:p w14:paraId="4C3D72E0">
            <w:pPr>
              <w:keepNext w:val="0"/>
              <w:keepLines w:val="0"/>
              <w:pageBreakBefore w:val="0"/>
              <w:widowControl w:val="0"/>
              <w:kinsoku/>
              <w:wordWrap/>
              <w:overflowPunct w:val="0"/>
              <w:topLinePunct w:val="0"/>
              <w:autoSpaceDE/>
              <w:autoSpaceDN/>
              <w:bidi w:val="0"/>
              <w:adjustRightInd/>
              <w:snapToGrid/>
              <w:spacing w:line="300" w:lineRule="exact"/>
              <w:textAlignment w:val="auto"/>
              <w:rPr>
                <w:rFonts w:hint="eastAsia" w:ascii="Times New Roman" w:hAnsi="Times New Roman" w:eastAsia="黑体" w:cs="黑体"/>
                <w:color w:val="auto"/>
                <w:kern w:val="0"/>
                <w:sz w:val="21"/>
                <w:szCs w:val="21"/>
              </w:rPr>
            </w:pPr>
            <w:r>
              <w:rPr>
                <w:rFonts w:hint="eastAsia" w:ascii="Times New Roman" w:hAnsi="Times New Roman" w:eastAsia="黑体" w:cs="黑体"/>
                <w:color w:val="auto"/>
                <w:sz w:val="21"/>
                <w:szCs w:val="21"/>
                <w:lang w:val="en-US" w:eastAsia="zh-CN"/>
              </w:rPr>
              <w:t xml:space="preserve"> </w:t>
            </w:r>
            <w:r>
              <w:rPr>
                <w:rFonts w:hint="eastAsia" w:ascii="Times New Roman" w:hAnsi="Times New Roman" w:eastAsia="黑体" w:cs="黑体"/>
                <w:color w:val="auto"/>
                <w:sz w:val="21"/>
                <w:szCs w:val="21"/>
              </w:rPr>
              <w:t>3.其他</w:t>
            </w:r>
          </w:p>
        </w:tc>
        <w:tc>
          <w:tcPr>
            <w:tcW w:w="311" w:type="pct"/>
            <w:shd w:val="clear" w:color="auto" w:fill="auto"/>
            <w:tcMar>
              <w:left w:w="108" w:type="dxa"/>
              <w:right w:w="108" w:type="dxa"/>
            </w:tcMar>
            <w:vAlign w:val="center"/>
          </w:tcPr>
          <w:p w14:paraId="13DC2315">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04559E0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271E65A3">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B20A81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CD5A19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652F569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67C8B26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 w:val="21"/>
                <w:szCs w:val="21"/>
                <w:lang w:val="en-US" w:eastAsia="zh-CN"/>
              </w:rPr>
              <w:t>0</w:t>
            </w:r>
          </w:p>
        </w:tc>
      </w:tr>
      <w:tr w14:paraId="2B34FE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21" w:type="pct"/>
            <w:vMerge w:val="continue"/>
            <w:shd w:val="clear" w:color="auto" w:fill="auto"/>
            <w:tcMar>
              <w:left w:w="108" w:type="dxa"/>
              <w:right w:w="108" w:type="dxa"/>
            </w:tcMar>
            <w:vAlign w:val="center"/>
          </w:tcPr>
          <w:p w14:paraId="22F8422D">
            <w:pPr>
              <w:keepNext w:val="0"/>
              <w:keepLines w:val="0"/>
              <w:pageBreakBefore w:val="0"/>
              <w:widowControl w:val="0"/>
              <w:kinsoku/>
              <w:wordWrap/>
              <w:overflowPunct w:val="0"/>
              <w:topLinePunct w:val="0"/>
              <w:autoSpaceDE/>
              <w:autoSpaceDN/>
              <w:bidi w:val="0"/>
              <w:snapToGrid/>
              <w:textAlignment w:val="auto"/>
              <w:rPr>
                <w:rFonts w:ascii="Times New Roman" w:hAnsi="Times New Roman" w:eastAsia="黑体"/>
                <w:color w:val="auto"/>
                <w:sz w:val="21"/>
                <w:szCs w:val="21"/>
              </w:rPr>
            </w:pPr>
          </w:p>
        </w:tc>
        <w:tc>
          <w:tcPr>
            <w:tcW w:w="2733" w:type="pct"/>
            <w:gridSpan w:val="2"/>
            <w:shd w:val="clear" w:color="auto" w:fill="auto"/>
            <w:tcMar>
              <w:left w:w="108" w:type="dxa"/>
              <w:right w:w="108" w:type="dxa"/>
            </w:tcMar>
            <w:vAlign w:val="center"/>
          </w:tcPr>
          <w:p w14:paraId="7CCBE220">
            <w:pPr>
              <w:keepNext w:val="0"/>
              <w:keepLines w:val="0"/>
              <w:pageBreakBefore w:val="0"/>
              <w:widowControl w:val="0"/>
              <w:kinsoku/>
              <w:wordWrap/>
              <w:overflowPunct w:val="0"/>
              <w:topLinePunct w:val="0"/>
              <w:autoSpaceDE/>
              <w:autoSpaceDN/>
              <w:bidi w:val="0"/>
              <w:adjustRightInd/>
              <w:snapToGrid/>
              <w:spacing w:line="300" w:lineRule="exact"/>
              <w:textAlignment w:val="auto"/>
              <w:rPr>
                <w:rFonts w:ascii="Times New Roman" w:hAnsi="Times New Roman" w:eastAsia="黑体"/>
                <w:color w:val="auto"/>
                <w:kern w:val="0"/>
                <w:sz w:val="21"/>
                <w:szCs w:val="21"/>
              </w:rPr>
            </w:pPr>
            <w:r>
              <w:rPr>
                <w:rFonts w:hint="eastAsia" w:ascii="Times New Roman" w:hAnsi="Times New Roman" w:eastAsia="黑体"/>
                <w:color w:val="auto"/>
                <w:kern w:val="0"/>
                <w:sz w:val="21"/>
                <w:szCs w:val="21"/>
              </w:rPr>
              <w:t>（七）总计</w:t>
            </w:r>
          </w:p>
        </w:tc>
        <w:tc>
          <w:tcPr>
            <w:tcW w:w="311" w:type="pct"/>
            <w:shd w:val="clear" w:color="auto" w:fill="auto"/>
            <w:tcMar>
              <w:left w:w="108" w:type="dxa"/>
              <w:right w:w="108" w:type="dxa"/>
            </w:tcMar>
            <w:vAlign w:val="center"/>
          </w:tcPr>
          <w:p w14:paraId="142A43CD">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2</w:t>
            </w:r>
          </w:p>
        </w:tc>
        <w:tc>
          <w:tcPr>
            <w:tcW w:w="274" w:type="pct"/>
            <w:shd w:val="clear" w:color="auto" w:fill="auto"/>
            <w:tcMar>
              <w:left w:w="108" w:type="dxa"/>
              <w:right w:w="108" w:type="dxa"/>
            </w:tcMar>
            <w:vAlign w:val="center"/>
          </w:tcPr>
          <w:p w14:paraId="104B4B7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0CDA90A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15D166E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3705C2F7">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2195F9C9">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09F5678C">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2</w:t>
            </w:r>
          </w:p>
        </w:tc>
      </w:tr>
      <w:tr w14:paraId="6E62F5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2954" w:type="pct"/>
            <w:gridSpan w:val="3"/>
            <w:shd w:val="clear" w:color="auto" w:fill="auto"/>
            <w:tcMar>
              <w:left w:w="108" w:type="dxa"/>
              <w:right w:w="108" w:type="dxa"/>
            </w:tcMar>
            <w:vAlign w:val="center"/>
          </w:tcPr>
          <w:p w14:paraId="2D834F1A">
            <w:pPr>
              <w:keepNext w:val="0"/>
              <w:keepLines w:val="0"/>
              <w:pageBreakBefore w:val="0"/>
              <w:widowControl w:val="0"/>
              <w:kinsoku/>
              <w:wordWrap/>
              <w:overflowPunct w:val="0"/>
              <w:topLinePunct w:val="0"/>
              <w:autoSpaceDE/>
              <w:autoSpaceDN/>
              <w:bidi w:val="0"/>
              <w:snapToGrid/>
              <w:spacing w:line="300" w:lineRule="exact"/>
              <w:textAlignment w:val="auto"/>
              <w:rPr>
                <w:rFonts w:ascii="Times New Roman" w:hAnsi="Times New Roman" w:eastAsia="黑体"/>
                <w:color w:val="auto"/>
                <w:kern w:val="0"/>
                <w:sz w:val="21"/>
                <w:szCs w:val="21"/>
              </w:rPr>
            </w:pPr>
            <w:r>
              <w:rPr>
                <w:rFonts w:hint="eastAsia" w:ascii="Times New Roman" w:hAnsi="Times New Roman" w:eastAsia="黑体"/>
                <w:color w:val="auto"/>
                <w:kern w:val="0"/>
                <w:sz w:val="21"/>
                <w:szCs w:val="21"/>
              </w:rPr>
              <w:t>四、结转下年度继续办理</w:t>
            </w:r>
          </w:p>
        </w:tc>
        <w:tc>
          <w:tcPr>
            <w:tcW w:w="311" w:type="pct"/>
            <w:shd w:val="clear" w:color="auto" w:fill="auto"/>
            <w:tcMar>
              <w:left w:w="108" w:type="dxa"/>
              <w:right w:w="108" w:type="dxa"/>
            </w:tcMar>
            <w:vAlign w:val="center"/>
          </w:tcPr>
          <w:p w14:paraId="0A6631A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default"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605A8B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4" w:type="pct"/>
            <w:shd w:val="clear" w:color="auto" w:fill="auto"/>
            <w:tcMar>
              <w:left w:w="108" w:type="dxa"/>
              <w:right w:w="108" w:type="dxa"/>
            </w:tcMar>
            <w:vAlign w:val="center"/>
          </w:tcPr>
          <w:p w14:paraId="53F02810">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6F121671">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354" w:type="pct"/>
            <w:shd w:val="clear" w:color="auto" w:fill="auto"/>
            <w:tcMar>
              <w:left w:w="108" w:type="dxa"/>
              <w:right w:w="108" w:type="dxa"/>
            </w:tcMar>
            <w:vAlign w:val="center"/>
          </w:tcPr>
          <w:p w14:paraId="13A3FA6A">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00" w:type="pct"/>
            <w:shd w:val="clear" w:color="auto" w:fill="auto"/>
            <w:tcMar>
              <w:left w:w="108" w:type="dxa"/>
              <w:right w:w="108" w:type="dxa"/>
            </w:tcMar>
            <w:vAlign w:val="center"/>
          </w:tcPr>
          <w:p w14:paraId="48609C4B">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c>
          <w:tcPr>
            <w:tcW w:w="277" w:type="pct"/>
            <w:shd w:val="clear" w:color="auto" w:fill="auto"/>
            <w:tcMar>
              <w:left w:w="108" w:type="dxa"/>
              <w:right w:w="108" w:type="dxa"/>
            </w:tcMar>
            <w:vAlign w:val="center"/>
          </w:tcPr>
          <w:p w14:paraId="4213A398">
            <w:pPr>
              <w:keepNext w:val="0"/>
              <w:keepLines w:val="0"/>
              <w:pageBreakBefore w:val="0"/>
              <w:widowControl w:val="0"/>
              <w:kinsoku/>
              <w:wordWrap/>
              <w:overflowPunct w:val="0"/>
              <w:topLinePunct w:val="0"/>
              <w:autoSpaceDE/>
              <w:autoSpaceDN/>
              <w:bidi w:val="0"/>
              <w:adjustRightInd/>
              <w:snapToGrid/>
              <w:spacing w:line="240" w:lineRule="exact"/>
              <w:jc w:val="center"/>
              <w:textAlignment w:val="auto"/>
              <w:outlineLvl w:val="9"/>
              <w:rPr>
                <w:rFonts w:hint="eastAsia" w:ascii="Times New Roman" w:hAnsi="Times New Roman" w:eastAsia="仿宋_GB2312"/>
                <w:color w:val="auto"/>
                <w:sz w:val="21"/>
                <w:szCs w:val="21"/>
                <w:lang w:val="en-US" w:eastAsia="zh-CN"/>
              </w:rPr>
            </w:pPr>
            <w:r>
              <w:rPr>
                <w:rFonts w:hint="eastAsia" w:ascii="Times New Roman" w:hAnsi="Times New Roman" w:eastAsia="仿宋_GB2312"/>
                <w:color w:val="auto"/>
                <w:sz w:val="21"/>
                <w:szCs w:val="21"/>
                <w:lang w:val="en-US" w:eastAsia="zh-CN"/>
              </w:rPr>
              <w:t>0</w:t>
            </w:r>
          </w:p>
        </w:tc>
      </w:tr>
    </w:tbl>
    <w:p w14:paraId="266F5C18">
      <w:pPr>
        <w:keepNext w:val="0"/>
        <w:keepLines w:val="0"/>
        <w:pageBreakBefore w:val="0"/>
        <w:widowControl w:val="0"/>
        <w:numPr>
          <w:ilvl w:val="0"/>
          <w:numId w:val="0"/>
        </w:numPr>
        <w:kinsoku/>
        <w:wordWrap/>
        <w:overflowPunct w:val="0"/>
        <w:topLinePunct w:val="0"/>
        <w:autoSpaceDE/>
        <w:autoSpaceDN/>
        <w:bidi w:val="0"/>
        <w:snapToGrid/>
        <w:spacing w:line="560" w:lineRule="exact"/>
        <w:ind w:firstLine="640" w:firstLineChars="200"/>
        <w:textAlignment w:val="auto"/>
        <w:rPr>
          <w:rFonts w:hint="default" w:ascii="Times New Roman" w:hAnsi="Times New Roman" w:eastAsia="楷体_GB2312" w:cs="楷体_GB2312"/>
          <w:i w:val="0"/>
          <w:caps w:val="0"/>
          <w:color w:val="auto"/>
          <w:spacing w:val="0"/>
          <w:kern w:val="2"/>
          <w:sz w:val="32"/>
          <w:szCs w:val="32"/>
          <w:shd w:val="clear" w:fill="FFFFFF"/>
          <w:lang w:val="en-US" w:eastAsia="zh-CN" w:bidi="ar-SA"/>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四、政府信息公开行政复议、行政诉讼情况</w:t>
      </w:r>
    </w:p>
    <w:tbl>
      <w:tblPr>
        <w:tblStyle w:val="6"/>
        <w:tblW w:w="4999"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16"/>
        <w:gridCol w:w="616"/>
        <w:gridCol w:w="616"/>
        <w:gridCol w:w="616"/>
        <w:gridCol w:w="680"/>
        <w:gridCol w:w="563"/>
        <w:gridCol w:w="619"/>
        <w:gridCol w:w="619"/>
        <w:gridCol w:w="619"/>
        <w:gridCol w:w="622"/>
        <w:gridCol w:w="619"/>
        <w:gridCol w:w="619"/>
        <w:gridCol w:w="619"/>
        <w:gridCol w:w="619"/>
        <w:gridCol w:w="624"/>
      </w:tblGrid>
      <w:tr w14:paraId="1E1874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1694" w:type="pct"/>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C5A69DA">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行政复议</w:t>
            </w:r>
          </w:p>
        </w:tc>
        <w:tc>
          <w:tcPr>
            <w:tcW w:w="3305" w:type="pct"/>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5B9F0C7">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行政诉讼</w:t>
            </w:r>
          </w:p>
        </w:tc>
      </w:tr>
      <w:tr w14:paraId="0A612F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332" w:type="pct"/>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B25E4B">
            <w:pPr>
              <w:keepNext w:val="0"/>
              <w:keepLines w:val="0"/>
              <w:pageBreakBefore w:val="0"/>
              <w:widowControl w:val="0"/>
              <w:kinsoku/>
              <w:wordWrap/>
              <w:overflowPunct w:val="0"/>
              <w:topLinePunct w:val="0"/>
              <w:autoSpaceDE/>
              <w:autoSpaceDN/>
              <w:bidi w:val="0"/>
              <w:snapToGrid/>
              <w:ind w:left="-149" w:leftChars="-71" w:right="-170" w:rightChars="-81"/>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结果</w:t>
            </w:r>
          </w:p>
          <w:p w14:paraId="78F56200">
            <w:pPr>
              <w:keepNext w:val="0"/>
              <w:keepLines w:val="0"/>
              <w:pageBreakBefore w:val="0"/>
              <w:widowControl w:val="0"/>
              <w:kinsoku/>
              <w:wordWrap/>
              <w:overflowPunct w:val="0"/>
              <w:topLinePunct w:val="0"/>
              <w:autoSpaceDE/>
              <w:autoSpaceDN/>
              <w:bidi w:val="0"/>
              <w:snapToGrid/>
              <w:ind w:left="-149" w:leftChars="-71" w:right="-170" w:rightChars="-81"/>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维持</w:t>
            </w:r>
          </w:p>
        </w:tc>
        <w:tc>
          <w:tcPr>
            <w:tcW w:w="332" w:type="pct"/>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E4256F2">
            <w:pPr>
              <w:keepNext w:val="0"/>
              <w:keepLines w:val="0"/>
              <w:pageBreakBefore w:val="0"/>
              <w:widowControl w:val="0"/>
              <w:kinsoku/>
              <w:wordWrap/>
              <w:overflowPunct w:val="0"/>
              <w:topLinePunct w:val="0"/>
              <w:autoSpaceDE/>
              <w:autoSpaceDN/>
              <w:bidi w:val="0"/>
              <w:snapToGrid/>
              <w:ind w:left="-43" w:leftChars="-21" w:right="-132" w:rightChars="-63" w:hanging="1"/>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结果纠正</w:t>
            </w:r>
          </w:p>
        </w:tc>
        <w:tc>
          <w:tcPr>
            <w:tcW w:w="332"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96BE524">
            <w:pPr>
              <w:keepNext w:val="0"/>
              <w:keepLines w:val="0"/>
              <w:pageBreakBefore w:val="0"/>
              <w:widowControl w:val="0"/>
              <w:kinsoku/>
              <w:wordWrap/>
              <w:overflowPunct w:val="0"/>
              <w:topLinePunct w:val="0"/>
              <w:autoSpaceDE/>
              <w:autoSpaceDN/>
              <w:bidi w:val="0"/>
              <w:snapToGrid/>
              <w:ind w:left="-82" w:leftChars="-39" w:right="-97" w:rightChars="-46"/>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其他结果</w:t>
            </w:r>
          </w:p>
        </w:tc>
        <w:tc>
          <w:tcPr>
            <w:tcW w:w="332"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913FEBF">
            <w:pPr>
              <w:keepNext w:val="0"/>
              <w:keepLines w:val="0"/>
              <w:pageBreakBefore w:val="0"/>
              <w:widowControl w:val="0"/>
              <w:kinsoku/>
              <w:wordWrap/>
              <w:overflowPunct w:val="0"/>
              <w:topLinePunct w:val="0"/>
              <w:autoSpaceDE/>
              <w:autoSpaceDN/>
              <w:bidi w:val="0"/>
              <w:snapToGrid/>
              <w:ind w:left="-118" w:leftChars="-56" w:right="-118" w:rightChars="-56"/>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尚未</w:t>
            </w:r>
          </w:p>
          <w:p w14:paraId="5484A1CF">
            <w:pPr>
              <w:keepNext w:val="0"/>
              <w:keepLines w:val="0"/>
              <w:pageBreakBefore w:val="0"/>
              <w:widowControl w:val="0"/>
              <w:kinsoku/>
              <w:wordWrap/>
              <w:overflowPunct w:val="0"/>
              <w:topLinePunct w:val="0"/>
              <w:autoSpaceDE/>
              <w:autoSpaceDN/>
              <w:bidi w:val="0"/>
              <w:snapToGrid/>
              <w:ind w:left="-118" w:leftChars="-56" w:right="-118" w:rightChars="-56"/>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审结</w:t>
            </w:r>
          </w:p>
        </w:tc>
        <w:tc>
          <w:tcPr>
            <w:tcW w:w="363"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6C8D2B">
            <w:pPr>
              <w:keepNext w:val="0"/>
              <w:keepLines w:val="0"/>
              <w:pageBreakBefore w:val="0"/>
              <w:widowControl w:val="0"/>
              <w:kinsoku/>
              <w:wordWrap/>
              <w:overflowPunct w:val="0"/>
              <w:topLinePunct w:val="0"/>
              <w:autoSpaceDE/>
              <w:autoSpaceDN/>
              <w:bidi w:val="0"/>
              <w:snapToGrid/>
              <w:spacing w:line="320" w:lineRule="exact"/>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总</w:t>
            </w:r>
          </w:p>
          <w:p w14:paraId="5748F556">
            <w:pPr>
              <w:keepNext w:val="0"/>
              <w:keepLines w:val="0"/>
              <w:pageBreakBefore w:val="0"/>
              <w:widowControl w:val="0"/>
              <w:kinsoku/>
              <w:wordWrap/>
              <w:overflowPunct w:val="0"/>
              <w:topLinePunct w:val="0"/>
              <w:autoSpaceDE/>
              <w:autoSpaceDN/>
              <w:bidi w:val="0"/>
              <w:snapToGrid/>
              <w:spacing w:line="320" w:lineRule="exact"/>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计</w:t>
            </w:r>
          </w:p>
        </w:tc>
        <w:tc>
          <w:tcPr>
            <w:tcW w:w="1637"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A0B6850">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未经复议直接起诉</w:t>
            </w:r>
          </w:p>
        </w:tc>
        <w:tc>
          <w:tcPr>
            <w:tcW w:w="1668"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7158720">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bookmarkStart w:id="9" w:name="_Hlk67039688"/>
            <w:r>
              <w:rPr>
                <w:rFonts w:ascii="Times New Roman" w:hAnsi="Times New Roman" w:eastAsia="黑体"/>
                <w:color w:val="auto"/>
                <w:kern w:val="0"/>
                <w:sz w:val="21"/>
                <w:szCs w:val="21"/>
              </w:rPr>
              <w:t>复议后起诉</w:t>
            </w:r>
            <w:bookmarkEnd w:id="9"/>
          </w:p>
        </w:tc>
      </w:tr>
      <w:tr w14:paraId="48C99C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332" w:type="pct"/>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742E9B1">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332" w:type="pct"/>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48D15551">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332"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E655092">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332"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30556C6">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363"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8B128C">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p>
        </w:tc>
        <w:tc>
          <w:tcPr>
            <w:tcW w:w="303" w:type="pct"/>
            <w:tcBorders>
              <w:top w:val="nil"/>
              <w:left w:val="nil"/>
              <w:bottom w:val="single" w:color="auto" w:sz="8" w:space="0"/>
              <w:right w:val="single" w:color="auto" w:sz="8" w:space="0"/>
            </w:tcBorders>
            <w:shd w:val="clear" w:color="auto" w:fill="auto"/>
            <w:tcMar>
              <w:left w:w="108" w:type="dxa"/>
              <w:right w:w="108" w:type="dxa"/>
            </w:tcMar>
            <w:vAlign w:val="center"/>
          </w:tcPr>
          <w:p w14:paraId="7252F3A7">
            <w:pPr>
              <w:keepNext w:val="0"/>
              <w:keepLines w:val="0"/>
              <w:pageBreakBefore w:val="0"/>
              <w:widowControl w:val="0"/>
              <w:kinsoku/>
              <w:wordWrap/>
              <w:overflowPunct w:val="0"/>
              <w:topLinePunct w:val="0"/>
              <w:autoSpaceDE/>
              <w:autoSpaceDN/>
              <w:bidi w:val="0"/>
              <w:snapToGrid/>
              <w:ind w:left="-105" w:leftChars="-50" w:right="-126" w:rightChars="-60"/>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结果维持</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62544FB0">
            <w:pPr>
              <w:keepNext w:val="0"/>
              <w:keepLines w:val="0"/>
              <w:pageBreakBefore w:val="0"/>
              <w:widowControl w:val="0"/>
              <w:kinsoku/>
              <w:wordWrap/>
              <w:overflowPunct w:val="0"/>
              <w:topLinePunct w:val="0"/>
              <w:autoSpaceDE/>
              <w:autoSpaceDN/>
              <w:bidi w:val="0"/>
              <w:snapToGrid/>
              <w:ind w:left="-86" w:leftChars="-41" w:right="-88" w:rightChars="-42"/>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结果纠正</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96C962C">
            <w:pPr>
              <w:keepNext w:val="0"/>
              <w:keepLines w:val="0"/>
              <w:pageBreakBefore w:val="0"/>
              <w:widowControl w:val="0"/>
              <w:kinsoku/>
              <w:wordWrap/>
              <w:overflowPunct w:val="0"/>
              <w:topLinePunct w:val="0"/>
              <w:autoSpaceDE/>
              <w:autoSpaceDN/>
              <w:bidi w:val="0"/>
              <w:snapToGrid/>
              <w:ind w:left="-126" w:leftChars="-60" w:right="-136" w:rightChars="-65"/>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其他</w:t>
            </w:r>
          </w:p>
          <w:p w14:paraId="18F9DE7F">
            <w:pPr>
              <w:keepNext w:val="0"/>
              <w:keepLines w:val="0"/>
              <w:pageBreakBefore w:val="0"/>
              <w:widowControl w:val="0"/>
              <w:kinsoku/>
              <w:wordWrap/>
              <w:overflowPunct w:val="0"/>
              <w:topLinePunct w:val="0"/>
              <w:autoSpaceDE/>
              <w:autoSpaceDN/>
              <w:bidi w:val="0"/>
              <w:snapToGrid/>
              <w:ind w:left="-126" w:leftChars="-60" w:right="-136" w:rightChars="-65"/>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DD1785C">
            <w:pPr>
              <w:keepNext w:val="0"/>
              <w:keepLines w:val="0"/>
              <w:pageBreakBefore w:val="0"/>
              <w:widowControl w:val="0"/>
              <w:kinsoku/>
              <w:wordWrap/>
              <w:overflowPunct w:val="0"/>
              <w:topLinePunct w:val="0"/>
              <w:autoSpaceDE/>
              <w:autoSpaceDN/>
              <w:bidi w:val="0"/>
              <w:snapToGrid/>
              <w:ind w:left="-164" w:leftChars="-78" w:right="-153" w:rightChars="-73"/>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尚未</w:t>
            </w:r>
          </w:p>
          <w:p w14:paraId="162EED49">
            <w:pPr>
              <w:keepNext w:val="0"/>
              <w:keepLines w:val="0"/>
              <w:pageBreakBefore w:val="0"/>
              <w:widowControl w:val="0"/>
              <w:kinsoku/>
              <w:wordWrap/>
              <w:overflowPunct w:val="0"/>
              <w:topLinePunct w:val="0"/>
              <w:autoSpaceDE/>
              <w:autoSpaceDN/>
              <w:bidi w:val="0"/>
              <w:snapToGrid/>
              <w:ind w:left="-164" w:leftChars="-78" w:right="-153" w:rightChars="-73"/>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审结</w:t>
            </w:r>
          </w:p>
        </w:tc>
        <w:tc>
          <w:tcPr>
            <w:tcW w:w="334"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EF5A1DE">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总计</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CC72787">
            <w:pPr>
              <w:keepNext w:val="0"/>
              <w:keepLines w:val="0"/>
              <w:pageBreakBefore w:val="0"/>
              <w:widowControl w:val="0"/>
              <w:kinsoku/>
              <w:wordWrap/>
              <w:overflowPunct w:val="0"/>
              <w:topLinePunct w:val="0"/>
              <w:autoSpaceDE/>
              <w:autoSpaceDN/>
              <w:bidi w:val="0"/>
              <w:snapToGrid/>
              <w:ind w:left="-99" w:leftChars="-47" w:right="-78" w:rightChars="-37"/>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结果维持</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4E4AF9E">
            <w:pPr>
              <w:keepNext w:val="0"/>
              <w:keepLines w:val="0"/>
              <w:pageBreakBefore w:val="0"/>
              <w:widowControl w:val="0"/>
              <w:kinsoku/>
              <w:wordWrap/>
              <w:overflowPunct w:val="0"/>
              <w:topLinePunct w:val="0"/>
              <w:autoSpaceDE/>
              <w:autoSpaceDN/>
              <w:bidi w:val="0"/>
              <w:snapToGrid/>
              <w:ind w:left="-136" w:leftChars="-65" w:right="-124" w:rightChars="-59"/>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结果</w:t>
            </w:r>
          </w:p>
          <w:p w14:paraId="6C7CEF27">
            <w:pPr>
              <w:keepNext w:val="0"/>
              <w:keepLines w:val="0"/>
              <w:pageBreakBefore w:val="0"/>
              <w:widowControl w:val="0"/>
              <w:kinsoku/>
              <w:wordWrap/>
              <w:overflowPunct w:val="0"/>
              <w:topLinePunct w:val="0"/>
              <w:autoSpaceDE/>
              <w:autoSpaceDN/>
              <w:bidi w:val="0"/>
              <w:snapToGrid/>
              <w:ind w:left="-136" w:leftChars="-65" w:right="-124" w:rightChars="-59"/>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纠正</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EEE4D9E">
            <w:pPr>
              <w:keepNext w:val="0"/>
              <w:keepLines w:val="0"/>
              <w:pageBreakBefore w:val="0"/>
              <w:widowControl w:val="0"/>
              <w:kinsoku/>
              <w:wordWrap/>
              <w:overflowPunct w:val="0"/>
              <w:topLinePunct w:val="0"/>
              <w:autoSpaceDE/>
              <w:autoSpaceDN/>
              <w:bidi w:val="0"/>
              <w:snapToGrid/>
              <w:ind w:left="-173" w:leftChars="-83" w:right="-134" w:rightChars="-64" w:hanging="1"/>
              <w:jc w:val="center"/>
              <w:textAlignment w:val="auto"/>
              <w:rPr>
                <w:rFonts w:ascii="Times New Roman" w:hAnsi="Times New Roman" w:eastAsia="黑体"/>
                <w:color w:val="auto"/>
                <w:kern w:val="0"/>
                <w:sz w:val="21"/>
                <w:szCs w:val="21"/>
              </w:rPr>
            </w:pPr>
            <w:r>
              <w:rPr>
                <w:rFonts w:ascii="Times New Roman" w:hAnsi="Times New Roman" w:eastAsia="黑体"/>
                <w:color w:val="auto"/>
                <w:kern w:val="0"/>
                <w:sz w:val="21"/>
                <w:szCs w:val="21"/>
              </w:rPr>
              <w:t>其他</w:t>
            </w:r>
          </w:p>
          <w:p w14:paraId="4A82FABC">
            <w:pPr>
              <w:keepNext w:val="0"/>
              <w:keepLines w:val="0"/>
              <w:pageBreakBefore w:val="0"/>
              <w:widowControl w:val="0"/>
              <w:kinsoku/>
              <w:wordWrap/>
              <w:overflowPunct w:val="0"/>
              <w:topLinePunct w:val="0"/>
              <w:autoSpaceDE/>
              <w:autoSpaceDN/>
              <w:bidi w:val="0"/>
              <w:snapToGrid/>
              <w:ind w:left="-173" w:leftChars="-83" w:right="-134" w:rightChars="-64" w:hanging="1"/>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结果</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CF4FD3D">
            <w:pPr>
              <w:keepNext w:val="0"/>
              <w:keepLines w:val="0"/>
              <w:pageBreakBefore w:val="0"/>
              <w:widowControl w:val="0"/>
              <w:kinsoku/>
              <w:wordWrap/>
              <w:overflowPunct w:val="0"/>
              <w:topLinePunct w:val="0"/>
              <w:autoSpaceDE/>
              <w:autoSpaceDN/>
              <w:bidi w:val="0"/>
              <w:snapToGrid/>
              <w:ind w:left="-67" w:leftChars="-33" w:right="-105" w:rightChars="-50" w:hanging="2" w:hangingChars="1"/>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尚未审结</w:t>
            </w:r>
          </w:p>
        </w:tc>
        <w:tc>
          <w:tcPr>
            <w:tcW w:w="334"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C10F6EC">
            <w:pPr>
              <w:keepNext w:val="0"/>
              <w:keepLines w:val="0"/>
              <w:pageBreakBefore w:val="0"/>
              <w:widowControl w:val="0"/>
              <w:kinsoku/>
              <w:wordWrap/>
              <w:overflowPunct w:val="0"/>
              <w:topLinePunct w:val="0"/>
              <w:autoSpaceDE/>
              <w:autoSpaceDN/>
              <w:bidi w:val="0"/>
              <w:snapToGrid/>
              <w:jc w:val="center"/>
              <w:textAlignment w:val="auto"/>
              <w:rPr>
                <w:rFonts w:ascii="Times New Roman" w:hAnsi="Times New Roman" w:eastAsia="黑体"/>
                <w:color w:val="auto"/>
                <w:sz w:val="21"/>
                <w:szCs w:val="21"/>
              </w:rPr>
            </w:pPr>
            <w:r>
              <w:rPr>
                <w:rFonts w:ascii="Times New Roman" w:hAnsi="Times New Roman" w:eastAsia="黑体"/>
                <w:color w:val="auto"/>
                <w:kern w:val="0"/>
                <w:sz w:val="21"/>
                <w:szCs w:val="21"/>
              </w:rPr>
              <w:t>总计</w:t>
            </w:r>
          </w:p>
        </w:tc>
      </w:tr>
      <w:tr w14:paraId="64941F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32" w:type="pc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D0D1DBE">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14:paraId="53452C19">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14:paraId="2EDAD325">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14:paraId="59B0F7D9">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63" w:type="pct"/>
            <w:tcBorders>
              <w:top w:val="nil"/>
              <w:left w:val="nil"/>
              <w:bottom w:val="single" w:color="auto" w:sz="8" w:space="0"/>
              <w:right w:val="single" w:color="auto" w:sz="8" w:space="0"/>
            </w:tcBorders>
            <w:shd w:val="clear" w:color="auto" w:fill="auto"/>
            <w:tcMar>
              <w:left w:w="108" w:type="dxa"/>
              <w:right w:w="108" w:type="dxa"/>
            </w:tcMar>
            <w:vAlign w:val="center"/>
          </w:tcPr>
          <w:p w14:paraId="30AEC207">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03" w:type="pct"/>
            <w:tcBorders>
              <w:top w:val="nil"/>
              <w:left w:val="nil"/>
              <w:bottom w:val="single" w:color="auto" w:sz="8" w:space="0"/>
              <w:right w:val="single" w:color="auto" w:sz="8" w:space="0"/>
            </w:tcBorders>
            <w:shd w:val="clear" w:color="auto" w:fill="auto"/>
            <w:tcMar>
              <w:left w:w="108" w:type="dxa"/>
              <w:right w:w="108" w:type="dxa"/>
            </w:tcMar>
            <w:vAlign w:val="center"/>
          </w:tcPr>
          <w:p w14:paraId="69AD5C53">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10CF0990">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14BC9C61">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6C0FF280">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4" w:type="pct"/>
            <w:tcBorders>
              <w:top w:val="nil"/>
              <w:left w:val="nil"/>
              <w:bottom w:val="single" w:color="auto" w:sz="8" w:space="0"/>
              <w:right w:val="single" w:color="auto" w:sz="8" w:space="0"/>
            </w:tcBorders>
            <w:shd w:val="clear" w:color="auto" w:fill="auto"/>
            <w:tcMar>
              <w:left w:w="108" w:type="dxa"/>
              <w:right w:w="108" w:type="dxa"/>
            </w:tcMar>
            <w:vAlign w:val="center"/>
          </w:tcPr>
          <w:p w14:paraId="1D10BF98">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bookmarkStart w:id="10" w:name="_GoBack"/>
            <w:bookmarkEnd w:id="10"/>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5D79EEB3">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46C8466B">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6E06FD43">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14:paraId="6BBC8B54">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c>
          <w:tcPr>
            <w:tcW w:w="334" w:type="pct"/>
            <w:tcBorders>
              <w:top w:val="nil"/>
              <w:left w:val="nil"/>
              <w:bottom w:val="single" w:color="auto" w:sz="8" w:space="0"/>
              <w:right w:val="single" w:color="auto" w:sz="8" w:space="0"/>
            </w:tcBorders>
            <w:shd w:val="clear" w:color="auto" w:fill="auto"/>
            <w:tcMar>
              <w:left w:w="108" w:type="dxa"/>
              <w:right w:w="108" w:type="dxa"/>
            </w:tcMar>
            <w:vAlign w:val="center"/>
          </w:tcPr>
          <w:p w14:paraId="0951F0A2">
            <w:pPr>
              <w:keepNext w:val="0"/>
              <w:keepLines w:val="0"/>
              <w:pageBreakBefore w:val="0"/>
              <w:widowControl w:val="0"/>
              <w:kinsoku/>
              <w:wordWrap/>
              <w:overflowPunct w:val="0"/>
              <w:topLinePunct w:val="0"/>
              <w:autoSpaceDE/>
              <w:autoSpaceDN/>
              <w:bidi w:val="0"/>
              <w:snapToGrid/>
              <w:spacing w:after="180"/>
              <w:jc w:val="center"/>
              <w:textAlignment w:val="auto"/>
              <w:rPr>
                <w:rFonts w:hint="eastAsia" w:ascii="Times New Roman" w:hAnsi="Times New Roman" w:eastAsiaTheme="minorEastAsia"/>
                <w:color w:val="auto"/>
                <w:sz w:val="21"/>
                <w:szCs w:val="21"/>
                <w:lang w:val="en-US" w:eastAsia="zh-CN"/>
              </w:rPr>
            </w:pPr>
            <w:r>
              <w:rPr>
                <w:rFonts w:hint="eastAsia" w:ascii="Times New Roman" w:hAnsi="Times New Roman"/>
                <w:color w:val="auto"/>
                <w:sz w:val="21"/>
                <w:szCs w:val="21"/>
                <w:lang w:val="en-US" w:eastAsia="zh-CN"/>
              </w:rPr>
              <w:t>0</w:t>
            </w:r>
          </w:p>
        </w:tc>
      </w:tr>
    </w:tbl>
    <w:p w14:paraId="368E00BF">
      <w:pPr>
        <w:pStyle w:val="5"/>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存在的主要问题及改进情况</w:t>
      </w:r>
    </w:p>
    <w:p w14:paraId="1971A4B0">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2025年，对照国家、省、市关于政务公开工作各项部署要求，还存在问题和不足，主要表现在队伍专业能力需进一步提升适应新要求。</w:t>
      </w:r>
    </w:p>
    <w:p w14:paraId="7F4DC5A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楷体_GB2312" w:cs="楷体_GB2312"/>
          <w:b w:val="0"/>
          <w:bCs/>
          <w:i w:val="0"/>
          <w:caps w:val="0"/>
          <w:color w:val="auto"/>
          <w:spacing w:val="0"/>
          <w:kern w:val="0"/>
          <w:sz w:val="32"/>
          <w:szCs w:val="32"/>
          <w:shd w:val="clear" w:fill="FFFFFF"/>
          <w:lang w:val="en-US" w:eastAsia="zh-CN" w:bidi="ar"/>
        </w:rPr>
        <w:t>（一）存在问题。</w:t>
      </w: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面对政务公开工作的要求，部分工作人员的系统性培训和专业能力储备稍显不足，对政策的理解把握、对敏感信息的鉴别、对公开与保密关系的处理能力需通过持续学习与实践来强化。</w:t>
      </w:r>
    </w:p>
    <w:p w14:paraId="7A0C8CE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楷体_GB2312" w:cs="楷体_GB2312"/>
          <w:b w:val="0"/>
          <w:bCs/>
          <w:i w:val="0"/>
          <w:caps w:val="0"/>
          <w:color w:val="auto"/>
          <w:spacing w:val="0"/>
          <w:kern w:val="0"/>
          <w:sz w:val="32"/>
          <w:szCs w:val="32"/>
          <w:shd w:val="clear" w:fill="FFFFFF"/>
          <w:lang w:val="en-US" w:eastAsia="zh-CN" w:bidi="ar"/>
        </w:rPr>
        <w:t>（二）改进措施。</w:t>
      </w: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将政务公开纳入干部教育培训内容，定期组织开展业务培训、经验交流和学习研讨，重点加强信息公开条例、保密审查、舆情应对等方面能力的培养。激励先进，督促后进，推动全局政务公开工作整体水平再上新台阶。</w:t>
      </w:r>
    </w:p>
    <w:p w14:paraId="3D902CF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六、其他需要报告的事项</w:t>
      </w:r>
    </w:p>
    <w:p w14:paraId="2172A747">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1.收取信息处理费情况。</w:t>
      </w:r>
      <w:r>
        <w:rPr>
          <w:rFonts w:hint="default" w:ascii="Times New Roman" w:hAnsi="Times New Roman" w:eastAsia="仿宋_GB2312" w:cs="仿宋_GB2312"/>
          <w:b w:val="0"/>
          <w:bCs/>
          <w:i w:val="0"/>
          <w:caps w:val="0"/>
          <w:color w:val="auto"/>
          <w:spacing w:val="0"/>
          <w:kern w:val="0"/>
          <w:sz w:val="32"/>
          <w:szCs w:val="32"/>
          <w:shd w:val="clear" w:fill="FFFFFF"/>
          <w:lang w:val="en-US" w:eastAsia="zh-CN" w:bidi="ar"/>
        </w:rPr>
        <w:t>202</w:t>
      </w: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5</w:t>
      </w:r>
      <w:r>
        <w:rPr>
          <w:rFonts w:hint="default" w:ascii="Times New Roman" w:hAnsi="Times New Roman" w:eastAsia="仿宋_GB2312" w:cs="仿宋_GB2312"/>
          <w:b w:val="0"/>
          <w:bCs/>
          <w:i w:val="0"/>
          <w:caps w:val="0"/>
          <w:color w:val="auto"/>
          <w:spacing w:val="0"/>
          <w:kern w:val="0"/>
          <w:sz w:val="32"/>
          <w:szCs w:val="32"/>
          <w:shd w:val="clear" w:fill="FFFFFF"/>
          <w:lang w:val="en-US" w:eastAsia="zh-CN" w:bidi="ar"/>
        </w:rPr>
        <w:t>年威海市环翠区应急管理局未收取政府信息公开信息处理费。</w:t>
      </w:r>
    </w:p>
    <w:p w14:paraId="228A451A">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pP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2.办理人大代表建议、政协委员提案情况。2025年，威海市环翠区应急管理局共承办市人大代表建议0件、政协提案1件。目前，已全部办理完成，办复率100%，办理结果为A类1件、BCD类分别0件。</w:t>
      </w:r>
    </w:p>
    <w:p w14:paraId="1BEFD2B8">
      <w:pPr>
        <w:pStyle w:val="2"/>
        <w:keepNext w:val="0"/>
        <w:keepLines w:val="0"/>
        <w:pageBreakBefore w:val="0"/>
        <w:widowControl w:val="0"/>
        <w:kinsoku/>
        <w:wordWrap/>
        <w:overflowPunct w:val="0"/>
        <w:topLinePunct w:val="0"/>
        <w:autoSpaceDE/>
        <w:autoSpaceDN/>
        <w:bidi w:val="0"/>
        <w:snapToGrid/>
        <w:spacing w:line="560" w:lineRule="exact"/>
        <w:ind w:firstLine="640" w:firstLineChars="200"/>
        <w:textAlignment w:val="auto"/>
        <w:rPr>
          <w:rFonts w:hint="eastAsia" w:ascii="Times New Roman" w:hAnsi="Times New Roman" w:eastAsia="仿宋_GB2312" w:cs="仿宋_GB2312"/>
          <w:i w:val="0"/>
          <w:caps w:val="0"/>
          <w:color w:val="auto"/>
          <w:spacing w:val="0"/>
          <w:kern w:val="2"/>
          <w:sz w:val="32"/>
          <w:szCs w:val="32"/>
          <w:shd w:val="clear" w:fill="FFFFFF"/>
          <w:lang w:val="en-US" w:eastAsia="zh-CN" w:bidi="ar-SA"/>
        </w:rPr>
      </w:pPr>
      <w:r>
        <w:rPr>
          <w:rFonts w:hint="eastAsia" w:ascii="Times New Roman" w:hAnsi="Times New Roman" w:eastAsia="仿宋_GB2312" w:cs="仿宋_GB2312"/>
          <w:b w:val="0"/>
          <w:bCs/>
          <w:i w:val="0"/>
          <w:caps w:val="0"/>
          <w:color w:val="auto"/>
          <w:spacing w:val="0"/>
          <w:kern w:val="0"/>
          <w:sz w:val="32"/>
          <w:szCs w:val="32"/>
          <w:shd w:val="clear" w:fill="FFFFFF"/>
          <w:lang w:val="en-US" w:eastAsia="zh-CN" w:bidi="ar"/>
        </w:rPr>
        <w:t>3.创新工作开展情况。</w:t>
      </w:r>
      <w:r>
        <w:rPr>
          <w:rFonts w:hint="eastAsia" w:ascii="Times New Roman" w:hAnsi="Times New Roman" w:eastAsia="仿宋_GB2312" w:cs="Times New Roman"/>
          <w:color w:val="auto"/>
          <w:kern w:val="0"/>
          <w:sz w:val="32"/>
          <w:szCs w:val="32"/>
          <w:lang w:val="en-US" w:eastAsia="zh-CN" w:bidi="ar"/>
        </w:rPr>
        <w:t>在“最威海是环翠”政企号设立</w:t>
      </w:r>
      <w:r>
        <w:rPr>
          <w:rFonts w:hint="eastAsia" w:ascii="Times New Roman" w:hAnsi="Times New Roman" w:eastAsia="仿宋_GB2312" w:cs="仿宋_GB2312"/>
          <w:i w:val="0"/>
          <w:caps w:val="0"/>
          <w:color w:val="auto"/>
          <w:spacing w:val="0"/>
          <w:kern w:val="2"/>
          <w:sz w:val="32"/>
          <w:szCs w:val="32"/>
          <w:shd w:val="clear" w:fill="FFFFFF"/>
          <w:lang w:val="en-US" w:eastAsia="zh-CN" w:bidi="ar-SA"/>
        </w:rPr>
        <w:t>“典型案例曝光台”，选取具有代表性的安全生产违法行政处罚案例进行公开曝光，探索将典型案例的公开作为强化安全生产社会监督和警示教育的重要手段。在公布基本案情和处理结果的同时，附上简短的案例评析或案件启示，点明违法点、关键风险及法律后果，成为同类型企业的生动法治课堂和安全警示镜鉴，提升了信息公开的行业指导性。</w:t>
      </w:r>
    </w:p>
    <w:sectPr>
      <w:footerReference r:id="rId3" w:type="default"/>
      <w:pgSz w:w="11906" w:h="16838"/>
      <w:pgMar w:top="1928" w:right="1417" w:bottom="1701" w:left="1417" w:header="851"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E13D1D">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9431A9">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769431A9">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4CB19A2"/>
    <w:rsid w:val="068D6D6F"/>
    <w:rsid w:val="08367726"/>
    <w:rsid w:val="0866333E"/>
    <w:rsid w:val="08D157AC"/>
    <w:rsid w:val="11AF18C8"/>
    <w:rsid w:val="140B5D58"/>
    <w:rsid w:val="16013F56"/>
    <w:rsid w:val="1A2D6394"/>
    <w:rsid w:val="1A6A77C7"/>
    <w:rsid w:val="21E9640B"/>
    <w:rsid w:val="25DB5A4A"/>
    <w:rsid w:val="29EA5DFF"/>
    <w:rsid w:val="3A61697B"/>
    <w:rsid w:val="3FFB8F66"/>
    <w:rsid w:val="464F74E8"/>
    <w:rsid w:val="4F791BFF"/>
    <w:rsid w:val="511E6463"/>
    <w:rsid w:val="54F23AC6"/>
    <w:rsid w:val="56F344A5"/>
    <w:rsid w:val="57AC0EBA"/>
    <w:rsid w:val="6406797D"/>
    <w:rsid w:val="68C9088B"/>
    <w:rsid w:val="6B9A26EF"/>
    <w:rsid w:val="6C7C7FF0"/>
    <w:rsid w:val="720F4CE8"/>
    <w:rsid w:val="75A63F90"/>
    <w:rsid w:val="77181135"/>
    <w:rsid w:val="77927421"/>
    <w:rsid w:val="7BEC05A0"/>
    <w:rsid w:val="7DD547CA"/>
    <w:rsid w:val="7E2277F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2515</Words>
  <Characters>2696</Characters>
  <Lines>0</Lines>
  <Paragraphs>0</Paragraphs>
  <TotalTime>5</TotalTime>
  <ScaleCrop>false</ScaleCrop>
  <LinksUpToDate>false</LinksUpToDate>
  <CharactersWithSpaces>2699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甜酒w</cp:lastModifiedBy>
  <cp:lastPrinted>2026-01-14T02:38:00Z</cp:lastPrinted>
  <dcterms:modified xsi:type="dcterms:W3CDTF">2026-01-21T08:24:06Z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D21B88C0F4EC40C3A7CCE5A8C0B34E92_13</vt:lpwstr>
  </property>
  <property fmtid="{D5CDD505-2E9C-101B-9397-08002B2CF9AE}" pid="4" name="KSOTemplateDocerSaveRecord">
    <vt:lpwstr>eyJoZGlkIjoiZDk5ODA3MDM5MTdhMTY5MzgyODc3MjRhMTVhNTliYmYiLCJ1c2VySWQiOiI0NTM0MTkyNzYifQ==</vt:lpwstr>
  </property>
</Properties>
</file>