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68B1B1">
      <w:pPr>
        <w:pStyle w:val="5"/>
        <w:widowControl/>
        <w:shd w:val="clear" w:color="auto" w:fill="FFFFFF"/>
        <w:spacing w:beforeAutospacing="0" w:afterAutospacing="0" w:line="560" w:lineRule="exact"/>
        <w:jc w:val="both"/>
        <w:rPr>
          <w:rFonts w:ascii="方正小标宋简体" w:hAnsi="方正小标宋简体" w:eastAsia="方正小标宋简体" w:cs="方正小标宋简体"/>
          <w:bCs/>
          <w:color w:val="333333"/>
          <w:sz w:val="44"/>
          <w:szCs w:val="44"/>
          <w:shd w:val="clear" w:color="auto" w:fill="FFFFFF"/>
        </w:rPr>
      </w:pPr>
    </w:p>
    <w:p w14:paraId="5A6EC8C5">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威海市环翠区农业农村局</w:t>
      </w:r>
    </w:p>
    <w:p w14:paraId="64067D8F">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2023年政府信息公开工作年度报告</w:t>
      </w:r>
    </w:p>
    <w:p w14:paraId="234FF6D7">
      <w:pPr>
        <w:pStyle w:val="5"/>
        <w:widowControl/>
        <w:autoSpaceDE w:val="0"/>
        <w:spacing w:beforeAutospacing="0" w:afterAutospacing="0" w:line="560" w:lineRule="exact"/>
        <w:jc w:val="both"/>
        <w:rPr>
          <w:rFonts w:ascii="Times New Roman" w:hAnsi="Times New Roman" w:eastAsia="仿宋_GB2312"/>
          <w:color w:val="000000"/>
          <w:sz w:val="32"/>
          <w:szCs w:val="32"/>
        </w:rPr>
      </w:pPr>
    </w:p>
    <w:p w14:paraId="6D4E8754">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color w:val="000000"/>
          <w:sz w:val="32"/>
          <w:szCs w:val="32"/>
        </w:rPr>
        <w:t>根据《中华人民共和国政府信息公开条例》（国务院令第</w:t>
      </w:r>
      <w:r>
        <w:rPr>
          <w:rFonts w:ascii="Times New Roman" w:hAnsi="Times New Roman"/>
          <w:color w:val="000000"/>
          <w:sz w:val="32"/>
          <w:szCs w:val="32"/>
        </w:rPr>
        <w:t>711</w:t>
      </w:r>
      <w:r>
        <w:rPr>
          <w:rFonts w:ascii="Times New Roman" w:hAnsi="Times New Roman" w:eastAsia="仿宋_GB2312"/>
          <w:color w:val="000000"/>
          <w:sz w:val="32"/>
          <w:szCs w:val="32"/>
        </w:rPr>
        <w:t>号，以下简称《条例》）和《中华人民共和国政府信息公开工</w:t>
      </w:r>
      <w:r>
        <w:rPr>
          <w:rFonts w:ascii="Times New Roman" w:hAnsi="Times New Roman" w:eastAsia="仿宋_GB2312"/>
          <w:sz w:val="32"/>
          <w:szCs w:val="32"/>
        </w:rPr>
        <w:t>作年度报告格式》（国办公开办函〔</w:t>
      </w:r>
      <w:r>
        <w:rPr>
          <w:rFonts w:ascii="Times New Roman" w:hAnsi="Times New Roman"/>
          <w:sz w:val="32"/>
          <w:szCs w:val="32"/>
        </w:rPr>
        <w:t>2021</w:t>
      </w:r>
      <w:r>
        <w:rPr>
          <w:rFonts w:ascii="Times New Roman" w:hAnsi="Times New Roman" w:eastAsia="仿宋_GB2312"/>
          <w:sz w:val="32"/>
          <w:szCs w:val="32"/>
        </w:rPr>
        <w:t>〕30号）要求，结合</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年威海市环翠区</w:t>
      </w:r>
      <w:r>
        <w:rPr>
          <w:rFonts w:hint="eastAsia" w:ascii="Times New Roman" w:hAnsi="Times New Roman" w:eastAsia="仿宋_GB2312"/>
          <w:sz w:val="32"/>
          <w:szCs w:val="32"/>
        </w:rPr>
        <w:t>农业农村局</w:t>
      </w:r>
      <w:r>
        <w:rPr>
          <w:rFonts w:ascii="Times New Roman" w:hAnsi="Times New Roman" w:eastAsia="仿宋_GB2312"/>
          <w:sz w:val="32"/>
          <w:szCs w:val="32"/>
        </w:rPr>
        <w:t>政府信息公开工作实际，编制发布本报告。</w:t>
      </w:r>
    </w:p>
    <w:p w14:paraId="2C2F9F57">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sz w:val="32"/>
          <w:szCs w:val="32"/>
        </w:rPr>
        <w:t>本报告内容包括：总体情况、主动公开政府信息情况、收到和处理政府信息公开申请情况、政府信息公开行政复议</w:t>
      </w:r>
      <w:r>
        <w:rPr>
          <w:rFonts w:hint="eastAsia" w:ascii="Times New Roman" w:hAnsi="Times New Roman" w:eastAsia="仿宋_GB2312"/>
          <w:sz w:val="32"/>
          <w:szCs w:val="32"/>
        </w:rPr>
        <w:t>及</w:t>
      </w:r>
      <w:r>
        <w:rPr>
          <w:rFonts w:ascii="Times New Roman" w:hAnsi="Times New Roman" w:eastAsia="仿宋_GB2312"/>
          <w:sz w:val="32"/>
          <w:szCs w:val="32"/>
        </w:rPr>
        <w:t>行政诉讼情况、存在的主要问题及改进情况、其他事项，以及相关指标统计附表等。报告中所列数据统计期限从</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ascii="Times New Roman" w:hAnsi="Times New Roman"/>
          <w:sz w:val="32"/>
          <w:szCs w:val="32"/>
        </w:rPr>
        <w:t>1</w:t>
      </w:r>
      <w:r>
        <w:rPr>
          <w:rFonts w:ascii="Times New Roman" w:hAnsi="Times New Roman" w:eastAsia="仿宋_GB2312"/>
          <w:sz w:val="32"/>
          <w:szCs w:val="32"/>
        </w:rPr>
        <w:t>月</w:t>
      </w:r>
      <w:r>
        <w:rPr>
          <w:rFonts w:ascii="Times New Roman" w:hAnsi="Times New Roman"/>
          <w:sz w:val="32"/>
          <w:szCs w:val="32"/>
        </w:rPr>
        <w:t>1</w:t>
      </w:r>
      <w:r>
        <w:rPr>
          <w:rFonts w:ascii="Times New Roman" w:hAnsi="Times New Roman" w:eastAsia="仿宋_GB2312"/>
          <w:sz w:val="32"/>
          <w:szCs w:val="32"/>
        </w:rPr>
        <w:t>日到</w:t>
      </w:r>
      <w:r>
        <w:rPr>
          <w:rFonts w:ascii="Times New Roman" w:hAnsi="Times New Roman"/>
          <w:sz w:val="32"/>
          <w:szCs w:val="32"/>
        </w:rPr>
        <w:t>12</w:t>
      </w:r>
      <w:r>
        <w:rPr>
          <w:rFonts w:ascii="Times New Roman" w:hAnsi="Times New Roman" w:eastAsia="仿宋_GB2312"/>
          <w:sz w:val="32"/>
          <w:szCs w:val="32"/>
        </w:rPr>
        <w:t>月</w:t>
      </w:r>
      <w:r>
        <w:rPr>
          <w:rFonts w:ascii="Times New Roman" w:hAnsi="Times New Roman"/>
          <w:sz w:val="32"/>
          <w:szCs w:val="32"/>
        </w:rPr>
        <w:t>31</w:t>
      </w:r>
      <w:r>
        <w:rPr>
          <w:rFonts w:ascii="Times New Roman" w:hAnsi="Times New Roman" w:eastAsia="仿宋_GB2312"/>
          <w:sz w:val="32"/>
          <w:szCs w:val="32"/>
        </w:rPr>
        <w:t>日止。报告电子版可从</w:t>
      </w:r>
      <w:r>
        <w:rPr>
          <w:rFonts w:hint="eastAsia" w:ascii="Times New Roman" w:hAnsi="Times New Roman" w:eastAsia="仿宋_GB2312"/>
          <w:sz w:val="32"/>
          <w:szCs w:val="32"/>
        </w:rPr>
        <w:t>威海市环翠区人民政府网站</w:t>
      </w:r>
      <w:r>
        <w:rPr>
          <w:rFonts w:ascii="Times New Roman" w:hAnsi="Times New Roman" w:eastAsia="仿宋_GB2312"/>
          <w:sz w:val="32"/>
          <w:szCs w:val="32"/>
        </w:rPr>
        <w:t>（</w:t>
      </w:r>
      <w:r>
        <w:rPr>
          <w:rFonts w:hint="eastAsia" w:ascii="Times New Roman" w:hAnsi="Times New Roman" w:eastAsia="仿宋_GB2312"/>
          <w:sz w:val="32"/>
          <w:szCs w:val="32"/>
        </w:rPr>
        <w:t>网址：http://www.huancui.gov.cn/col/col82465/index.html</w:t>
      </w:r>
      <w:r>
        <w:rPr>
          <w:rFonts w:ascii="Times New Roman" w:hAnsi="Times New Roman" w:eastAsia="仿宋_GB2312"/>
          <w:sz w:val="32"/>
          <w:szCs w:val="32"/>
        </w:rPr>
        <w:t>）查阅或下载。公众如需进一步咨询了解相关信息，请与</w:t>
      </w:r>
      <w:r>
        <w:rPr>
          <w:rFonts w:hint="eastAsia" w:ascii="Times New Roman" w:hAnsi="Times New Roman" w:eastAsia="仿宋_GB2312"/>
          <w:sz w:val="32"/>
          <w:szCs w:val="32"/>
        </w:rPr>
        <w:t>威海市环翠区农业农村局</w:t>
      </w:r>
      <w:r>
        <w:rPr>
          <w:rFonts w:ascii="Times New Roman" w:hAnsi="Times New Roman" w:eastAsia="仿宋_GB2312"/>
          <w:sz w:val="32"/>
          <w:szCs w:val="32"/>
        </w:rPr>
        <w:t>联系（地址</w:t>
      </w:r>
      <w:r>
        <w:rPr>
          <w:rFonts w:hint="eastAsia" w:ascii="Times New Roman" w:hAnsi="Times New Roman" w:eastAsia="仿宋_GB2312"/>
          <w:sz w:val="32"/>
          <w:szCs w:val="32"/>
        </w:rPr>
        <w:t>：统一路254号农业大厦8楼</w:t>
      </w:r>
      <w:r>
        <w:rPr>
          <w:rFonts w:ascii="Times New Roman" w:hAnsi="Times New Roman" w:eastAsia="仿宋_GB2312"/>
          <w:sz w:val="32"/>
          <w:szCs w:val="32"/>
        </w:rPr>
        <w:t>，电话：</w:t>
      </w:r>
      <w:r>
        <w:rPr>
          <w:rFonts w:hint="eastAsia" w:ascii="Times New Roman" w:hAnsi="Times New Roman" w:eastAsia="仿宋_GB2312"/>
          <w:sz w:val="32"/>
          <w:szCs w:val="32"/>
        </w:rPr>
        <w:t>5225046</w:t>
      </w:r>
      <w:r>
        <w:rPr>
          <w:rFonts w:ascii="Times New Roman" w:hAnsi="Times New Roman" w:eastAsia="仿宋_GB2312"/>
          <w:sz w:val="32"/>
          <w:szCs w:val="32"/>
        </w:rPr>
        <w:t>）。</w:t>
      </w:r>
    </w:p>
    <w:p w14:paraId="107EE21F">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14:paraId="471EBA2D">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2023年，</w:t>
      </w:r>
      <w:r>
        <w:rPr>
          <w:rFonts w:hint="eastAsia" w:ascii="Times New Roman" w:hAnsi="Times New Roman" w:eastAsia="仿宋_GB2312" w:cs="Times New Roman"/>
          <w:bCs/>
          <w:sz w:val="32"/>
          <w:szCs w:val="32"/>
        </w:rPr>
        <w:t>环翠区农业农村局</w:t>
      </w:r>
      <w:r>
        <w:rPr>
          <w:rFonts w:ascii="Times New Roman" w:hAnsi="Times New Roman" w:eastAsia="仿宋_GB2312" w:cs="Times New Roman"/>
          <w:bCs/>
          <w:sz w:val="32"/>
          <w:szCs w:val="32"/>
        </w:rPr>
        <w:t>严格落实《条例》要求，深入</w:t>
      </w:r>
      <w:r>
        <w:rPr>
          <w:rFonts w:hint="eastAsia" w:ascii="Times New Roman" w:hAnsi="Times New Roman" w:eastAsia="仿宋_GB2312" w:cs="Times New Roman"/>
          <w:bCs/>
          <w:sz w:val="32"/>
          <w:szCs w:val="32"/>
          <w:lang w:val="en-US" w:eastAsia="zh-CN"/>
        </w:rPr>
        <w:t>贯彻上级</w:t>
      </w:r>
      <w:r>
        <w:rPr>
          <w:rFonts w:ascii="Times New Roman" w:hAnsi="Times New Roman" w:eastAsia="仿宋_GB2312" w:cs="Times New Roman"/>
          <w:bCs/>
          <w:sz w:val="32"/>
          <w:szCs w:val="32"/>
        </w:rPr>
        <w:t>政务公开的总体要求，围绕</w:t>
      </w:r>
      <w:r>
        <w:rPr>
          <w:rFonts w:hint="eastAsia" w:ascii="Times New Roman" w:hAnsi="Times New Roman" w:eastAsia="仿宋_GB2312" w:cs="Times New Roman"/>
          <w:bCs/>
          <w:sz w:val="32"/>
          <w:szCs w:val="32"/>
        </w:rPr>
        <w:t>乡村振兴、农业生产</w:t>
      </w:r>
      <w:r>
        <w:rPr>
          <w:rFonts w:ascii="Times New Roman" w:hAnsi="Times New Roman" w:eastAsia="仿宋_GB2312" w:cs="Times New Roman"/>
          <w:bCs/>
          <w:sz w:val="32"/>
          <w:szCs w:val="32"/>
        </w:rPr>
        <w:t>及</w:t>
      </w:r>
      <w:r>
        <w:rPr>
          <w:rFonts w:hint="eastAsia" w:ascii="Times New Roman" w:hAnsi="Times New Roman" w:eastAsia="仿宋_GB2312" w:cs="Times New Roman"/>
          <w:bCs/>
          <w:sz w:val="32"/>
          <w:szCs w:val="32"/>
        </w:rPr>
        <w:t>社会</w:t>
      </w:r>
      <w:r>
        <w:rPr>
          <w:rFonts w:ascii="Times New Roman" w:hAnsi="Times New Roman" w:eastAsia="仿宋_GB2312" w:cs="Times New Roman"/>
          <w:bCs/>
          <w:sz w:val="32"/>
          <w:szCs w:val="32"/>
        </w:rPr>
        <w:t>关切，通过环翠区政府网站、</w:t>
      </w:r>
      <w:r>
        <w:rPr>
          <w:rFonts w:hint="eastAsia" w:ascii="Times New Roman" w:hAnsi="Times New Roman" w:eastAsia="仿宋_GB2312" w:cs="Times New Roman"/>
          <w:bCs/>
          <w:sz w:val="32"/>
          <w:szCs w:val="32"/>
        </w:rPr>
        <w:t>最威海是环翠</w:t>
      </w:r>
      <w:r>
        <w:rPr>
          <w:rFonts w:ascii="Times New Roman" w:hAnsi="Times New Roman" w:eastAsia="仿宋_GB2312" w:cs="Times New Roman"/>
          <w:bCs/>
          <w:sz w:val="32"/>
          <w:szCs w:val="32"/>
        </w:rPr>
        <w:t>等多</w:t>
      </w:r>
      <w:r>
        <w:rPr>
          <w:rFonts w:hint="eastAsia" w:ascii="Times New Roman" w:hAnsi="Times New Roman" w:eastAsia="仿宋_GB2312" w:cs="Times New Roman"/>
          <w:bCs/>
          <w:sz w:val="32"/>
          <w:szCs w:val="32"/>
        </w:rPr>
        <w:t>渠道开展政务</w:t>
      </w:r>
      <w:r>
        <w:rPr>
          <w:rFonts w:ascii="Times New Roman" w:hAnsi="Times New Roman" w:eastAsia="仿宋_GB2312" w:cs="Times New Roman"/>
          <w:bCs/>
          <w:sz w:val="32"/>
          <w:szCs w:val="32"/>
        </w:rPr>
        <w:t>信息公开</w:t>
      </w:r>
      <w:r>
        <w:rPr>
          <w:rFonts w:hint="eastAsia" w:ascii="Times New Roman" w:hAnsi="Times New Roman" w:eastAsia="仿宋_GB2312" w:cs="Times New Roman"/>
          <w:bCs/>
          <w:sz w:val="32"/>
          <w:szCs w:val="32"/>
        </w:rPr>
        <w:t>，不断提升政府工作透明度和公信力。</w:t>
      </w:r>
    </w:p>
    <w:p w14:paraId="686E2E17">
      <w:pPr>
        <w:spacing w:line="560" w:lineRule="exact"/>
        <w:ind w:firstLine="640" w:firstLineChars="200"/>
        <w:jc w:val="left"/>
        <w:rPr>
          <w:lang w:val="en"/>
        </w:rPr>
      </w:pPr>
      <w:r>
        <w:rPr>
          <w:rFonts w:ascii="Times New Roman" w:hAnsi="Times New Roman" w:eastAsia="仿宋_GB2312" w:cs="Times New Roman"/>
          <w:bCs/>
          <w:sz w:val="32"/>
          <w:szCs w:val="32"/>
        </w:rPr>
        <w:t>1.</w:t>
      </w:r>
      <w:r>
        <w:rPr>
          <w:rFonts w:hint="eastAsia" w:ascii="楷体_GB2312" w:hAnsi="楷体_GB2312" w:eastAsia="楷体_GB2312" w:cs="楷体_GB2312"/>
          <w:bCs/>
          <w:sz w:val="32"/>
          <w:szCs w:val="32"/>
        </w:rPr>
        <w:t>主动公开方面。</w:t>
      </w:r>
      <w:r>
        <w:rPr>
          <w:rFonts w:hint="eastAsia" w:ascii="Times New Roman" w:hAnsi="Times New Roman" w:eastAsia="仿宋_GB2312" w:cs="Times New Roman"/>
          <w:bCs/>
          <w:sz w:val="32"/>
          <w:szCs w:val="32"/>
        </w:rPr>
        <w:t>2023年度，区农业农村局深入贯彻落实《条例》，按照“公开为常态，不公开为例外”的原则，扩大主动公开信息量，细化主动公开范围，共在政府网站主动公开信息180条。其中，机构职能18条，人事任免4条，政府会议17条，规划计划12条，财政预决算4条，重点领域35条，建议提案9条，业务动态73条，政务公开组织管理6条，标准信息公开2条。在我局负责的重点领域工作方面，对单位本年工作要点和部署重点工作落实情况按照时间节点做到及时公开，在乡村振兴信息中，强化各项扶贫政策宣传工作，助力巩固拓展脱贫攻坚成果同乡村振兴有效衔接；在涉农补贴信息中，持续加大政策解读力度，提高政策递送水平，确保农业惠民政策落地落实。</w:t>
      </w:r>
    </w:p>
    <w:p w14:paraId="18501B05">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w:t>
      </w:r>
      <w:r>
        <w:rPr>
          <w:rFonts w:ascii="楷体_GB2312" w:hAnsi="楷体_GB2312" w:eastAsia="楷体_GB2312" w:cs="楷体_GB2312"/>
          <w:bCs/>
          <w:sz w:val="32"/>
          <w:szCs w:val="32"/>
        </w:rPr>
        <w:t>依申请公开工作方面。</w:t>
      </w:r>
      <w:r>
        <w:rPr>
          <w:rFonts w:hint="eastAsia" w:ascii="Times New Roman" w:hAnsi="Times New Roman" w:eastAsia="仿宋_GB2312" w:cs="Times New Roman"/>
          <w:bCs/>
          <w:sz w:val="32"/>
          <w:szCs w:val="32"/>
        </w:rPr>
        <w:t>区农业农村局</w:t>
      </w:r>
      <w:r>
        <w:rPr>
          <w:rFonts w:hint="eastAsia" w:ascii="Times New Roman" w:hAnsi="Times New Roman" w:eastAsia="仿宋_GB2312" w:cs="Times New Roman"/>
          <w:bCs/>
          <w:sz w:val="32"/>
          <w:szCs w:val="32"/>
          <w:lang w:val="en-US" w:eastAsia="zh-CN"/>
        </w:rPr>
        <w:t>组织工作人员参加上级政务公开培训，召开专题会议，</w:t>
      </w:r>
      <w:r>
        <w:rPr>
          <w:rFonts w:hint="eastAsia" w:ascii="Times New Roman" w:hAnsi="Times New Roman" w:eastAsia="仿宋_GB2312" w:cs="Times New Roman"/>
          <w:bCs/>
          <w:sz w:val="32"/>
          <w:szCs w:val="32"/>
        </w:rPr>
        <w:t>全面梳理政府信息依申请公开受理登记、办理答复、备案登记等环节</w:t>
      </w:r>
      <w:r>
        <w:rPr>
          <w:rFonts w:hint="eastAsia" w:ascii="Times New Roman" w:hAnsi="Times New Roman" w:eastAsia="仿宋_GB2312" w:cs="Times New Roman"/>
          <w:bCs/>
          <w:sz w:val="32"/>
          <w:szCs w:val="32"/>
          <w:lang w:eastAsia="zh-CN"/>
        </w:rPr>
        <w:t>，有效提升</w:t>
      </w:r>
      <w:r>
        <w:rPr>
          <w:rFonts w:hint="eastAsia" w:ascii="Times New Roman" w:hAnsi="Times New Roman" w:eastAsia="仿宋_GB2312" w:cs="Times New Roman"/>
          <w:bCs/>
          <w:sz w:val="32"/>
          <w:szCs w:val="32"/>
          <w:lang w:val="en-US" w:eastAsia="zh-CN"/>
        </w:rPr>
        <w:t>我局</w:t>
      </w:r>
      <w:r>
        <w:rPr>
          <w:rFonts w:hint="eastAsia" w:ascii="Times New Roman" w:hAnsi="Times New Roman" w:eastAsia="仿宋_GB2312" w:cs="Times New Roman"/>
          <w:bCs/>
          <w:sz w:val="32"/>
          <w:szCs w:val="32"/>
          <w:lang w:eastAsia="zh-CN"/>
        </w:rPr>
        <w:t>依申请公开工作水平。</w:t>
      </w:r>
      <w:r>
        <w:rPr>
          <w:rFonts w:hint="eastAsia" w:ascii="Times New Roman" w:hAnsi="Times New Roman" w:eastAsia="仿宋_GB2312" w:cs="Times New Roman"/>
          <w:bCs/>
          <w:sz w:val="32"/>
          <w:szCs w:val="32"/>
          <w:lang w:val="en-US" w:eastAsia="zh-CN"/>
        </w:rPr>
        <w:t>2023年，本单位</w:t>
      </w:r>
      <w:r>
        <w:rPr>
          <w:rFonts w:ascii="Times New Roman" w:hAnsi="Times New Roman" w:eastAsia="仿宋_GB2312" w:cs="Times New Roman"/>
          <w:bCs/>
          <w:sz w:val="32"/>
          <w:szCs w:val="32"/>
        </w:rPr>
        <w:t>新收到政府信息公开申请1件，上年结转0件，</w:t>
      </w:r>
      <w:r>
        <w:rPr>
          <w:rFonts w:hint="eastAsia" w:ascii="Times New Roman" w:hAnsi="Times New Roman" w:eastAsia="仿宋_GB2312" w:cs="Times New Roman"/>
          <w:bCs/>
          <w:sz w:val="32"/>
          <w:szCs w:val="32"/>
          <w:lang w:val="en-US" w:eastAsia="zh-CN"/>
        </w:rPr>
        <w:t>相比2022年3件有所减少，</w:t>
      </w:r>
      <w:r>
        <w:rPr>
          <w:rFonts w:ascii="Times New Roman" w:hAnsi="Times New Roman" w:eastAsia="仿宋_GB2312" w:cs="Times New Roman"/>
          <w:bCs/>
          <w:sz w:val="32"/>
          <w:szCs w:val="32"/>
        </w:rPr>
        <w:t>已按期答复。</w:t>
      </w:r>
    </w:p>
    <w:p w14:paraId="2726B7D2">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3.</w:t>
      </w:r>
      <w:r>
        <w:rPr>
          <w:rFonts w:ascii="楷体_GB2312" w:hAnsi="楷体_GB2312" w:eastAsia="楷体_GB2312" w:cs="楷体_GB2312"/>
          <w:bCs/>
          <w:sz w:val="32"/>
          <w:szCs w:val="32"/>
        </w:rPr>
        <w:t>政府信息管理方面。</w:t>
      </w:r>
      <w:r>
        <w:rPr>
          <w:rFonts w:hint="eastAsia" w:ascii="仿宋_GB2312" w:hAnsi="仿宋_GB2312" w:eastAsia="仿宋_GB2312" w:cs="仿宋_GB2312"/>
          <w:bCs/>
          <w:sz w:val="32"/>
          <w:szCs w:val="32"/>
        </w:rPr>
        <w:t>区农业</w:t>
      </w:r>
      <w:r>
        <w:rPr>
          <w:rFonts w:ascii="Times New Roman" w:hAnsi="Times New Roman" w:eastAsia="仿宋_GB2312" w:cs="Times New Roman"/>
          <w:bCs/>
          <w:sz w:val="32"/>
          <w:szCs w:val="32"/>
        </w:rPr>
        <w:t>农村局压实政务公开工作责任，严格落实信息发布保密审查制度，切实做好信息属性源头认定，确保信息发布及时、准确、安全。</w:t>
      </w:r>
      <w:r>
        <w:rPr>
          <w:rFonts w:hint="eastAsia" w:ascii="Times New Roman" w:hAnsi="Times New Roman" w:eastAsia="仿宋_GB2312" w:cs="Times New Roman"/>
          <w:bCs/>
          <w:sz w:val="32"/>
          <w:szCs w:val="32"/>
        </w:rPr>
        <w:t>根据</w:t>
      </w:r>
      <w:r>
        <w:rPr>
          <w:rFonts w:hint="eastAsia" w:ascii="Times New Roman" w:hAnsi="Times New Roman" w:eastAsia="仿宋_GB2312" w:cs="Times New Roman"/>
          <w:bCs/>
          <w:sz w:val="32"/>
          <w:szCs w:val="32"/>
          <w:lang w:val="en-US" w:eastAsia="zh-CN"/>
        </w:rPr>
        <w:t>上级</w:t>
      </w:r>
      <w:r>
        <w:rPr>
          <w:rFonts w:hint="eastAsia" w:ascii="Times New Roman" w:hAnsi="Times New Roman" w:eastAsia="仿宋_GB2312" w:cs="Times New Roman"/>
          <w:bCs/>
          <w:sz w:val="32"/>
          <w:szCs w:val="32"/>
        </w:rPr>
        <w:t>要求，</w:t>
      </w:r>
      <w:r>
        <w:rPr>
          <w:rFonts w:hint="eastAsia" w:ascii="Times New Roman" w:hAnsi="Times New Roman" w:eastAsia="仿宋_GB2312" w:cs="Times New Roman"/>
          <w:bCs/>
          <w:sz w:val="32"/>
          <w:szCs w:val="32"/>
          <w:lang w:val="en-US" w:eastAsia="zh-CN"/>
        </w:rPr>
        <w:t>定期</w:t>
      </w:r>
      <w:r>
        <w:rPr>
          <w:rFonts w:hint="eastAsia" w:ascii="Times New Roman" w:hAnsi="Times New Roman" w:eastAsia="仿宋_GB2312" w:cs="Times New Roman"/>
          <w:bCs/>
          <w:sz w:val="32"/>
          <w:szCs w:val="32"/>
        </w:rPr>
        <w:t>开展</w:t>
      </w:r>
      <w:r>
        <w:rPr>
          <w:rFonts w:hint="eastAsia" w:ascii="Times New Roman" w:hAnsi="Times New Roman" w:eastAsia="仿宋_GB2312" w:cs="Times New Roman"/>
          <w:bCs/>
          <w:sz w:val="32"/>
          <w:szCs w:val="32"/>
          <w:lang w:val="en-US" w:eastAsia="zh-CN"/>
        </w:rPr>
        <w:t>政务公开信息自查</w:t>
      </w:r>
      <w:r>
        <w:rPr>
          <w:rFonts w:hint="eastAsia" w:ascii="Times New Roman" w:hAnsi="Times New Roman" w:eastAsia="仿宋_GB2312" w:cs="Times New Roman"/>
          <w:bCs/>
          <w:sz w:val="32"/>
          <w:szCs w:val="32"/>
        </w:rPr>
        <w:t>整治</w:t>
      </w:r>
      <w:r>
        <w:rPr>
          <w:rFonts w:hint="eastAsia" w:ascii="Times New Roman" w:hAnsi="Times New Roman" w:eastAsia="仿宋_GB2312" w:cs="Times New Roman"/>
          <w:bCs/>
          <w:sz w:val="32"/>
          <w:szCs w:val="32"/>
          <w:lang w:val="en-US" w:eastAsia="zh-CN"/>
        </w:rPr>
        <w:t>和梳理审核</w:t>
      </w:r>
      <w:r>
        <w:rPr>
          <w:rFonts w:hint="eastAsia" w:ascii="Times New Roman" w:hAnsi="Times New Roman" w:eastAsia="仿宋_GB2312" w:cs="Times New Roman"/>
          <w:bCs/>
          <w:sz w:val="32"/>
          <w:szCs w:val="32"/>
        </w:rPr>
        <w:t>工作。</w:t>
      </w:r>
      <w:r>
        <w:rPr>
          <w:rFonts w:hint="eastAsia" w:ascii="Times New Roman" w:hAnsi="Times New Roman" w:eastAsia="仿宋_GB2312" w:cs="Times New Roman"/>
          <w:bCs/>
          <w:sz w:val="32"/>
          <w:szCs w:val="32"/>
          <w:lang w:val="en-US" w:eastAsia="zh-CN"/>
        </w:rPr>
        <w:t>同时，</w:t>
      </w:r>
      <w:r>
        <w:rPr>
          <w:rFonts w:hint="eastAsia" w:ascii="Times New Roman" w:hAnsi="Times New Roman" w:eastAsia="仿宋_GB2312" w:cs="Times New Roman"/>
          <w:bCs/>
          <w:sz w:val="32"/>
          <w:szCs w:val="32"/>
        </w:rPr>
        <w:t>通过线上线下相结合方式加大政务公开信息普及，不断提高政府信息公开度、透明度和群众知晓率。</w:t>
      </w:r>
    </w:p>
    <w:p w14:paraId="2F01783F">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4.</w:t>
      </w:r>
      <w:r>
        <w:rPr>
          <w:rFonts w:ascii="楷体_GB2312" w:hAnsi="楷体_GB2312" w:eastAsia="楷体_GB2312" w:cs="楷体_GB2312"/>
          <w:bCs/>
          <w:sz w:val="32"/>
          <w:szCs w:val="32"/>
        </w:rPr>
        <w:t>平台建设方面。</w:t>
      </w:r>
      <w:r>
        <w:rPr>
          <w:rFonts w:ascii="Times New Roman" w:hAnsi="Times New Roman" w:eastAsia="仿宋_GB2312" w:cs="Times New Roman"/>
          <w:bCs/>
          <w:sz w:val="32"/>
          <w:szCs w:val="32"/>
        </w:rPr>
        <w:t>区农业农村局开展多样化的政务公开服务，着重利用环翠政务网站进行信息公开，同时积极通过最威海是环翠、微博等网络媒体向社会广泛公开农业农村领域信息，进一步巩固完善我局信息公开网上渠道，确保信息公开的时效性。并充分运用大数据等新一代信息技术开发“环翠·链乡”智慧平台，聚集盘活全区优质涉农资源要素，为乡村振兴注入新动能，加快构建城乡融合新格局</w:t>
      </w:r>
      <w:r>
        <w:rPr>
          <w:rFonts w:hint="eastAsia" w:ascii="Times New Roman" w:hAnsi="Times New Roman" w:eastAsia="仿宋_GB2312" w:cs="Times New Roman"/>
          <w:bCs/>
          <w:sz w:val="32"/>
          <w:szCs w:val="32"/>
        </w:rPr>
        <w:t>。</w:t>
      </w:r>
    </w:p>
    <w:p w14:paraId="73D41FF7">
      <w:pPr>
        <w:spacing w:line="560" w:lineRule="exact"/>
        <w:ind w:firstLine="640" w:firstLineChars="200"/>
        <w:rPr>
          <w:rFonts w:ascii="Times New Roman" w:hAnsi="Times New Roman" w:eastAsia="仿宋_GB2312" w:cs="Times New Roman"/>
          <w:bCs/>
          <w:color w:val="FF0000"/>
          <w:sz w:val="32"/>
          <w:szCs w:val="32"/>
        </w:rPr>
      </w:pPr>
      <w:r>
        <w:rPr>
          <w:rFonts w:ascii="Times New Roman" w:hAnsi="Times New Roman" w:eastAsia="仿宋_GB2312" w:cs="Times New Roman"/>
          <w:bCs/>
          <w:sz w:val="32"/>
          <w:szCs w:val="32"/>
        </w:rPr>
        <w:t>5.</w:t>
      </w:r>
      <w:r>
        <w:rPr>
          <w:rFonts w:ascii="楷体_GB2312" w:hAnsi="楷体_GB2312" w:eastAsia="楷体_GB2312" w:cs="楷体_GB2312"/>
          <w:bCs/>
          <w:sz w:val="32"/>
          <w:szCs w:val="32"/>
        </w:rPr>
        <w:t>监督保障方面。</w:t>
      </w:r>
      <w:r>
        <w:rPr>
          <w:rFonts w:ascii="Times New Roman" w:hAnsi="Times New Roman" w:eastAsia="仿宋_GB2312" w:cs="Times New Roman"/>
          <w:bCs/>
          <w:sz w:val="32"/>
          <w:szCs w:val="32"/>
        </w:rPr>
        <w:t>区农业农村局严格按照《条例》要求开展政府信息公开工作，明确综合科是本单位政府信息公开的工作机构，负责本单位政府信息公开日常管理，指定专人负责信息更新工作，及时发布农业农村领域的政策措施、生产技术以及行政执法等方面信息。2023年，未收到政府信息公开有关的投诉、举报，也无其他责任追究的情形。</w:t>
      </w:r>
    </w:p>
    <w:p w14:paraId="65A6739C">
      <w:pPr>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br w:type="page"/>
      </w:r>
    </w:p>
    <w:p w14:paraId="4018A07D">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二、主动公开政府信息情况</w:t>
      </w:r>
    </w:p>
    <w:tbl>
      <w:tblPr>
        <w:tblStyle w:val="6"/>
        <w:tblW w:w="8824" w:type="dxa"/>
        <w:jc w:val="center"/>
        <w:tblLayout w:type="fixed"/>
        <w:tblCellMar>
          <w:top w:w="0" w:type="dxa"/>
          <w:left w:w="108" w:type="dxa"/>
          <w:bottom w:w="0" w:type="dxa"/>
          <w:right w:w="108" w:type="dxa"/>
        </w:tblCellMar>
      </w:tblPr>
      <w:tblGrid>
        <w:gridCol w:w="2206"/>
        <w:gridCol w:w="2206"/>
        <w:gridCol w:w="2206"/>
        <w:gridCol w:w="2206"/>
      </w:tblGrid>
      <w:tr w14:paraId="56BCAF7B">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5083DF30">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13DAF93D">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38A95211">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3333CAFE">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59FEE7A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1954D60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00892597">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122BF6CA">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18D9F05E">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1466DE15">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48E8B3B1">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14:paraId="48D7BE38">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593669D7">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64493768">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40DCAF59">
            <w:pPr>
              <w:widowControl/>
              <w:jc w:val="center"/>
              <w:rPr>
                <w:rFonts w:hint="eastAsia" w:ascii="仿宋_GB2312" w:hAnsi="宋体" w:eastAsia="仿宋_GB2312" w:cs="宋体"/>
                <w:kern w:val="0"/>
                <w:szCs w:val="21"/>
                <w:lang w:val="en" w:eastAsia="zh-CN"/>
              </w:rPr>
            </w:pPr>
            <w:r>
              <w:rPr>
                <w:rFonts w:hint="eastAsia" w:ascii="仿宋_GB2312" w:hAnsi="宋体" w:eastAsia="仿宋_GB2312" w:cs="宋体"/>
                <w:kern w:val="0"/>
                <w:szCs w:val="21"/>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14:paraId="3C1B1094">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r>
      <w:tr w14:paraId="3E34ECA7">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5A9A424B">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278A04D5">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257C4C4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2C909A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A749263">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6D313B2">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FDE8EE5">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100</w:t>
            </w:r>
            <w:bookmarkStart w:id="10" w:name="_GoBack"/>
            <w:bookmarkEnd w:id="10"/>
          </w:p>
        </w:tc>
      </w:tr>
      <w:tr w14:paraId="3112C8CE">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1878D92">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3718E146">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116215D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F2FFBF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5C85FED8">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BFB4ADB">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CBA10B9">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4</w:t>
            </w:r>
          </w:p>
        </w:tc>
      </w:tr>
      <w:tr w14:paraId="5EF389C3">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39AEEC3D">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088F2B2">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14:paraId="11E09335">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3C466E9">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49938804">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5DBF2EC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67FBB4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300042C2">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23A3A455">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DC85403">
            <w:pPr>
              <w:widowControl/>
              <w:jc w:val="center"/>
              <w:rPr>
                <w:rFonts w:ascii="仿宋_GB2312" w:hAnsi="Calibri" w:eastAsia="仿宋_GB2312" w:cs="Calibri"/>
                <w:color w:val="000000"/>
                <w:kern w:val="0"/>
                <w:szCs w:val="21"/>
              </w:rPr>
            </w:pPr>
            <w:r>
              <w:rPr>
                <w:rFonts w:hint="eastAsia" w:ascii="仿宋_GB2312" w:hAnsi="Calibri" w:eastAsia="仿宋_GB2312" w:cs="Calibri"/>
                <w:color w:val="000000"/>
                <w:kern w:val="0"/>
                <w:szCs w:val="21"/>
              </w:rPr>
              <w:t>0</w:t>
            </w:r>
          </w:p>
        </w:tc>
      </w:tr>
    </w:tbl>
    <w:p w14:paraId="251D529C">
      <w:pPr>
        <w:rPr>
          <w:rFonts w:ascii="黑体" w:hAnsi="黑体" w:eastAsia="黑体" w:cs="黑体"/>
          <w:bCs/>
          <w:kern w:val="0"/>
          <w:sz w:val="32"/>
          <w:szCs w:val="32"/>
          <w:shd w:val="clear" w:color="auto" w:fill="FFFFFF"/>
          <w:lang w:bidi="ar"/>
        </w:rPr>
      </w:pPr>
      <w:r>
        <w:rPr>
          <w:rFonts w:hint="eastAsia" w:ascii="黑体" w:hAnsi="黑体" w:eastAsia="黑体" w:cs="黑体"/>
          <w:bCs/>
          <w:kern w:val="0"/>
          <w:sz w:val="32"/>
          <w:szCs w:val="32"/>
          <w:shd w:val="clear" w:color="auto" w:fill="FFFFFF"/>
          <w:lang w:bidi="ar"/>
        </w:rPr>
        <w:br w:type="page"/>
      </w:r>
    </w:p>
    <w:p w14:paraId="0F1D41A6">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kern w:val="0"/>
          <w:sz w:val="32"/>
          <w:szCs w:val="32"/>
          <w:shd w:val="clear" w:color="auto" w:fill="FFFFFF"/>
          <w:lang w:bidi="ar"/>
        </w:rPr>
        <w:t>三、收</w:t>
      </w:r>
      <w:r>
        <w:rPr>
          <w:rFonts w:hint="eastAsia" w:ascii="黑体" w:hAnsi="黑体" w:eastAsia="黑体" w:cs="黑体"/>
          <w:bCs/>
          <w:color w:val="333333"/>
          <w:kern w:val="0"/>
          <w:sz w:val="32"/>
          <w:szCs w:val="32"/>
          <w:shd w:val="clear" w:color="auto" w:fill="FFFFFF"/>
          <w:lang w:bidi="ar"/>
        </w:rPr>
        <w:t>到和处理政府信息公开申请情况</w:t>
      </w: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5"/>
        <w:gridCol w:w="1701"/>
        <w:gridCol w:w="2976"/>
        <w:gridCol w:w="763"/>
        <w:gridCol w:w="538"/>
        <w:gridCol w:w="526"/>
        <w:gridCol w:w="720"/>
        <w:gridCol w:w="675"/>
        <w:gridCol w:w="526"/>
        <w:gridCol w:w="701"/>
      </w:tblGrid>
      <w:tr w14:paraId="3FE12D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7B0F8178">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2B5E74F9">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7"/>
            <w:shd w:val="clear" w:color="auto" w:fill="auto"/>
            <w:tcMar>
              <w:left w:w="108" w:type="dxa"/>
              <w:right w:w="108" w:type="dxa"/>
            </w:tcMar>
            <w:vAlign w:val="center"/>
          </w:tcPr>
          <w:p w14:paraId="33FD0871">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009A36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27218CD8">
            <w:pPr>
              <w:jc w:val="center"/>
              <w:rPr>
                <w:rFonts w:ascii="仿宋_GB2312" w:hAnsi="Times New Roman" w:eastAsia="仿宋_GB2312"/>
                <w:szCs w:val="21"/>
              </w:rPr>
            </w:pPr>
          </w:p>
        </w:tc>
        <w:tc>
          <w:tcPr>
            <w:tcW w:w="763" w:type="dxa"/>
            <w:vMerge w:val="restart"/>
            <w:shd w:val="clear" w:color="auto" w:fill="auto"/>
            <w:tcMar>
              <w:left w:w="108" w:type="dxa"/>
              <w:right w:w="108" w:type="dxa"/>
            </w:tcMar>
            <w:vAlign w:val="center"/>
          </w:tcPr>
          <w:p w14:paraId="68044626">
            <w:pPr>
              <w:widowControl/>
              <w:jc w:val="center"/>
              <w:rPr>
                <w:rFonts w:ascii="黑体" w:hAnsi="黑体" w:eastAsia="黑体"/>
                <w:szCs w:val="21"/>
              </w:rPr>
            </w:pPr>
            <w:r>
              <w:rPr>
                <w:rFonts w:hint="eastAsia" w:ascii="黑体" w:hAnsi="黑体" w:eastAsia="黑体"/>
                <w:kern w:val="0"/>
                <w:szCs w:val="21"/>
              </w:rPr>
              <w:t>自然人</w:t>
            </w:r>
          </w:p>
        </w:tc>
        <w:tc>
          <w:tcPr>
            <w:tcW w:w="2984" w:type="dxa"/>
            <w:gridSpan w:val="5"/>
            <w:shd w:val="clear" w:color="auto" w:fill="auto"/>
            <w:tcMar>
              <w:left w:w="108" w:type="dxa"/>
              <w:right w:w="108" w:type="dxa"/>
            </w:tcMar>
            <w:vAlign w:val="center"/>
          </w:tcPr>
          <w:p w14:paraId="26563E95">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vMerge w:val="restart"/>
            <w:shd w:val="clear" w:color="auto" w:fill="auto"/>
            <w:tcMar>
              <w:left w:w="108" w:type="dxa"/>
              <w:right w:w="108" w:type="dxa"/>
            </w:tcMar>
            <w:vAlign w:val="center"/>
          </w:tcPr>
          <w:p w14:paraId="0F3CA845">
            <w:pPr>
              <w:widowControl/>
              <w:jc w:val="center"/>
              <w:rPr>
                <w:rFonts w:ascii="黑体" w:hAnsi="黑体" w:eastAsia="黑体"/>
                <w:szCs w:val="21"/>
              </w:rPr>
            </w:pPr>
            <w:r>
              <w:rPr>
                <w:rFonts w:hint="eastAsia" w:ascii="黑体" w:hAnsi="黑体" w:eastAsia="黑体"/>
                <w:kern w:val="0"/>
                <w:szCs w:val="21"/>
              </w:rPr>
              <w:t>总计</w:t>
            </w:r>
          </w:p>
        </w:tc>
      </w:tr>
      <w:tr w14:paraId="260561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3F8A9541">
            <w:pPr>
              <w:jc w:val="center"/>
              <w:rPr>
                <w:rFonts w:ascii="仿宋_GB2312" w:hAnsi="Times New Roman" w:eastAsia="仿宋_GB2312"/>
                <w:szCs w:val="21"/>
              </w:rPr>
            </w:pPr>
          </w:p>
        </w:tc>
        <w:tc>
          <w:tcPr>
            <w:tcW w:w="763" w:type="dxa"/>
            <w:vMerge w:val="continue"/>
            <w:shd w:val="clear" w:color="auto" w:fill="auto"/>
            <w:tcMar>
              <w:left w:w="108" w:type="dxa"/>
              <w:right w:w="108" w:type="dxa"/>
            </w:tcMar>
            <w:vAlign w:val="center"/>
          </w:tcPr>
          <w:p w14:paraId="1DA41FCA">
            <w:pPr>
              <w:jc w:val="center"/>
              <w:rPr>
                <w:rFonts w:ascii="黑体" w:hAnsi="黑体" w:eastAsia="黑体"/>
                <w:szCs w:val="21"/>
              </w:rPr>
            </w:pPr>
          </w:p>
        </w:tc>
        <w:tc>
          <w:tcPr>
            <w:tcW w:w="538" w:type="dxa"/>
            <w:shd w:val="clear" w:color="auto" w:fill="auto"/>
            <w:tcMar>
              <w:left w:w="108" w:type="dxa"/>
              <w:right w:w="108" w:type="dxa"/>
            </w:tcMar>
            <w:vAlign w:val="center"/>
          </w:tcPr>
          <w:p w14:paraId="07EE863F">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26" w:type="dxa"/>
            <w:shd w:val="clear" w:color="auto" w:fill="auto"/>
            <w:tcMar>
              <w:left w:w="108" w:type="dxa"/>
              <w:right w:w="108" w:type="dxa"/>
            </w:tcMar>
            <w:vAlign w:val="center"/>
          </w:tcPr>
          <w:p w14:paraId="45960634">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775826F7">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076E187B">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14:paraId="6BC2304C">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vMerge w:val="continue"/>
            <w:shd w:val="clear" w:color="auto" w:fill="auto"/>
            <w:tcMar>
              <w:left w:w="108" w:type="dxa"/>
              <w:right w:w="108" w:type="dxa"/>
            </w:tcMar>
            <w:vAlign w:val="center"/>
          </w:tcPr>
          <w:p w14:paraId="759EA0F4">
            <w:pPr>
              <w:jc w:val="center"/>
              <w:rPr>
                <w:rFonts w:ascii="仿宋_GB2312" w:hAnsi="Times New Roman" w:eastAsia="仿宋_GB2312"/>
                <w:szCs w:val="21"/>
              </w:rPr>
            </w:pPr>
          </w:p>
        </w:tc>
      </w:tr>
      <w:tr w14:paraId="7E0844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01A9D6F">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63" w:type="dxa"/>
            <w:shd w:val="clear" w:color="auto" w:fill="auto"/>
            <w:tcMar>
              <w:left w:w="108" w:type="dxa"/>
              <w:right w:w="108" w:type="dxa"/>
            </w:tcMar>
            <w:vAlign w:val="center"/>
          </w:tcPr>
          <w:p w14:paraId="5F18592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14:paraId="480BA1E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5BB5B13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0E8A4BD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5DF198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14:paraId="538F391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1" w:type="dxa"/>
            <w:shd w:val="clear" w:color="auto" w:fill="auto"/>
            <w:tcMar>
              <w:left w:w="108" w:type="dxa"/>
              <w:right w:w="108" w:type="dxa"/>
            </w:tcMar>
            <w:vAlign w:val="center"/>
          </w:tcPr>
          <w:p w14:paraId="4A24309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14:paraId="533F68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4625EFA8">
            <w:pPr>
              <w:widowControl/>
              <w:rPr>
                <w:rFonts w:ascii="黑体" w:hAnsi="黑体" w:eastAsia="黑体"/>
                <w:szCs w:val="21"/>
              </w:rPr>
            </w:pPr>
            <w:r>
              <w:rPr>
                <w:rFonts w:hint="eastAsia" w:ascii="黑体" w:hAnsi="黑体" w:eastAsia="黑体"/>
                <w:kern w:val="0"/>
                <w:szCs w:val="21"/>
              </w:rPr>
              <w:t>二、上年结转政府信息公开申请数量</w:t>
            </w:r>
          </w:p>
        </w:tc>
        <w:tc>
          <w:tcPr>
            <w:tcW w:w="763" w:type="dxa"/>
            <w:shd w:val="clear" w:color="auto" w:fill="auto"/>
            <w:tcMar>
              <w:left w:w="108" w:type="dxa"/>
              <w:right w:w="108" w:type="dxa"/>
            </w:tcMar>
            <w:vAlign w:val="center"/>
          </w:tcPr>
          <w:p w14:paraId="123ECB0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623A2BC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C339D9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01D6138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6135D41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14:paraId="2F4A371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1" w:type="dxa"/>
            <w:shd w:val="clear" w:color="auto" w:fill="auto"/>
            <w:tcMar>
              <w:left w:w="108" w:type="dxa"/>
              <w:right w:w="108" w:type="dxa"/>
            </w:tcMar>
            <w:vAlign w:val="center"/>
          </w:tcPr>
          <w:p w14:paraId="20C942E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CAD44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2CED13CC">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14:paraId="31158815">
            <w:pPr>
              <w:widowControl/>
              <w:rPr>
                <w:rFonts w:ascii="黑体" w:hAnsi="黑体" w:eastAsia="黑体"/>
                <w:szCs w:val="21"/>
              </w:rPr>
            </w:pPr>
            <w:r>
              <w:rPr>
                <w:rFonts w:hint="eastAsia" w:ascii="黑体" w:hAnsi="黑体" w:eastAsia="黑体"/>
                <w:kern w:val="0"/>
                <w:szCs w:val="21"/>
              </w:rPr>
              <w:t>（一）予以公开</w:t>
            </w:r>
          </w:p>
        </w:tc>
        <w:tc>
          <w:tcPr>
            <w:tcW w:w="763" w:type="dxa"/>
            <w:shd w:val="clear" w:color="auto" w:fill="auto"/>
            <w:tcMar>
              <w:left w:w="108" w:type="dxa"/>
              <w:right w:w="108" w:type="dxa"/>
            </w:tcMar>
            <w:vAlign w:val="center"/>
          </w:tcPr>
          <w:p w14:paraId="1265548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14:paraId="0183910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842D54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54FCA79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25B0AE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33938C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4315107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14:paraId="528484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A703E25">
            <w:pPr>
              <w:rPr>
                <w:rFonts w:ascii="黑体" w:hAnsi="黑体" w:eastAsia="黑体"/>
                <w:szCs w:val="21"/>
              </w:rPr>
            </w:pPr>
          </w:p>
        </w:tc>
        <w:tc>
          <w:tcPr>
            <w:tcW w:w="4677" w:type="dxa"/>
            <w:gridSpan w:val="2"/>
            <w:shd w:val="clear" w:color="auto" w:fill="auto"/>
            <w:tcMar>
              <w:left w:w="108" w:type="dxa"/>
              <w:right w:w="108" w:type="dxa"/>
            </w:tcMar>
            <w:vAlign w:val="center"/>
          </w:tcPr>
          <w:p w14:paraId="30A31C1D">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63" w:type="dxa"/>
            <w:shd w:val="clear" w:color="auto" w:fill="auto"/>
            <w:tcMar>
              <w:left w:w="108" w:type="dxa"/>
              <w:right w:w="108" w:type="dxa"/>
            </w:tcMar>
            <w:vAlign w:val="center"/>
          </w:tcPr>
          <w:p w14:paraId="0E96FC6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73D759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5214A6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5E1B7D6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7B9807B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523556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A5EAA1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6DBEAF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161F387">
            <w:pPr>
              <w:rPr>
                <w:rFonts w:ascii="黑体" w:hAnsi="黑体" w:eastAsia="黑体"/>
                <w:szCs w:val="21"/>
              </w:rPr>
            </w:pPr>
          </w:p>
        </w:tc>
        <w:tc>
          <w:tcPr>
            <w:tcW w:w="1701" w:type="dxa"/>
            <w:vMerge w:val="restart"/>
            <w:shd w:val="clear" w:color="auto" w:fill="auto"/>
            <w:tcMar>
              <w:left w:w="108" w:type="dxa"/>
              <w:right w:w="108" w:type="dxa"/>
            </w:tcMar>
            <w:vAlign w:val="center"/>
          </w:tcPr>
          <w:p w14:paraId="7C845DD4">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14:paraId="3CD3A84F">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63" w:type="dxa"/>
            <w:shd w:val="clear" w:color="auto" w:fill="auto"/>
            <w:tcMar>
              <w:left w:w="108" w:type="dxa"/>
              <w:right w:w="108" w:type="dxa"/>
            </w:tcMar>
            <w:vAlign w:val="center"/>
          </w:tcPr>
          <w:p w14:paraId="7DC6B42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B7709B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7D5AE4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1DBB1F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81BB22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90721B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5751A3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0BFC8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56C3256">
            <w:pPr>
              <w:rPr>
                <w:rFonts w:ascii="黑体" w:hAnsi="黑体" w:eastAsia="黑体"/>
                <w:szCs w:val="21"/>
              </w:rPr>
            </w:pPr>
          </w:p>
        </w:tc>
        <w:tc>
          <w:tcPr>
            <w:tcW w:w="1701" w:type="dxa"/>
            <w:vMerge w:val="continue"/>
            <w:shd w:val="clear" w:color="auto" w:fill="auto"/>
            <w:tcMar>
              <w:left w:w="108" w:type="dxa"/>
              <w:right w:w="108" w:type="dxa"/>
            </w:tcMar>
            <w:vAlign w:val="center"/>
          </w:tcPr>
          <w:p w14:paraId="6398C1F5">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F52433A">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63" w:type="dxa"/>
            <w:shd w:val="clear" w:color="auto" w:fill="auto"/>
            <w:tcMar>
              <w:left w:w="108" w:type="dxa"/>
              <w:right w:w="108" w:type="dxa"/>
            </w:tcMar>
            <w:vAlign w:val="center"/>
          </w:tcPr>
          <w:p w14:paraId="14FBC67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42F2AFA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08B303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A3FF5F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45E5C85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B6B9DA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111ADBB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4C983A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EFFABEF">
            <w:pPr>
              <w:rPr>
                <w:rFonts w:ascii="黑体" w:hAnsi="黑体" w:eastAsia="黑体"/>
                <w:szCs w:val="21"/>
              </w:rPr>
            </w:pPr>
          </w:p>
        </w:tc>
        <w:tc>
          <w:tcPr>
            <w:tcW w:w="1701" w:type="dxa"/>
            <w:vMerge w:val="continue"/>
            <w:shd w:val="clear" w:color="auto" w:fill="auto"/>
            <w:tcMar>
              <w:left w:w="108" w:type="dxa"/>
              <w:right w:w="108" w:type="dxa"/>
            </w:tcMar>
            <w:vAlign w:val="center"/>
          </w:tcPr>
          <w:p w14:paraId="1D0CC4E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B9C03D4">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63" w:type="dxa"/>
            <w:shd w:val="clear" w:color="auto" w:fill="auto"/>
            <w:tcMar>
              <w:left w:w="108" w:type="dxa"/>
              <w:right w:w="108" w:type="dxa"/>
            </w:tcMar>
            <w:vAlign w:val="center"/>
          </w:tcPr>
          <w:p w14:paraId="246F403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2D0443B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6170FA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782B63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A13FFC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664452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054CE8E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A24F7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DE6A025">
            <w:pPr>
              <w:rPr>
                <w:rFonts w:ascii="黑体" w:hAnsi="黑体" w:eastAsia="黑体"/>
                <w:szCs w:val="21"/>
              </w:rPr>
            </w:pPr>
          </w:p>
        </w:tc>
        <w:tc>
          <w:tcPr>
            <w:tcW w:w="1701" w:type="dxa"/>
            <w:vMerge w:val="continue"/>
            <w:shd w:val="clear" w:color="auto" w:fill="auto"/>
            <w:tcMar>
              <w:left w:w="108" w:type="dxa"/>
              <w:right w:w="108" w:type="dxa"/>
            </w:tcMar>
            <w:vAlign w:val="center"/>
          </w:tcPr>
          <w:p w14:paraId="103BC346">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0DD4417">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63" w:type="dxa"/>
            <w:shd w:val="clear" w:color="auto" w:fill="auto"/>
            <w:tcMar>
              <w:left w:w="108" w:type="dxa"/>
              <w:right w:w="108" w:type="dxa"/>
            </w:tcMar>
            <w:vAlign w:val="center"/>
          </w:tcPr>
          <w:p w14:paraId="2C29971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3CD7D42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1AFF71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465C3D6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6B5B6F2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B158A4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267991D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FE8C5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99EA11D">
            <w:pPr>
              <w:rPr>
                <w:rFonts w:ascii="黑体" w:hAnsi="黑体" w:eastAsia="黑体"/>
                <w:szCs w:val="21"/>
              </w:rPr>
            </w:pPr>
          </w:p>
        </w:tc>
        <w:tc>
          <w:tcPr>
            <w:tcW w:w="1701" w:type="dxa"/>
            <w:vMerge w:val="continue"/>
            <w:shd w:val="clear" w:color="auto" w:fill="auto"/>
            <w:tcMar>
              <w:left w:w="108" w:type="dxa"/>
              <w:right w:w="108" w:type="dxa"/>
            </w:tcMar>
            <w:vAlign w:val="center"/>
          </w:tcPr>
          <w:p w14:paraId="7020B8F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63E5F80">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3" w:type="dxa"/>
            <w:shd w:val="clear" w:color="auto" w:fill="auto"/>
            <w:tcMar>
              <w:left w:w="108" w:type="dxa"/>
              <w:right w:w="108" w:type="dxa"/>
            </w:tcMar>
            <w:vAlign w:val="center"/>
          </w:tcPr>
          <w:p w14:paraId="45AD434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6F62E1D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6E1AF3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509FF2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32B26E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518331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24A46DC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BF78A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C932A12">
            <w:pPr>
              <w:rPr>
                <w:rFonts w:ascii="黑体" w:hAnsi="黑体" w:eastAsia="黑体"/>
                <w:szCs w:val="21"/>
              </w:rPr>
            </w:pPr>
          </w:p>
        </w:tc>
        <w:tc>
          <w:tcPr>
            <w:tcW w:w="1701" w:type="dxa"/>
            <w:vMerge w:val="continue"/>
            <w:shd w:val="clear" w:color="auto" w:fill="auto"/>
            <w:tcMar>
              <w:left w:w="108" w:type="dxa"/>
              <w:right w:w="108" w:type="dxa"/>
            </w:tcMar>
            <w:vAlign w:val="center"/>
          </w:tcPr>
          <w:p w14:paraId="4AB68B2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217D767">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3" w:type="dxa"/>
            <w:shd w:val="clear" w:color="auto" w:fill="auto"/>
            <w:tcMar>
              <w:left w:w="108" w:type="dxa"/>
              <w:right w:w="108" w:type="dxa"/>
            </w:tcMar>
            <w:vAlign w:val="center"/>
          </w:tcPr>
          <w:p w14:paraId="3A43400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47E8E93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597A24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1D67EFC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5559028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1ADB06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02E6D1B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74E134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1C147A0">
            <w:pPr>
              <w:rPr>
                <w:rFonts w:ascii="黑体" w:hAnsi="黑体" w:eastAsia="黑体"/>
                <w:szCs w:val="21"/>
              </w:rPr>
            </w:pPr>
          </w:p>
        </w:tc>
        <w:tc>
          <w:tcPr>
            <w:tcW w:w="1701" w:type="dxa"/>
            <w:vMerge w:val="continue"/>
            <w:shd w:val="clear" w:color="auto" w:fill="auto"/>
            <w:tcMar>
              <w:left w:w="108" w:type="dxa"/>
              <w:right w:w="108" w:type="dxa"/>
            </w:tcMar>
            <w:vAlign w:val="center"/>
          </w:tcPr>
          <w:p w14:paraId="26BDB98D">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A47F5C3">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3" w:type="dxa"/>
            <w:shd w:val="clear" w:color="auto" w:fill="auto"/>
            <w:tcMar>
              <w:left w:w="108" w:type="dxa"/>
              <w:right w:w="108" w:type="dxa"/>
            </w:tcMar>
            <w:vAlign w:val="center"/>
          </w:tcPr>
          <w:p w14:paraId="35DDD60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68FF05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3A4CEC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0E8A522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2742255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236C27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79EC2D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02E7D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D284E06">
            <w:pPr>
              <w:rPr>
                <w:rFonts w:ascii="黑体" w:hAnsi="黑体" w:eastAsia="黑体"/>
                <w:szCs w:val="21"/>
              </w:rPr>
            </w:pPr>
          </w:p>
        </w:tc>
        <w:tc>
          <w:tcPr>
            <w:tcW w:w="1701" w:type="dxa"/>
            <w:vMerge w:val="continue"/>
            <w:shd w:val="clear" w:color="auto" w:fill="auto"/>
            <w:tcMar>
              <w:left w:w="108" w:type="dxa"/>
              <w:right w:w="108" w:type="dxa"/>
            </w:tcMar>
            <w:vAlign w:val="center"/>
          </w:tcPr>
          <w:p w14:paraId="188717CE">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9EBE270">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3" w:type="dxa"/>
            <w:shd w:val="clear" w:color="auto" w:fill="auto"/>
            <w:tcMar>
              <w:left w:w="108" w:type="dxa"/>
              <w:right w:w="108" w:type="dxa"/>
            </w:tcMar>
            <w:vAlign w:val="center"/>
          </w:tcPr>
          <w:p w14:paraId="73A88BF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884A64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EF945C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B7AA28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D7A1FF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D2BC31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4B1DC2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60ECD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FD4FEB0">
            <w:pPr>
              <w:rPr>
                <w:rFonts w:ascii="黑体" w:hAnsi="黑体" w:eastAsia="黑体"/>
                <w:szCs w:val="21"/>
              </w:rPr>
            </w:pPr>
          </w:p>
        </w:tc>
        <w:tc>
          <w:tcPr>
            <w:tcW w:w="1701" w:type="dxa"/>
            <w:vMerge w:val="restart"/>
            <w:shd w:val="clear" w:color="auto" w:fill="auto"/>
            <w:tcMar>
              <w:left w:w="108" w:type="dxa"/>
              <w:right w:w="108" w:type="dxa"/>
            </w:tcMar>
            <w:vAlign w:val="center"/>
          </w:tcPr>
          <w:p w14:paraId="26DCBB15">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1B6A9507">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3" w:type="dxa"/>
            <w:shd w:val="clear" w:color="auto" w:fill="auto"/>
            <w:tcMar>
              <w:left w:w="108" w:type="dxa"/>
              <w:right w:w="108" w:type="dxa"/>
            </w:tcMar>
            <w:vAlign w:val="center"/>
          </w:tcPr>
          <w:p w14:paraId="416382C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6F04C33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24E891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69D9A8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8DE94B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31656C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1E13413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64218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C7B82F7">
            <w:pPr>
              <w:rPr>
                <w:rFonts w:ascii="黑体" w:hAnsi="黑体" w:eastAsia="黑体"/>
                <w:szCs w:val="21"/>
              </w:rPr>
            </w:pPr>
          </w:p>
        </w:tc>
        <w:tc>
          <w:tcPr>
            <w:tcW w:w="1701" w:type="dxa"/>
            <w:vMerge w:val="continue"/>
            <w:shd w:val="clear" w:color="auto" w:fill="auto"/>
            <w:tcMar>
              <w:left w:w="108" w:type="dxa"/>
              <w:right w:w="108" w:type="dxa"/>
            </w:tcMar>
            <w:vAlign w:val="center"/>
          </w:tcPr>
          <w:p w14:paraId="77368589">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243F0421">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3" w:type="dxa"/>
            <w:shd w:val="clear" w:color="auto" w:fill="auto"/>
            <w:tcMar>
              <w:left w:w="108" w:type="dxa"/>
              <w:right w:w="108" w:type="dxa"/>
            </w:tcMar>
            <w:vAlign w:val="center"/>
          </w:tcPr>
          <w:p w14:paraId="2FAB8FD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E6C3A5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1A0D58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F1B73A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0496EC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8D64D4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B240AB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756D4E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182199F">
            <w:pPr>
              <w:rPr>
                <w:rFonts w:ascii="黑体" w:hAnsi="黑体" w:eastAsia="黑体"/>
                <w:szCs w:val="21"/>
              </w:rPr>
            </w:pPr>
          </w:p>
        </w:tc>
        <w:tc>
          <w:tcPr>
            <w:tcW w:w="1701" w:type="dxa"/>
            <w:vMerge w:val="continue"/>
            <w:shd w:val="clear" w:color="auto" w:fill="auto"/>
            <w:tcMar>
              <w:left w:w="108" w:type="dxa"/>
              <w:right w:w="108" w:type="dxa"/>
            </w:tcMar>
            <w:vAlign w:val="center"/>
          </w:tcPr>
          <w:p w14:paraId="6C59B06E">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7A08E499">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3" w:type="dxa"/>
            <w:shd w:val="clear" w:color="auto" w:fill="auto"/>
            <w:tcMar>
              <w:left w:w="108" w:type="dxa"/>
              <w:right w:w="108" w:type="dxa"/>
            </w:tcMar>
            <w:vAlign w:val="center"/>
          </w:tcPr>
          <w:p w14:paraId="7089143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22DE0F3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D24BEB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3A0DA2C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402FC5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2CD2B1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AFD98F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5090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86F57DA">
            <w:pPr>
              <w:rPr>
                <w:rFonts w:ascii="黑体" w:hAnsi="黑体" w:eastAsia="黑体"/>
                <w:szCs w:val="21"/>
              </w:rPr>
            </w:pPr>
          </w:p>
        </w:tc>
        <w:tc>
          <w:tcPr>
            <w:tcW w:w="1701" w:type="dxa"/>
            <w:vMerge w:val="restart"/>
            <w:shd w:val="clear" w:color="auto" w:fill="auto"/>
            <w:tcMar>
              <w:left w:w="108" w:type="dxa"/>
              <w:right w:w="108" w:type="dxa"/>
            </w:tcMar>
            <w:vAlign w:val="center"/>
          </w:tcPr>
          <w:p w14:paraId="009EE032">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6272BACC">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3" w:type="dxa"/>
            <w:shd w:val="clear" w:color="auto" w:fill="auto"/>
            <w:tcMar>
              <w:left w:w="108" w:type="dxa"/>
              <w:right w:w="108" w:type="dxa"/>
            </w:tcMar>
            <w:vAlign w:val="center"/>
          </w:tcPr>
          <w:p w14:paraId="18FC987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332D465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CC6A14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24818C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647A8D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A92BEB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953B15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AF64C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AADE73E">
            <w:pPr>
              <w:rPr>
                <w:rFonts w:ascii="黑体" w:hAnsi="黑体" w:eastAsia="黑体"/>
                <w:szCs w:val="21"/>
              </w:rPr>
            </w:pPr>
          </w:p>
        </w:tc>
        <w:tc>
          <w:tcPr>
            <w:tcW w:w="1701" w:type="dxa"/>
            <w:vMerge w:val="continue"/>
            <w:shd w:val="clear" w:color="auto" w:fill="auto"/>
            <w:tcMar>
              <w:left w:w="108" w:type="dxa"/>
              <w:right w:w="108" w:type="dxa"/>
            </w:tcMar>
            <w:vAlign w:val="center"/>
          </w:tcPr>
          <w:p w14:paraId="289E25AF">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74BDDBF">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3" w:type="dxa"/>
            <w:shd w:val="clear" w:color="auto" w:fill="auto"/>
            <w:tcMar>
              <w:left w:w="108" w:type="dxa"/>
              <w:right w:w="108" w:type="dxa"/>
            </w:tcMar>
            <w:vAlign w:val="center"/>
          </w:tcPr>
          <w:p w14:paraId="1BBAC81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39C23BB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0AFB2C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4272A48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6AE592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4148C9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0772DF8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7C36E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A890B29">
            <w:pPr>
              <w:rPr>
                <w:rFonts w:ascii="黑体" w:hAnsi="黑体" w:eastAsia="黑体"/>
                <w:szCs w:val="21"/>
              </w:rPr>
            </w:pPr>
          </w:p>
        </w:tc>
        <w:tc>
          <w:tcPr>
            <w:tcW w:w="1701" w:type="dxa"/>
            <w:vMerge w:val="continue"/>
            <w:shd w:val="clear" w:color="auto" w:fill="auto"/>
            <w:tcMar>
              <w:left w:w="108" w:type="dxa"/>
              <w:right w:w="108" w:type="dxa"/>
            </w:tcMar>
            <w:vAlign w:val="center"/>
          </w:tcPr>
          <w:p w14:paraId="3C0E8D35">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823307A">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3" w:type="dxa"/>
            <w:shd w:val="clear" w:color="auto" w:fill="auto"/>
            <w:tcMar>
              <w:left w:w="108" w:type="dxa"/>
              <w:right w:w="108" w:type="dxa"/>
            </w:tcMar>
            <w:vAlign w:val="center"/>
          </w:tcPr>
          <w:p w14:paraId="2A65E60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22F8E6B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EEA4E0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35A921A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223F463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C1AEF6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03ABE1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47C486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63E2CEDF">
            <w:pPr>
              <w:rPr>
                <w:rFonts w:ascii="黑体" w:hAnsi="黑体" w:eastAsia="黑体"/>
                <w:szCs w:val="21"/>
              </w:rPr>
            </w:pPr>
          </w:p>
        </w:tc>
        <w:tc>
          <w:tcPr>
            <w:tcW w:w="1701" w:type="dxa"/>
            <w:vMerge w:val="continue"/>
            <w:shd w:val="clear" w:color="auto" w:fill="auto"/>
            <w:tcMar>
              <w:left w:w="108" w:type="dxa"/>
              <w:right w:w="108" w:type="dxa"/>
            </w:tcMar>
            <w:vAlign w:val="center"/>
          </w:tcPr>
          <w:p w14:paraId="5C584B19">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9B7CE1C">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3" w:type="dxa"/>
            <w:shd w:val="clear" w:color="auto" w:fill="auto"/>
            <w:tcMar>
              <w:left w:w="108" w:type="dxa"/>
              <w:right w:w="108" w:type="dxa"/>
            </w:tcMar>
            <w:vAlign w:val="center"/>
          </w:tcPr>
          <w:p w14:paraId="59D871F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6139AC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7A6754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7F43FB4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41FC9D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DA6501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5F104B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4CD7E7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217F043">
            <w:pPr>
              <w:rPr>
                <w:rFonts w:ascii="黑体" w:hAnsi="黑体" w:eastAsia="黑体"/>
                <w:szCs w:val="21"/>
              </w:rPr>
            </w:pPr>
          </w:p>
        </w:tc>
        <w:tc>
          <w:tcPr>
            <w:tcW w:w="1701" w:type="dxa"/>
            <w:vMerge w:val="continue"/>
            <w:shd w:val="clear" w:color="auto" w:fill="auto"/>
            <w:tcMar>
              <w:left w:w="108" w:type="dxa"/>
              <w:right w:w="108" w:type="dxa"/>
            </w:tcMar>
            <w:vAlign w:val="center"/>
          </w:tcPr>
          <w:p w14:paraId="02BC2F21">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3473958">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2D09B24C">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3" w:type="dxa"/>
            <w:shd w:val="clear" w:color="auto" w:fill="auto"/>
            <w:tcMar>
              <w:left w:w="108" w:type="dxa"/>
              <w:right w:w="108" w:type="dxa"/>
            </w:tcMar>
            <w:vAlign w:val="center"/>
          </w:tcPr>
          <w:p w14:paraId="2901927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4A7BEC1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5426D0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50DDE9B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5A6635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5D3ED6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1C5A4B7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0A0B6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1B0357A">
            <w:pPr>
              <w:rPr>
                <w:rFonts w:ascii="黑体" w:hAnsi="黑体" w:eastAsia="黑体"/>
                <w:szCs w:val="21"/>
              </w:rPr>
            </w:pPr>
          </w:p>
        </w:tc>
        <w:tc>
          <w:tcPr>
            <w:tcW w:w="1701" w:type="dxa"/>
            <w:vMerge w:val="restart"/>
            <w:shd w:val="clear" w:color="auto" w:fill="auto"/>
            <w:tcMar>
              <w:left w:w="108" w:type="dxa"/>
              <w:right w:w="108" w:type="dxa"/>
            </w:tcMar>
            <w:vAlign w:val="center"/>
          </w:tcPr>
          <w:p w14:paraId="1C78D1EE">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1CAB795E">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63" w:type="dxa"/>
            <w:shd w:val="clear" w:color="auto" w:fill="auto"/>
            <w:tcMar>
              <w:left w:w="108" w:type="dxa"/>
              <w:right w:w="108" w:type="dxa"/>
            </w:tcMar>
            <w:vAlign w:val="center"/>
          </w:tcPr>
          <w:p w14:paraId="15183A6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1D30C27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5A63709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7036EF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930A2F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52B8EC1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0CCF4F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F9267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9873873">
            <w:pPr>
              <w:rPr>
                <w:rFonts w:ascii="黑体" w:hAnsi="黑体" w:eastAsia="黑体"/>
                <w:szCs w:val="21"/>
              </w:rPr>
            </w:pPr>
          </w:p>
        </w:tc>
        <w:tc>
          <w:tcPr>
            <w:tcW w:w="1701" w:type="dxa"/>
            <w:vMerge w:val="continue"/>
            <w:shd w:val="clear" w:color="auto" w:fill="auto"/>
            <w:tcMar>
              <w:left w:w="108" w:type="dxa"/>
              <w:right w:w="108" w:type="dxa"/>
            </w:tcMar>
            <w:vAlign w:val="center"/>
          </w:tcPr>
          <w:p w14:paraId="7CC1C94C">
            <w:pPr>
              <w:widowControl/>
              <w:spacing w:line="300" w:lineRule="exact"/>
              <w:rPr>
                <w:rFonts w:ascii="黑体" w:hAnsi="黑体" w:eastAsia="黑体"/>
                <w:kern w:val="0"/>
                <w:szCs w:val="21"/>
              </w:rPr>
            </w:pPr>
          </w:p>
        </w:tc>
        <w:tc>
          <w:tcPr>
            <w:tcW w:w="2976" w:type="dxa"/>
            <w:shd w:val="clear" w:color="auto" w:fill="auto"/>
            <w:vAlign w:val="center"/>
          </w:tcPr>
          <w:p w14:paraId="7D3B80D8">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63" w:type="dxa"/>
            <w:shd w:val="clear" w:color="auto" w:fill="auto"/>
            <w:tcMar>
              <w:left w:w="108" w:type="dxa"/>
              <w:right w:w="108" w:type="dxa"/>
            </w:tcMar>
            <w:vAlign w:val="center"/>
          </w:tcPr>
          <w:p w14:paraId="167E7B5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1C0D441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FCF248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103391B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7A975AF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B02D20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B75D44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D033C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E267E5C">
            <w:pPr>
              <w:rPr>
                <w:rFonts w:ascii="黑体" w:hAnsi="黑体" w:eastAsia="黑体"/>
                <w:szCs w:val="21"/>
              </w:rPr>
            </w:pPr>
          </w:p>
        </w:tc>
        <w:tc>
          <w:tcPr>
            <w:tcW w:w="1701" w:type="dxa"/>
            <w:vMerge w:val="continue"/>
            <w:shd w:val="clear" w:color="auto" w:fill="auto"/>
            <w:tcMar>
              <w:left w:w="108" w:type="dxa"/>
              <w:right w:w="108" w:type="dxa"/>
            </w:tcMar>
            <w:vAlign w:val="center"/>
          </w:tcPr>
          <w:p w14:paraId="7FF8D1BC">
            <w:pPr>
              <w:widowControl/>
              <w:spacing w:line="300" w:lineRule="exact"/>
              <w:rPr>
                <w:rFonts w:ascii="黑体" w:hAnsi="黑体" w:eastAsia="黑体"/>
                <w:kern w:val="0"/>
                <w:szCs w:val="21"/>
              </w:rPr>
            </w:pPr>
          </w:p>
        </w:tc>
        <w:tc>
          <w:tcPr>
            <w:tcW w:w="2976" w:type="dxa"/>
            <w:shd w:val="clear" w:color="auto" w:fill="auto"/>
            <w:vAlign w:val="center"/>
          </w:tcPr>
          <w:p w14:paraId="6C69EC92">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63" w:type="dxa"/>
            <w:shd w:val="clear" w:color="auto" w:fill="auto"/>
            <w:tcMar>
              <w:left w:w="108" w:type="dxa"/>
              <w:right w:w="108" w:type="dxa"/>
            </w:tcMar>
            <w:vAlign w:val="center"/>
          </w:tcPr>
          <w:p w14:paraId="576CBC5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0F053D6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A05AD7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3B2338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747787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FE1E48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08A20A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1E0BD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BBA9153">
            <w:pPr>
              <w:rPr>
                <w:rFonts w:ascii="黑体" w:hAnsi="黑体" w:eastAsia="黑体"/>
                <w:szCs w:val="21"/>
              </w:rPr>
            </w:pPr>
          </w:p>
        </w:tc>
        <w:tc>
          <w:tcPr>
            <w:tcW w:w="4677" w:type="dxa"/>
            <w:gridSpan w:val="2"/>
            <w:shd w:val="clear" w:color="auto" w:fill="auto"/>
            <w:tcMar>
              <w:left w:w="108" w:type="dxa"/>
              <w:right w:w="108" w:type="dxa"/>
            </w:tcMar>
            <w:vAlign w:val="center"/>
          </w:tcPr>
          <w:p w14:paraId="517ACEBC">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3" w:type="dxa"/>
            <w:shd w:val="clear" w:color="auto" w:fill="auto"/>
            <w:tcMar>
              <w:left w:w="108" w:type="dxa"/>
              <w:right w:w="108" w:type="dxa"/>
            </w:tcMar>
            <w:vAlign w:val="center"/>
          </w:tcPr>
          <w:p w14:paraId="68BB381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14:paraId="2C25AE8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381BBA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15AFC5B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75DEAD6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0007A6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5D2AE0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14:paraId="4D8713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3E3188D0">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3" w:type="dxa"/>
            <w:shd w:val="clear" w:color="auto" w:fill="auto"/>
            <w:tcMar>
              <w:left w:w="108" w:type="dxa"/>
              <w:right w:w="108" w:type="dxa"/>
            </w:tcMar>
            <w:vAlign w:val="center"/>
          </w:tcPr>
          <w:p w14:paraId="09CD1DE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20EA05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3FABFE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54BEED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42E7DA7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CF78C7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20804DA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bl>
    <w:p w14:paraId="198257C4">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color w:val="333333"/>
          <w:kern w:val="0"/>
          <w:sz w:val="32"/>
          <w:szCs w:val="32"/>
          <w:shd w:val="clear" w:color="auto" w:fill="FFFFFF"/>
          <w:lang w:bidi="ar"/>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79D83EC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E626AAE">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C1D879">
            <w:pPr>
              <w:widowControl/>
              <w:jc w:val="center"/>
              <w:rPr>
                <w:rFonts w:ascii="黑体" w:hAnsi="黑体" w:eastAsia="黑体"/>
              </w:rPr>
            </w:pPr>
            <w:r>
              <w:rPr>
                <w:rFonts w:ascii="黑体" w:hAnsi="黑体" w:eastAsia="黑体"/>
                <w:kern w:val="0"/>
                <w:sz w:val="20"/>
                <w:szCs w:val="20"/>
              </w:rPr>
              <w:t>行政诉讼</w:t>
            </w:r>
          </w:p>
        </w:tc>
      </w:tr>
      <w:tr w14:paraId="3DBC12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72928ED">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41E4CE6B">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7130C039">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13AC9A6">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3705666">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2C77A63F">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C51D51C">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1162F17B">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45645D3">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34A94A3">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50D1713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8B26F9">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1823203D">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F77BD42">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CAE094">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C032601">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01DE635F">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05CD2CC">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B8170AD">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0477EFF4">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48EBDA2">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46A4C83A">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03EE91B">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284BE4">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FC1A130">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1C3F7914">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8959D21">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1661D48B">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50B3D05">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EE20BF8">
            <w:pPr>
              <w:widowControl/>
              <w:jc w:val="center"/>
              <w:rPr>
                <w:rFonts w:ascii="黑体" w:hAnsi="黑体" w:eastAsia="黑体"/>
              </w:rPr>
            </w:pPr>
            <w:r>
              <w:rPr>
                <w:rFonts w:ascii="黑体" w:hAnsi="黑体" w:eastAsia="黑体"/>
                <w:kern w:val="0"/>
                <w:sz w:val="20"/>
                <w:szCs w:val="20"/>
              </w:rPr>
              <w:t>总计</w:t>
            </w:r>
          </w:p>
        </w:tc>
      </w:tr>
      <w:tr w14:paraId="4907D2C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2DB1227">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4EA5405">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B541241">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A76D6FC">
            <w:pPr>
              <w:widowControl/>
              <w:spacing w:after="180"/>
              <w:jc w:val="center"/>
              <w:rPr>
                <w:rFonts w:ascii="Times New Roman" w:hAnsi="Times New Roman"/>
              </w:rPr>
            </w:pPr>
            <w:r>
              <w:rPr>
                <w:rFonts w:hint="eastAsia" w:ascii="Times New Roman" w:hAnsi="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6C4330FE">
            <w:pPr>
              <w:widowControl/>
              <w:spacing w:after="180"/>
              <w:jc w:val="center"/>
              <w:rPr>
                <w:rFonts w:ascii="Times New Roman" w:hAnsi="Times New Roman"/>
              </w:rPr>
            </w:pPr>
            <w:r>
              <w:rPr>
                <w:rFonts w:hint="eastAsia" w:ascii="Times New Roman" w:hAnsi="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BAED8D5">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7AA8F64">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8EAB74E">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7A4D7D3">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952AF63">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1EAFEF9">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2ED8AA1">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EF1DC9A">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42F6525">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075787F4">
            <w:pPr>
              <w:widowControl/>
              <w:spacing w:after="180"/>
              <w:jc w:val="center"/>
              <w:rPr>
                <w:rFonts w:ascii="Times New Roman" w:hAnsi="Times New Roman"/>
              </w:rPr>
            </w:pPr>
            <w:r>
              <w:rPr>
                <w:rFonts w:hint="eastAsia" w:ascii="Times New Roman" w:hAnsi="Times New Roman"/>
              </w:rPr>
              <w:t>0</w:t>
            </w:r>
          </w:p>
        </w:tc>
      </w:tr>
    </w:tbl>
    <w:p w14:paraId="708AA28C">
      <w:pPr>
        <w:widowControl/>
        <w:jc w:val="left"/>
        <w:rPr>
          <w:rFonts w:ascii="仿宋_GB2312" w:hAnsi="Calibri" w:eastAsia="仿宋_GB2312" w:cs="Calibri"/>
          <w:color w:val="FF0000"/>
          <w:kern w:val="0"/>
          <w:szCs w:val="21"/>
        </w:rPr>
      </w:pPr>
    </w:p>
    <w:p w14:paraId="135D1C73">
      <w:pPr>
        <w:pStyle w:val="5"/>
        <w:widowControl/>
        <w:numPr>
          <w:ilvl w:val="0"/>
          <w:numId w:val="1"/>
        </w:numPr>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存在的主要问题及改进情况</w:t>
      </w:r>
    </w:p>
    <w:p w14:paraId="4538593E">
      <w:pPr>
        <w:pStyle w:val="5"/>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shd w:val="clear" w:color="auto" w:fill="FFFFFF"/>
        </w:rPr>
      </w:pPr>
      <w:r>
        <w:rPr>
          <w:rFonts w:ascii="Times New Roman" w:hAnsi="Times New Roman" w:eastAsia="仿宋_GB2312"/>
          <w:kern w:val="2"/>
          <w:sz w:val="32"/>
          <w:szCs w:val="32"/>
          <w:shd w:val="clear" w:color="auto" w:fill="FFFFFF"/>
        </w:rPr>
        <w:t>2023</w:t>
      </w:r>
      <w:r>
        <w:rPr>
          <w:rFonts w:hint="eastAsia" w:ascii="仿宋_GB2312" w:hAnsi="仿宋_GB2312" w:eastAsia="仿宋_GB2312" w:cs="仿宋_GB2312"/>
          <w:kern w:val="2"/>
          <w:sz w:val="32"/>
          <w:szCs w:val="32"/>
          <w:shd w:val="clear" w:color="auto" w:fill="FFFFFF"/>
        </w:rPr>
        <w:t>年，环翠区农业农村局按照相关工作要求，强化政府信息工作，规范政府信息公开工作程序，在政府信息公开方面取得了一定的成效，但仍存在信息更新频率不及时、信息公开内容不够规范等问题。针对这些问题，下一步将做好以下几方面工作：</w:t>
      </w:r>
    </w:p>
    <w:p w14:paraId="6AE3AE35">
      <w:pPr>
        <w:pStyle w:val="5"/>
        <w:widowControl/>
        <w:shd w:val="clear" w:color="auto" w:fill="FFFFFF"/>
        <w:spacing w:beforeAutospacing="0" w:afterAutospacing="0" w:line="56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一是</w:t>
      </w:r>
      <w:r>
        <w:rPr>
          <w:rFonts w:hint="eastAsia" w:ascii="仿宋_GB2312" w:hAnsi="仿宋_GB2312" w:eastAsia="仿宋_GB2312" w:cs="仿宋_GB2312"/>
          <w:sz w:val="32"/>
          <w:szCs w:val="32"/>
          <w:lang w:val="en-US" w:eastAsia="zh-CN"/>
        </w:rPr>
        <w:t>加强政务公开队伍建设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定期</w:t>
      </w:r>
      <w:r>
        <w:rPr>
          <w:rFonts w:hint="eastAsia" w:ascii="仿宋_GB2312" w:hAnsi="仿宋_GB2312" w:eastAsia="仿宋_GB2312" w:cs="仿宋_GB2312"/>
          <w:sz w:val="32"/>
          <w:szCs w:val="32"/>
        </w:rPr>
        <w:t>参加政务公开培训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积极向优秀部门学习经验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不断提高工作</w:t>
      </w:r>
      <w:r>
        <w:rPr>
          <w:rFonts w:hint="eastAsia" w:ascii="仿宋_GB2312" w:hAnsi="仿宋_GB2312" w:eastAsia="仿宋_GB2312" w:cs="仿宋_GB2312"/>
          <w:sz w:val="32"/>
          <w:szCs w:val="32"/>
          <w:lang w:eastAsia="zh-CN"/>
        </w:rPr>
        <w:t>人员的业务水平，</w:t>
      </w:r>
      <w:r>
        <w:rPr>
          <w:rFonts w:hint="eastAsia" w:ascii="仿宋_GB2312" w:hAnsi="仿宋_GB2312" w:eastAsia="仿宋_GB2312" w:cs="仿宋_GB2312"/>
          <w:sz w:val="32"/>
          <w:szCs w:val="32"/>
        </w:rPr>
        <w:t>保证公开信息的</w:t>
      </w:r>
      <w:r>
        <w:rPr>
          <w:rFonts w:hint="eastAsia" w:ascii="仿宋_GB2312" w:hAnsi="仿宋_GB2312" w:eastAsia="仿宋_GB2312" w:cs="仿宋_GB2312"/>
          <w:sz w:val="32"/>
          <w:szCs w:val="32"/>
          <w:lang w:val="en-US" w:eastAsia="zh-CN"/>
        </w:rPr>
        <w:t>时效性、</w:t>
      </w:r>
      <w:r>
        <w:rPr>
          <w:rFonts w:hint="eastAsia" w:ascii="仿宋_GB2312" w:hAnsi="仿宋_GB2312" w:eastAsia="仿宋_GB2312" w:cs="仿宋_GB2312"/>
          <w:sz w:val="32"/>
          <w:szCs w:val="32"/>
        </w:rPr>
        <w:t>完整性和准确性。</w:t>
      </w:r>
    </w:p>
    <w:p w14:paraId="7C04C0C8">
      <w:pPr>
        <w:pStyle w:val="5"/>
        <w:widowControl/>
        <w:shd w:val="clear" w:color="auto" w:fill="FFFFFF"/>
        <w:spacing w:beforeAutospacing="0" w:afterAutospacing="0" w:line="56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增</w:t>
      </w:r>
      <w:r>
        <w:rPr>
          <w:rFonts w:hint="eastAsia" w:ascii="仿宋_GB2312" w:hAnsi="仿宋_GB2312" w:eastAsia="仿宋_GB2312" w:cs="仿宋_GB2312"/>
          <w:sz w:val="32"/>
          <w:szCs w:val="32"/>
        </w:rPr>
        <w:t>强与各</w:t>
      </w:r>
      <w:r>
        <w:rPr>
          <w:rFonts w:hint="eastAsia" w:ascii="仿宋_GB2312" w:hAnsi="仿宋_GB2312" w:eastAsia="仿宋_GB2312" w:cs="仿宋_GB2312"/>
          <w:sz w:val="32"/>
          <w:szCs w:val="32"/>
          <w:lang w:val="en-US" w:eastAsia="zh-CN"/>
        </w:rPr>
        <w:t>业务科室</w:t>
      </w:r>
      <w:r>
        <w:rPr>
          <w:rFonts w:hint="eastAsia" w:ascii="仿宋_GB2312" w:hAnsi="仿宋_GB2312" w:eastAsia="仿宋_GB2312" w:cs="仿宋_GB2312"/>
          <w:sz w:val="32"/>
          <w:szCs w:val="32"/>
        </w:rPr>
        <w:t>之间的协作配合，对涉及到重点领域信息公开的</w:t>
      </w:r>
      <w:r>
        <w:rPr>
          <w:rFonts w:hint="eastAsia" w:ascii="仿宋_GB2312" w:hAnsi="仿宋_GB2312" w:eastAsia="仿宋_GB2312" w:cs="仿宋_GB2312"/>
          <w:sz w:val="32"/>
          <w:szCs w:val="32"/>
          <w:lang w:val="en-US" w:eastAsia="zh-CN"/>
        </w:rPr>
        <w:t>科室</w:t>
      </w:r>
      <w:r>
        <w:rPr>
          <w:rFonts w:hint="eastAsia" w:ascii="仿宋_GB2312" w:hAnsi="仿宋_GB2312" w:eastAsia="仿宋_GB2312" w:cs="仿宋_GB2312"/>
          <w:sz w:val="32"/>
          <w:szCs w:val="32"/>
        </w:rPr>
        <w:t>实行定期督导，不断提高主动公开的自觉性与及时性，形成公开合力。</w:t>
      </w:r>
    </w:p>
    <w:p w14:paraId="3BB47B42">
      <w:pPr>
        <w:pStyle w:val="5"/>
        <w:widowControl/>
        <w:shd w:val="clear" w:color="auto" w:fill="FFFFFF"/>
        <w:spacing w:beforeAutospacing="0" w:afterAutospacing="0" w:line="56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三是加大</w:t>
      </w:r>
      <w:r>
        <w:rPr>
          <w:rFonts w:hint="eastAsia" w:ascii="仿宋_GB2312" w:hAnsi="仿宋_GB2312" w:eastAsia="仿宋_GB2312" w:cs="仿宋_GB2312"/>
          <w:sz w:val="32"/>
          <w:szCs w:val="32"/>
          <w:lang w:val="en-US" w:eastAsia="zh-CN"/>
        </w:rPr>
        <w:t>农业农村</w:t>
      </w:r>
      <w:r>
        <w:rPr>
          <w:rFonts w:hint="eastAsia" w:ascii="仿宋_GB2312" w:hAnsi="仿宋_GB2312" w:eastAsia="仿宋_GB2312" w:cs="仿宋_GB2312"/>
          <w:sz w:val="32"/>
          <w:szCs w:val="32"/>
        </w:rPr>
        <w:t>领域相关政策</w:t>
      </w:r>
      <w:r>
        <w:rPr>
          <w:rFonts w:hint="eastAsia" w:ascii="仿宋_GB2312" w:hAnsi="仿宋_GB2312" w:eastAsia="仿宋_GB2312" w:cs="仿宋_GB2312"/>
          <w:sz w:val="32"/>
          <w:szCs w:val="32"/>
          <w:lang w:val="en-US" w:eastAsia="zh-CN"/>
        </w:rPr>
        <w:t>法规、生产技术</w:t>
      </w:r>
      <w:r>
        <w:rPr>
          <w:rFonts w:hint="eastAsia" w:ascii="仿宋_GB2312" w:hAnsi="仿宋_GB2312" w:eastAsia="仿宋_GB2312" w:cs="仿宋_GB2312"/>
          <w:sz w:val="32"/>
          <w:szCs w:val="32"/>
        </w:rPr>
        <w:t>的宣传力度，</w:t>
      </w:r>
      <w:r>
        <w:rPr>
          <w:rFonts w:hint="eastAsia" w:ascii="仿宋_GB2312" w:hAnsi="仿宋_GB2312" w:eastAsia="仿宋_GB2312" w:cs="仿宋_GB2312"/>
          <w:sz w:val="32"/>
          <w:szCs w:val="32"/>
          <w:lang w:val="en-US" w:eastAsia="zh-CN"/>
        </w:rPr>
        <w:t>组织</w:t>
      </w:r>
      <w:r>
        <w:rPr>
          <w:rFonts w:hint="eastAsia" w:ascii="仿宋_GB2312" w:hAnsi="仿宋_GB2312" w:eastAsia="仿宋_GB2312" w:cs="仿宋_GB2312"/>
          <w:sz w:val="32"/>
          <w:szCs w:val="32"/>
        </w:rPr>
        <w:t>业务科室到镇街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乡村开展</w:t>
      </w:r>
      <w:r>
        <w:rPr>
          <w:rFonts w:hint="eastAsia" w:ascii="仿宋_GB2312" w:hAnsi="仿宋_GB2312" w:eastAsia="仿宋_GB2312" w:cs="仿宋_GB2312"/>
          <w:sz w:val="32"/>
          <w:szCs w:val="32"/>
        </w:rPr>
        <w:t>宣讲</w:t>
      </w:r>
      <w:r>
        <w:rPr>
          <w:rFonts w:hint="eastAsia" w:ascii="仿宋_GB2312" w:hAnsi="仿宋_GB2312" w:eastAsia="仿宋_GB2312" w:cs="仿宋_GB2312"/>
          <w:sz w:val="32"/>
          <w:szCs w:val="32"/>
          <w:lang w:val="en-US" w:eastAsia="zh-CN"/>
        </w:rPr>
        <w:t>活动</w:t>
      </w:r>
      <w:r>
        <w:rPr>
          <w:rFonts w:hint="eastAsia" w:ascii="仿宋_GB2312" w:hAnsi="仿宋_GB2312" w:eastAsia="仿宋_GB2312" w:cs="仿宋_GB2312"/>
          <w:sz w:val="32"/>
          <w:szCs w:val="32"/>
        </w:rPr>
        <w:t>，提高广大群众对</w:t>
      </w:r>
      <w:r>
        <w:rPr>
          <w:rFonts w:hint="eastAsia" w:ascii="仿宋_GB2312" w:hAnsi="仿宋_GB2312" w:eastAsia="仿宋_GB2312" w:cs="仿宋_GB2312"/>
          <w:sz w:val="32"/>
          <w:szCs w:val="32"/>
          <w:lang w:val="en-US" w:eastAsia="zh-CN"/>
        </w:rPr>
        <w:t>农村农业</w:t>
      </w:r>
      <w:r>
        <w:rPr>
          <w:rFonts w:hint="eastAsia" w:ascii="仿宋_GB2312" w:hAnsi="仿宋_GB2312" w:eastAsia="仿宋_GB2312" w:cs="仿宋_GB2312"/>
          <w:sz w:val="32"/>
          <w:szCs w:val="32"/>
        </w:rPr>
        <w:t>领域相关政策</w:t>
      </w:r>
      <w:r>
        <w:rPr>
          <w:rFonts w:hint="eastAsia" w:ascii="仿宋_GB2312" w:hAnsi="仿宋_GB2312" w:eastAsia="仿宋_GB2312" w:cs="仿宋_GB2312"/>
          <w:sz w:val="32"/>
          <w:szCs w:val="32"/>
          <w:lang w:val="en-US" w:eastAsia="zh-CN"/>
        </w:rPr>
        <w:t>法规</w:t>
      </w:r>
      <w:r>
        <w:rPr>
          <w:rFonts w:hint="eastAsia" w:ascii="仿宋_GB2312" w:hAnsi="仿宋_GB2312" w:eastAsia="仿宋_GB2312" w:cs="仿宋_GB2312"/>
          <w:sz w:val="32"/>
          <w:szCs w:val="32"/>
        </w:rPr>
        <w:t>的了解程度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助力提升农业生产力</w:t>
      </w:r>
      <w:r>
        <w:rPr>
          <w:rFonts w:hint="eastAsia" w:ascii="仿宋_GB2312" w:hAnsi="仿宋_GB2312" w:eastAsia="仿宋_GB2312" w:cs="仿宋_GB2312"/>
          <w:sz w:val="32"/>
          <w:szCs w:val="32"/>
        </w:rPr>
        <w:t>。</w:t>
      </w:r>
    </w:p>
    <w:p w14:paraId="08AC15B0">
      <w:pPr>
        <w:pStyle w:val="5"/>
        <w:widowControl/>
        <w:shd w:val="clear" w:color="auto" w:fill="FFFFFF"/>
        <w:spacing w:beforeAutospacing="0" w:afterAutospacing="0" w:line="560" w:lineRule="exact"/>
        <w:ind w:firstLine="640" w:firstLineChars="200"/>
        <w:jc w:val="both"/>
        <w:rPr>
          <w:rFonts w:hint="eastAsia" w:ascii="仿宋_GB2312" w:hAnsi="仿宋_GB2312" w:eastAsia="仿宋_GB2312" w:cs="仿宋_GB2312"/>
          <w:sz w:val="32"/>
          <w:szCs w:val="32"/>
        </w:rPr>
      </w:pPr>
    </w:p>
    <w:p w14:paraId="2F7CC8D5">
      <w:pPr>
        <w:pStyle w:val="5"/>
        <w:widowControl/>
        <w:shd w:val="clear" w:color="auto" w:fill="FFFFFF"/>
        <w:spacing w:beforeAutospacing="0" w:afterAutospacing="0" w:line="560" w:lineRule="exact"/>
        <w:ind w:firstLine="640" w:firstLineChars="200"/>
        <w:jc w:val="both"/>
        <w:rPr>
          <w:rFonts w:hint="eastAsia" w:ascii="仿宋_GB2312" w:hAnsi="仿宋_GB2312" w:eastAsia="仿宋_GB2312" w:cs="仿宋_GB2312"/>
          <w:sz w:val="32"/>
          <w:szCs w:val="32"/>
        </w:rPr>
      </w:pPr>
    </w:p>
    <w:p w14:paraId="0AC85745">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六、其他需要报告的事项</w:t>
      </w:r>
    </w:p>
    <w:p w14:paraId="468086C6">
      <w:pPr>
        <w:pStyle w:val="5"/>
        <w:widowControl/>
        <w:autoSpaceDE w:val="0"/>
        <w:spacing w:beforeAutospacing="0" w:afterAutospacing="0" w:line="560" w:lineRule="exact"/>
        <w:ind w:firstLine="645"/>
        <w:jc w:val="both"/>
        <w:rPr>
          <w:rFonts w:ascii="Times New Roman" w:hAnsi="Times New Roman" w:eastAsia="仿宋_GB2312"/>
          <w:sz w:val="32"/>
          <w:szCs w:val="32"/>
          <w:u w:val="single"/>
        </w:rPr>
      </w:pPr>
      <w:r>
        <w:rPr>
          <w:rFonts w:ascii="Times New Roman" w:hAnsi="Times New Roman"/>
          <w:sz w:val="32"/>
          <w:szCs w:val="32"/>
        </w:rPr>
        <w:t>1</w:t>
      </w:r>
      <w:r>
        <w:rPr>
          <w:rFonts w:ascii="Times New Roman" w:hAnsi="Times New Roman" w:eastAsia="仿宋_GB2312"/>
          <w:sz w:val="32"/>
          <w:szCs w:val="32"/>
        </w:rPr>
        <w:t>.</w:t>
      </w:r>
      <w:r>
        <w:rPr>
          <w:rFonts w:ascii="Times New Roman" w:hAnsi="Times New Roman" w:eastAsia="楷体_GB2312"/>
          <w:sz w:val="32"/>
          <w:szCs w:val="32"/>
        </w:rPr>
        <w:t>政府信息公开收费方面：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威海市环翠区农业农村局</w:t>
      </w:r>
      <w:r>
        <w:rPr>
          <w:rFonts w:ascii="Times New Roman" w:hAnsi="Times New Roman" w:eastAsia="仿宋_GB2312"/>
          <w:sz w:val="32"/>
          <w:szCs w:val="32"/>
        </w:rPr>
        <w:t>未收取政府信息公开信息处理费。</w:t>
      </w:r>
    </w:p>
    <w:p w14:paraId="7B537171">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2</w:t>
      </w:r>
      <w:r>
        <w:rPr>
          <w:rFonts w:ascii="Times New Roman" w:hAnsi="Times New Roman" w:eastAsia="仿宋_GB2312"/>
          <w:sz w:val="32"/>
          <w:szCs w:val="32"/>
        </w:rPr>
        <w:t>.</w:t>
      </w:r>
      <w:r>
        <w:rPr>
          <w:rFonts w:ascii="Times New Roman" w:hAnsi="Times New Roman" w:eastAsia="楷体_GB2312"/>
          <w:sz w:val="32"/>
          <w:szCs w:val="32"/>
        </w:rPr>
        <w:t>人大代表、政协委员提案办理方面：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环翠区农业农村局</w:t>
      </w:r>
      <w:r>
        <w:rPr>
          <w:rFonts w:ascii="Times New Roman" w:hAnsi="Times New Roman" w:eastAsia="仿宋_GB2312"/>
          <w:sz w:val="32"/>
          <w:szCs w:val="32"/>
        </w:rPr>
        <w:t>共承办市人大代表建议</w:t>
      </w:r>
      <w:r>
        <w:rPr>
          <w:rFonts w:hint="eastAsia" w:ascii="Times New Roman" w:hAnsi="Times New Roman" w:eastAsia="仿宋_GB2312"/>
          <w:sz w:val="32"/>
          <w:szCs w:val="32"/>
        </w:rPr>
        <w:t>4</w:t>
      </w:r>
      <w:r>
        <w:rPr>
          <w:rFonts w:ascii="Times New Roman" w:hAnsi="Times New Roman" w:eastAsia="仿宋_GB2312"/>
          <w:sz w:val="32"/>
          <w:szCs w:val="32"/>
        </w:rPr>
        <w:t>件、政协提案</w:t>
      </w:r>
      <w:r>
        <w:rPr>
          <w:rFonts w:hint="eastAsia" w:ascii="Times New Roman" w:hAnsi="Times New Roman" w:eastAsia="仿宋_GB2312"/>
          <w:sz w:val="32"/>
          <w:szCs w:val="32"/>
        </w:rPr>
        <w:t>5</w:t>
      </w:r>
      <w:r>
        <w:rPr>
          <w:rFonts w:ascii="Times New Roman" w:hAnsi="Times New Roman" w:eastAsia="仿宋_GB2312"/>
          <w:sz w:val="32"/>
          <w:szCs w:val="32"/>
        </w:rPr>
        <w:t>件。目前，已全部办理完成，办复率</w:t>
      </w:r>
      <w:r>
        <w:rPr>
          <w:rFonts w:ascii="Times New Roman" w:hAnsi="Times New Roman"/>
          <w:sz w:val="32"/>
          <w:szCs w:val="32"/>
        </w:rPr>
        <w:t>100%</w:t>
      </w:r>
      <w:r>
        <w:rPr>
          <w:rFonts w:ascii="Times New Roman" w:hAnsi="Times New Roman" w:eastAsia="仿宋_GB2312"/>
          <w:sz w:val="32"/>
          <w:szCs w:val="32"/>
        </w:rPr>
        <w:t>，办理结果</w:t>
      </w:r>
      <w:r>
        <w:rPr>
          <w:rFonts w:hint="eastAsia" w:ascii="Times New Roman" w:hAnsi="Times New Roman" w:eastAsia="仿宋_GB2312"/>
          <w:sz w:val="32"/>
          <w:szCs w:val="32"/>
        </w:rPr>
        <w:t>均为满意</w:t>
      </w:r>
      <w:r>
        <w:rPr>
          <w:rFonts w:ascii="Times New Roman" w:hAnsi="Times New Roman" w:eastAsia="仿宋_GB2312"/>
          <w:sz w:val="32"/>
          <w:szCs w:val="32"/>
        </w:rPr>
        <w:t>。</w:t>
      </w:r>
    </w:p>
    <w:p w14:paraId="24751EA5">
      <w:pPr>
        <w:pStyle w:val="5"/>
        <w:widowControl/>
        <w:autoSpaceDE w:val="0"/>
        <w:spacing w:beforeAutospacing="0" w:afterAutospacing="0" w:line="560" w:lineRule="exact"/>
        <w:ind w:firstLine="645"/>
        <w:jc w:val="both"/>
        <w:rPr>
          <w:rFonts w:hint="eastAsia" w:ascii="Times New Roman" w:hAnsi="Times New Roman" w:eastAsia="仿宋_GB2312"/>
          <w:sz w:val="32"/>
          <w:szCs w:val="32"/>
        </w:rPr>
      </w:pPr>
      <w:r>
        <w:rPr>
          <w:rFonts w:hint="eastAsia" w:ascii="Times New Roman" w:hAnsi="Times New Roman" w:eastAsia="仿宋_GB2312"/>
          <w:sz w:val="32"/>
          <w:szCs w:val="32"/>
        </w:rPr>
        <w:t>3.</w:t>
      </w:r>
      <w:r>
        <w:rPr>
          <w:rFonts w:hint="eastAsia" w:ascii="楷体_GB2312" w:hAnsi="楷体_GB2312" w:eastAsia="楷体_GB2312" w:cs="楷体_GB2312"/>
          <w:sz w:val="32"/>
          <w:szCs w:val="32"/>
        </w:rPr>
        <w:t>落实上级政务公开工作要点情况：</w:t>
      </w:r>
      <w:r>
        <w:rPr>
          <w:rFonts w:hint="eastAsia" w:ascii="Times New Roman" w:hAnsi="Times New Roman" w:eastAsia="仿宋_GB2312"/>
          <w:sz w:val="32"/>
          <w:szCs w:val="32"/>
        </w:rPr>
        <w:t>2023年环翠区农业农村局严格落实上级政务公开工作要点，明确工作职责，积极参加业务培训，及时对乡村振兴、惠农补贴、农业执法、脱贫帮扶等信息进行公开。</w:t>
      </w:r>
    </w:p>
    <w:p w14:paraId="5B4A004E">
      <w:pPr>
        <w:spacing w:line="560" w:lineRule="exact"/>
        <w:ind w:firstLine="646" w:firstLineChars="202"/>
        <w:rPr>
          <w:rFonts w:ascii="Times New Roman" w:hAnsi="Times New Roman" w:eastAsia="楷体_GB2312" w:cs="Times New Roman"/>
          <w:color w:val="FF0000"/>
          <w:kern w:val="0"/>
          <w:sz w:val="32"/>
          <w:szCs w:val="32"/>
        </w:rPr>
      </w:pP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w:t>
      </w:r>
      <w:r>
        <w:rPr>
          <w:rFonts w:ascii="Times New Roman" w:hAnsi="Times New Roman" w:eastAsia="楷体_GB2312" w:cs="Times New Roman"/>
          <w:sz w:val="32"/>
          <w:szCs w:val="32"/>
        </w:rPr>
        <w:t>其他方面：2023</w:t>
      </w:r>
      <w:r>
        <w:rPr>
          <w:rFonts w:hint="eastAsia" w:ascii="仿宋_GB2312" w:hAnsi="仿宋_GB2312" w:eastAsia="仿宋_GB2312" w:cs="仿宋_GB2312"/>
          <w:sz w:val="32"/>
          <w:szCs w:val="32"/>
        </w:rPr>
        <w:t>年，为切实抓好政务公开工作，环翠区农业农村局指定专人具体负责信息更新及维护等日常工作。对需要公开的政府信息，严格按照“三审查”制的工作流程层层把关，确保公开与保密两不误。同时，组织相关科室下基层，变公开发布为送政上门，与群众面对面解读、沟通和交流，实现政务信息公开全覆盖，并以“文图读懂”“媒体解读”“领导解读”等多形式对《关于加快推进环翠区预制菜产业高质量发展的实施意见》进行宣传解读，帮助企业群众全面准确掌握政策</w:t>
      </w:r>
      <w:r>
        <w:rPr>
          <w:rFonts w:hint="eastAsia" w:ascii="Times New Roman" w:hAnsi="Times New Roman" w:eastAsia="仿宋_GB2312" w:cs="Times New Roman"/>
          <w:sz w:val="32"/>
          <w:szCs w:val="32"/>
        </w:rPr>
        <w:t>。</w:t>
      </w:r>
    </w:p>
    <w:p w14:paraId="3B25FD31">
      <w:pPr>
        <w:pStyle w:val="2"/>
        <w:spacing w:line="560" w:lineRule="exact"/>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2ZWExMDIwMTAyNTlkY2I3MDQ0MGE2NzkwYzQ5NGQifQ=="/>
  </w:docVars>
  <w:rsids>
    <w:rsidRoot w:val="11AF18C8"/>
    <w:rsid w:val="0041730A"/>
    <w:rsid w:val="009C6937"/>
    <w:rsid w:val="00A73CE2"/>
    <w:rsid w:val="08D157AC"/>
    <w:rsid w:val="0C7A6928"/>
    <w:rsid w:val="10AFA3C6"/>
    <w:rsid w:val="11AF18C8"/>
    <w:rsid w:val="12FF9914"/>
    <w:rsid w:val="18C12A76"/>
    <w:rsid w:val="1A6A77C7"/>
    <w:rsid w:val="21E9640B"/>
    <w:rsid w:val="27943002"/>
    <w:rsid w:val="2FFF81D5"/>
    <w:rsid w:val="3917A403"/>
    <w:rsid w:val="3AC68E68"/>
    <w:rsid w:val="3DF7BF0A"/>
    <w:rsid w:val="3F7F6D07"/>
    <w:rsid w:val="3FBF4323"/>
    <w:rsid w:val="464F74E8"/>
    <w:rsid w:val="4CB345E9"/>
    <w:rsid w:val="50751FC0"/>
    <w:rsid w:val="511E6463"/>
    <w:rsid w:val="52DF6023"/>
    <w:rsid w:val="54F23AC6"/>
    <w:rsid w:val="56DE9C17"/>
    <w:rsid w:val="56F344A5"/>
    <w:rsid w:val="56F9D8E3"/>
    <w:rsid w:val="5B2F2252"/>
    <w:rsid w:val="657F7FC2"/>
    <w:rsid w:val="68C9088B"/>
    <w:rsid w:val="6B1F9E6C"/>
    <w:rsid w:val="6BC77FCB"/>
    <w:rsid w:val="6C7C7FF0"/>
    <w:rsid w:val="6FEB39ED"/>
    <w:rsid w:val="77181135"/>
    <w:rsid w:val="7A974E48"/>
    <w:rsid w:val="7BFC1E22"/>
    <w:rsid w:val="7DDF12A8"/>
    <w:rsid w:val="7E2277F5"/>
    <w:rsid w:val="7F5D0D7A"/>
    <w:rsid w:val="7FF3217F"/>
    <w:rsid w:val="AEFFE508"/>
    <w:rsid w:val="B497521B"/>
    <w:rsid w:val="BA7B23C6"/>
    <w:rsid w:val="BAFEF0A8"/>
    <w:rsid w:val="CFD98EC0"/>
    <w:rsid w:val="DC5550F1"/>
    <w:rsid w:val="EBBFE76E"/>
    <w:rsid w:val="EFF9D8CC"/>
    <w:rsid w:val="F8F7D497"/>
    <w:rsid w:val="F95F4281"/>
    <w:rsid w:val="FABFFB74"/>
    <w:rsid w:val="FBBB773C"/>
    <w:rsid w:val="FFBD32F3"/>
    <w:rsid w:val="FFFDF573"/>
    <w:rsid w:val="FFFEF9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uiPriority w:val="0"/>
    <w:pPr>
      <w:tabs>
        <w:tab w:val="center" w:pos="4153"/>
        <w:tab w:val="right" w:pos="8306"/>
      </w:tabs>
      <w:snapToGrid w:val="0"/>
      <w:jc w:val="center"/>
    </w:pPr>
    <w:rPr>
      <w:sz w:val="18"/>
      <w:szCs w:val="18"/>
    </w:rPr>
  </w:style>
  <w:style w:type="paragraph" w:styleId="5">
    <w:name w:val="Normal (Web)"/>
    <w:basedOn w:val="1"/>
    <w:autoRedefine/>
    <w:qFormat/>
    <w:uiPriority w:val="0"/>
    <w:pPr>
      <w:spacing w:beforeAutospacing="1" w:afterAutospacing="1"/>
      <w:jc w:val="left"/>
    </w:pPr>
    <w:rPr>
      <w:rFonts w:cs="Times New Roman"/>
      <w:kern w:val="0"/>
      <w:sz w:val="24"/>
    </w:rPr>
  </w:style>
  <w:style w:type="character" w:customStyle="1" w:styleId="8">
    <w:name w:val="页眉 字符"/>
    <w:basedOn w:val="7"/>
    <w:link w:val="4"/>
    <w:autoRedefine/>
    <w:qFormat/>
    <w:uiPriority w:val="0"/>
    <w:rPr>
      <w:rFonts w:asciiTheme="minorHAnsi" w:hAnsiTheme="minorHAnsi" w:eastAsiaTheme="minorEastAsia" w:cstheme="minorBidi"/>
      <w:kern w:val="2"/>
      <w:sz w:val="18"/>
      <w:szCs w:val="18"/>
    </w:rPr>
  </w:style>
  <w:style w:type="character" w:customStyle="1" w:styleId="9">
    <w:name w:val="页脚 字符"/>
    <w:basedOn w:val="7"/>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2990</Words>
  <Characters>3133</Characters>
  <Lines>25</Lines>
  <Paragraphs>7</Paragraphs>
  <TotalTime>87</TotalTime>
  <ScaleCrop>false</ScaleCrop>
  <LinksUpToDate>false</LinksUpToDate>
  <CharactersWithSpaces>3133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2023-01-20T07:45:00Z</dcterms:created>
  <dc:creator>诗人与熊</dc:creator>
  <cp:lastModifiedBy>LENOVO</cp:lastModifiedBy>
  <cp:lastPrinted>2024-01-10T01:28:00Z</cp:lastPrinted>
  <dcterms:modified xsi:type="dcterms:W3CDTF">2024-11-27T01:46:06Z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A23CC1AE5BE5475BBA3C990BFA00441F_13</vt:lpwstr>
  </property>
</Properties>
</file>