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rPr>
        <w:t>威海市环翠区</w:t>
      </w:r>
      <w:r>
        <w:rPr>
          <w:rFonts w:hint="default" w:ascii="Times New Roman" w:hAnsi="Times New Roman" w:eastAsia="方正小标宋简体" w:cs="Times New Roman"/>
          <w:b w:val="0"/>
          <w:bCs w:val="0"/>
          <w:sz w:val="44"/>
          <w:szCs w:val="44"/>
          <w:lang w:val="en-US" w:eastAsia="zh-CN"/>
        </w:rPr>
        <w:t>退役军人事务</w:t>
      </w:r>
      <w:r>
        <w:rPr>
          <w:rFonts w:hint="default" w:ascii="Times New Roman" w:hAnsi="Times New Roman" w:eastAsia="方正小标宋简体" w:cs="Times New Roman"/>
          <w:sz w:val="44"/>
          <w:szCs w:val="44"/>
          <w:lang w:val="en-US" w:eastAsia="zh-CN"/>
        </w:rPr>
        <w:t>局</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w:t>
      </w:r>
      <w:r>
        <w:rPr>
          <w:rFonts w:hint="default" w:ascii="Times New Roman" w:hAnsi="Times New Roman" w:eastAsia="方正小标宋简体" w:cs="Times New Roman"/>
          <w:sz w:val="44"/>
          <w:szCs w:val="44"/>
          <w:lang w:val="en-US" w:eastAsia="zh-CN"/>
        </w:rPr>
        <w:t>22</w:t>
      </w:r>
      <w:r>
        <w:rPr>
          <w:rFonts w:hint="default" w:ascii="Times New Roman" w:hAnsi="Times New Roman" w:eastAsia="方正小标宋简体" w:cs="Times New Roman"/>
          <w:sz w:val="44"/>
          <w:szCs w:val="44"/>
        </w:rPr>
        <w:t>年政府信息公开工作年度报告</w:t>
      </w:r>
    </w:p>
    <w:p>
      <w:pPr>
        <w:keepNext w:val="0"/>
        <w:keepLines w:val="0"/>
        <w:pageBreakBefore w:val="0"/>
        <w:widowControl w:val="0"/>
        <w:kinsoku/>
        <w:wordWrap/>
        <w:overflowPunct/>
        <w:topLinePunct w:val="0"/>
        <w:autoSpaceDE/>
        <w:autoSpaceDN/>
        <w:bidi w:val="0"/>
        <w:adjustRightInd/>
        <w:snapToGrid/>
        <w:spacing w:line="580" w:lineRule="exact"/>
        <w:ind w:firstLine="880" w:firstLineChars="200"/>
        <w:jc w:val="center"/>
        <w:textAlignment w:val="auto"/>
        <w:rPr>
          <w:rFonts w:hint="default" w:ascii="Times New Roman" w:hAnsi="Times New Roman" w:eastAsia="方正小标宋简体" w:cs="Times New Roman"/>
          <w:sz w:val="44"/>
          <w:szCs w:val="44"/>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根据新修订的《中华人民共和国政府信息公开条例》</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现公布威海市环翠区</w:t>
      </w:r>
      <w:r>
        <w:rPr>
          <w:rFonts w:hint="default" w:ascii="Times New Roman" w:hAnsi="Times New Roman" w:eastAsia="仿宋_GB2312" w:cs="Times New Roman"/>
          <w:sz w:val="32"/>
          <w:szCs w:val="32"/>
          <w:lang w:val="en-US" w:eastAsia="zh-CN"/>
        </w:rPr>
        <w:t>退役军人事务局</w:t>
      </w:r>
      <w:r>
        <w:rPr>
          <w:rFonts w:hint="default" w:ascii="Times New Roman" w:hAnsi="Times New Roman" w:eastAsia="仿宋_GB2312" w:cs="Times New Roman"/>
          <w:sz w:val="32"/>
          <w:szCs w:val="32"/>
        </w:rPr>
        <w:t>2022年政府信息公开工作年度报告。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本报告中所列数据的统计期限自20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年1月</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日起至20</w:t>
      </w:r>
      <w:r>
        <w:rPr>
          <w:rFonts w:hint="default" w:ascii="Times New Roman" w:hAnsi="Times New Roman" w:eastAsia="仿宋_GB2312" w:cs="Times New Roman"/>
          <w:sz w:val="32"/>
          <w:szCs w:val="32"/>
          <w:lang w:val="en-US" w:eastAsia="zh-CN"/>
        </w:rPr>
        <w:t>22</w:t>
      </w:r>
      <w:r>
        <w:rPr>
          <w:rFonts w:hint="default" w:ascii="Times New Roman" w:hAnsi="Times New Roman" w:eastAsia="仿宋_GB2312" w:cs="Times New Roman"/>
          <w:sz w:val="32"/>
          <w:szCs w:val="32"/>
        </w:rPr>
        <w:t>年12月31日止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本报告的电子版可在威海市环翠区人民政府门户网站（http://www.huancui.gov.cn/col/col82465/index.html）下载。 如对本报告有疑问，请与威海市环翠区</w:t>
      </w:r>
      <w:r>
        <w:rPr>
          <w:rFonts w:hint="default" w:ascii="Times New Roman" w:hAnsi="Times New Roman" w:eastAsia="仿宋_GB2312" w:cs="Times New Roman"/>
          <w:sz w:val="32"/>
          <w:szCs w:val="32"/>
          <w:lang w:val="en-US" w:eastAsia="zh-CN"/>
        </w:rPr>
        <w:t>退役军人事务局办公室</w:t>
      </w:r>
      <w:r>
        <w:rPr>
          <w:rFonts w:hint="default" w:ascii="Times New Roman" w:hAnsi="Times New Roman" w:eastAsia="仿宋_GB2312" w:cs="Times New Roman"/>
          <w:sz w:val="32"/>
          <w:szCs w:val="32"/>
        </w:rPr>
        <w:t>联系（地址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杏花西街一号409</w:t>
      </w:r>
      <w:r>
        <w:rPr>
          <w:rFonts w:hint="default" w:ascii="Times New Roman" w:hAnsi="Times New Roman" w:eastAsia="仿宋_GB2312" w:cs="Times New Roman"/>
          <w:sz w:val="32"/>
          <w:szCs w:val="32"/>
        </w:rPr>
        <w:t>；邮编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264200</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电话：</w:t>
      </w:r>
      <w:r>
        <w:rPr>
          <w:rFonts w:hint="default" w:ascii="Times New Roman" w:hAnsi="Times New Roman" w:eastAsia="仿宋_GB2312" w:cs="Times New Roman"/>
          <w:sz w:val="32"/>
          <w:szCs w:val="32"/>
          <w:lang w:val="en-US" w:eastAsia="zh-CN"/>
        </w:rPr>
        <w:t>0631-5205101</w:t>
      </w:r>
      <w:r>
        <w:rPr>
          <w:rFonts w:hint="default" w:ascii="Times New Roman" w:hAnsi="Times New Roman" w:eastAsia="仿宋_GB2312" w:cs="Times New Roman"/>
          <w:sz w:val="32"/>
          <w:szCs w:val="32"/>
        </w:rPr>
        <w:t xml:space="preserve">）。 </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总体情况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jc w:val="left"/>
        <w:textAlignment w:val="auto"/>
        <w:rPr>
          <w:rFonts w:hint="default" w:ascii="Times New Roman" w:hAnsi="Times New Roman" w:eastAsia="楷体_GB2312" w:cs="Times New Roman"/>
          <w:b/>
          <w:bCs/>
          <w:sz w:val="32"/>
          <w:szCs w:val="32"/>
          <w:highlight w:val="none"/>
          <w:lang w:eastAsia="zh-CN"/>
        </w:rPr>
      </w:pPr>
      <w:r>
        <w:rPr>
          <w:rFonts w:hint="default" w:ascii="Times New Roman" w:hAnsi="Times New Roman" w:eastAsia="楷体_GB2312" w:cs="Times New Roman"/>
          <w:b/>
          <w:bCs/>
          <w:sz w:val="32"/>
          <w:szCs w:val="32"/>
          <w:highlight w:val="none"/>
          <w:lang w:val="en-US" w:eastAsia="zh-CN"/>
        </w:rPr>
        <w:t>1.</w:t>
      </w:r>
      <w:r>
        <w:rPr>
          <w:rFonts w:hint="default" w:ascii="Times New Roman" w:hAnsi="Times New Roman" w:eastAsia="楷体_GB2312" w:cs="Times New Roman"/>
          <w:b/>
          <w:bCs/>
          <w:sz w:val="32"/>
          <w:szCs w:val="32"/>
          <w:highlight w:val="none"/>
        </w:rPr>
        <w:t>主动公开政府信息情况</w:t>
      </w:r>
      <w:r>
        <w:rPr>
          <w:rFonts w:hint="default" w:ascii="Times New Roman" w:hAnsi="Times New Roman" w:eastAsia="楷体_GB2312" w:cs="Times New Roman"/>
          <w:b/>
          <w:bCs/>
          <w:sz w:val="32"/>
          <w:szCs w:val="32"/>
          <w:highlight w:val="none"/>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Times New Roman" w:hAnsi="Times New Roman" w:eastAsia="仿宋_GB2312" w:cs="Times New Roman"/>
          <w:b w:val="0"/>
          <w:bCs w:val="0"/>
          <w:sz w:val="32"/>
          <w:szCs w:val="32"/>
          <w:highlight w:val="none"/>
        </w:rPr>
      </w:pPr>
      <w:r>
        <w:rPr>
          <w:rFonts w:hint="default" w:ascii="Times New Roman" w:hAnsi="Times New Roman" w:eastAsia="仿宋_GB2312" w:cs="Times New Roman"/>
          <w:b w:val="0"/>
          <w:bCs w:val="0"/>
          <w:sz w:val="32"/>
          <w:szCs w:val="32"/>
          <w:highlight w:val="none"/>
        </w:rPr>
        <w:t>202</w:t>
      </w:r>
      <w:r>
        <w:rPr>
          <w:rFonts w:hint="default" w:ascii="Times New Roman" w:hAnsi="Times New Roman" w:eastAsia="仿宋_GB2312" w:cs="Times New Roman"/>
          <w:b w:val="0"/>
          <w:bCs w:val="0"/>
          <w:sz w:val="32"/>
          <w:szCs w:val="32"/>
          <w:highlight w:val="none"/>
          <w:lang w:val="en-US" w:eastAsia="zh-CN"/>
        </w:rPr>
        <w:t>2</w:t>
      </w:r>
      <w:r>
        <w:rPr>
          <w:rFonts w:hint="default" w:ascii="Times New Roman" w:hAnsi="Times New Roman" w:eastAsia="仿宋_GB2312" w:cs="Times New Roman"/>
          <w:b w:val="0"/>
          <w:bCs w:val="0"/>
          <w:sz w:val="32"/>
          <w:szCs w:val="32"/>
          <w:highlight w:val="none"/>
        </w:rPr>
        <w:t>年，</w:t>
      </w:r>
      <w:r>
        <w:rPr>
          <w:rFonts w:hint="default" w:ascii="Times New Roman" w:hAnsi="Times New Roman" w:eastAsia="仿宋_GB2312" w:cs="Times New Roman"/>
          <w:b w:val="0"/>
          <w:bCs w:val="0"/>
          <w:sz w:val="32"/>
          <w:szCs w:val="32"/>
          <w:highlight w:val="none"/>
          <w:lang w:val="en-US" w:eastAsia="zh-CN"/>
        </w:rPr>
        <w:t>环翠区</w:t>
      </w:r>
      <w:r>
        <w:rPr>
          <w:rFonts w:hint="default" w:ascii="Times New Roman" w:hAnsi="Times New Roman" w:eastAsia="仿宋_GB2312" w:cs="Times New Roman"/>
          <w:b w:val="0"/>
          <w:bCs w:val="0"/>
          <w:sz w:val="32"/>
          <w:szCs w:val="32"/>
          <w:highlight w:val="none"/>
        </w:rPr>
        <w:t>退役军人事务局严格按照</w:t>
      </w:r>
      <w:r>
        <w:rPr>
          <w:rFonts w:hint="default" w:ascii="Times New Roman" w:hAnsi="Times New Roman" w:eastAsia="仿宋_GB2312" w:cs="Times New Roman"/>
          <w:b w:val="0"/>
          <w:bCs w:val="0"/>
          <w:sz w:val="32"/>
          <w:szCs w:val="32"/>
          <w:highlight w:val="none"/>
          <w:lang w:val="en-US" w:eastAsia="zh-CN"/>
        </w:rPr>
        <w:t>区</w:t>
      </w:r>
      <w:r>
        <w:rPr>
          <w:rFonts w:hint="default" w:ascii="Times New Roman" w:hAnsi="Times New Roman" w:eastAsia="仿宋_GB2312" w:cs="Times New Roman"/>
          <w:b w:val="0"/>
          <w:bCs w:val="0"/>
          <w:sz w:val="32"/>
          <w:szCs w:val="32"/>
          <w:highlight w:val="none"/>
        </w:rPr>
        <w:t>政务公开工作领导小组的工作要求，认真贯彻落实《条例》，主动公开，规范信息公开程序，加强信息公开审查，拓宽信息公开渠道，有序推进全局政府信息公开工作。坚持“以公开为常态，不公开为例外”的原则，编制《威海市环翠区退役军人事务局主动公开基本目录》，推动政务公开全覆盖，让公开成为自觉、透明成为常态，进一步加大政府信息公开力度</w:t>
      </w:r>
      <w:r>
        <w:rPr>
          <w:rFonts w:hint="default" w:ascii="Times New Roman" w:hAnsi="Times New Roman" w:eastAsia="仿宋_GB2312" w:cs="Times New Roman"/>
          <w:b w:val="0"/>
          <w:bCs w:val="0"/>
          <w:sz w:val="32"/>
          <w:szCs w:val="32"/>
          <w:highlight w:val="none"/>
          <w:lang w:eastAsia="zh-CN"/>
        </w:rPr>
        <w:t>。</w:t>
      </w:r>
      <w:r>
        <w:rPr>
          <w:rFonts w:hint="default" w:ascii="Times New Roman" w:hAnsi="Times New Roman" w:eastAsia="仿宋_GB2312" w:cs="Times New Roman"/>
          <w:b w:val="0"/>
          <w:bCs w:val="0"/>
          <w:sz w:val="32"/>
          <w:szCs w:val="32"/>
          <w:highlight w:val="none"/>
          <w:lang w:val="en-US" w:eastAsia="zh-CN"/>
        </w:rPr>
        <w:t>全年</w:t>
      </w:r>
      <w:r>
        <w:rPr>
          <w:rFonts w:hint="default" w:ascii="Times New Roman" w:hAnsi="Times New Roman" w:eastAsia="仿宋_GB2312" w:cs="Times New Roman"/>
          <w:b w:val="0"/>
          <w:bCs w:val="0"/>
          <w:sz w:val="32"/>
          <w:szCs w:val="32"/>
          <w:highlight w:val="none"/>
        </w:rPr>
        <w:t>利用环翠区政府门户网站发布信息</w:t>
      </w:r>
      <w:r>
        <w:rPr>
          <w:rFonts w:hint="default" w:ascii="Times New Roman" w:hAnsi="Times New Roman" w:eastAsia="仿宋_GB2312" w:cs="Times New Roman"/>
          <w:b w:val="0"/>
          <w:bCs w:val="0"/>
          <w:sz w:val="32"/>
          <w:szCs w:val="32"/>
          <w:highlight w:val="none"/>
          <w:lang w:val="en-US" w:eastAsia="zh-CN"/>
        </w:rPr>
        <w:t>57</w:t>
      </w:r>
      <w:r>
        <w:rPr>
          <w:rFonts w:hint="default" w:ascii="Times New Roman" w:hAnsi="Times New Roman" w:eastAsia="仿宋_GB2312" w:cs="Times New Roman"/>
          <w:b w:val="0"/>
          <w:bCs w:val="0"/>
          <w:sz w:val="32"/>
          <w:szCs w:val="32"/>
          <w:highlight w:val="none"/>
        </w:rPr>
        <w:t>条，利用“威海市环翠区退役军人事务局”微信公众平台发布信息210条，及时主动公开组织机构、财政预算、决算信息和法律、法规、规章及国家有关规定应当主动公开的其他政府信息，有力保障公众的知情权、参与权、监督权。</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jc w:val="left"/>
        <w:textAlignment w:val="auto"/>
        <w:rPr>
          <w:rFonts w:hint="default" w:ascii="Times New Roman" w:hAnsi="Times New Roman" w:eastAsia="仿宋_GB2312" w:cs="Times New Roman"/>
          <w:b w:val="0"/>
          <w:bCs w:val="0"/>
          <w:sz w:val="32"/>
          <w:szCs w:val="32"/>
          <w:highlight w:val="none"/>
          <w:lang w:eastAsia="zh-CN"/>
        </w:rPr>
      </w:pPr>
      <w:r>
        <w:rPr>
          <w:rFonts w:hint="default" w:ascii="Times New Roman" w:hAnsi="Times New Roman" w:eastAsia="仿宋_GB2312" w:cs="Times New Roman"/>
          <w:b w:val="0"/>
          <w:bCs w:val="0"/>
          <w:sz w:val="32"/>
          <w:szCs w:val="32"/>
          <w:highlight w:val="none"/>
          <w:lang w:eastAsia="zh-CN"/>
        </w:rPr>
        <w:drawing>
          <wp:inline distT="0" distB="0" distL="114300" distR="114300">
            <wp:extent cx="5744845" cy="3040380"/>
            <wp:effectExtent l="0" t="0" r="8255" b="7620"/>
            <wp:docPr id="2" name="图片 2" descr="威海市环翠区退役军人事务局政府门户网站主动公开内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威海市环翠区退役军人事务局政府门户网站主动公开内容"/>
                    <pic:cNvPicPr>
                      <a:picLocks noChangeAspect="1"/>
                    </pic:cNvPicPr>
                  </pic:nvPicPr>
                  <pic:blipFill>
                    <a:blip r:embed="rId5"/>
                    <a:stretch>
                      <a:fillRect/>
                    </a:stretch>
                  </pic:blipFill>
                  <pic:spPr>
                    <a:xfrm>
                      <a:off x="0" y="0"/>
                      <a:ext cx="5744845" cy="3040380"/>
                    </a:xfrm>
                    <a:prstGeom prst="rect">
                      <a:avLst/>
                    </a:prstGeom>
                  </pic:spPr>
                </pic:pic>
              </a:graphicData>
            </a:graphic>
          </wp:inline>
        </w:drawing>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2.</w:t>
      </w:r>
      <w:r>
        <w:rPr>
          <w:rFonts w:hint="default" w:ascii="Times New Roman" w:hAnsi="Times New Roman" w:eastAsia="楷体_GB2312" w:cs="Times New Roman"/>
          <w:b/>
          <w:bCs/>
          <w:sz w:val="32"/>
          <w:szCs w:val="32"/>
          <w:highlight w:val="none"/>
          <w:lang w:eastAsia="zh-CN"/>
        </w:rPr>
        <w:t>依申请公开政府信息</w:t>
      </w:r>
      <w:r>
        <w:rPr>
          <w:rFonts w:hint="default" w:ascii="Times New Roman" w:hAnsi="Times New Roman" w:eastAsia="楷体_GB2312" w:cs="Times New Roman"/>
          <w:b/>
          <w:bCs/>
          <w:sz w:val="32"/>
          <w:szCs w:val="32"/>
          <w:highlight w:val="none"/>
        </w:rPr>
        <w:t>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2022年度以来，本单位未收到政府信息公开申请。</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3.政府信息管理情况。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b w:val="0"/>
          <w:bCs w:val="0"/>
          <w:sz w:val="32"/>
          <w:szCs w:val="32"/>
          <w:highlight w:val="none"/>
        </w:rPr>
      </w:pPr>
      <w:r>
        <w:rPr>
          <w:rFonts w:hint="default" w:ascii="Times New Roman" w:hAnsi="Times New Roman" w:eastAsia="仿宋_GB2312" w:cs="Times New Roman"/>
          <w:b w:val="0"/>
          <w:bCs w:val="0"/>
          <w:sz w:val="32"/>
          <w:szCs w:val="32"/>
          <w:highlight w:val="none"/>
        </w:rPr>
        <w:t>规范</w:t>
      </w:r>
      <w:r>
        <w:rPr>
          <w:rFonts w:hint="default" w:ascii="Times New Roman" w:hAnsi="Times New Roman" w:eastAsia="仿宋_GB2312" w:cs="Times New Roman"/>
          <w:b w:val="0"/>
          <w:bCs w:val="0"/>
          <w:sz w:val="32"/>
          <w:szCs w:val="32"/>
          <w:highlight w:val="none"/>
          <w:lang w:val="en-US" w:eastAsia="zh-CN"/>
        </w:rPr>
        <w:t>政府</w:t>
      </w:r>
      <w:r>
        <w:rPr>
          <w:rFonts w:hint="default" w:ascii="Times New Roman" w:hAnsi="Times New Roman" w:eastAsia="仿宋_GB2312" w:cs="Times New Roman"/>
          <w:b w:val="0"/>
          <w:bCs w:val="0"/>
          <w:sz w:val="32"/>
          <w:szCs w:val="32"/>
          <w:highlight w:val="none"/>
        </w:rPr>
        <w:t>网站和微信公众号信息发布，</w:t>
      </w:r>
      <w:r>
        <w:rPr>
          <w:rFonts w:hint="default" w:ascii="Times New Roman" w:hAnsi="Times New Roman" w:eastAsia="仿宋_GB2312" w:cs="Times New Roman"/>
          <w:b w:val="0"/>
          <w:bCs w:val="0"/>
          <w:sz w:val="32"/>
          <w:szCs w:val="32"/>
          <w:highlight w:val="none"/>
          <w:lang w:val="en-US" w:eastAsia="zh-CN"/>
        </w:rPr>
        <w:t>严格落实</w:t>
      </w:r>
      <w:r>
        <w:rPr>
          <w:rFonts w:hint="default" w:ascii="Times New Roman" w:hAnsi="Times New Roman" w:eastAsia="仿宋_GB2312" w:cs="Times New Roman"/>
          <w:b w:val="0"/>
          <w:bCs w:val="0"/>
          <w:sz w:val="32"/>
          <w:szCs w:val="32"/>
          <w:highlight w:val="none"/>
        </w:rPr>
        <w:t>《威海市环翠区退役军人事务局政务新媒体管理制度》、《威海市环翠区退役军人事务局网络信息内容发布“三审三校”制度》，坚持“先审后发”，严把信息发布政治关、法律关、政策关、保密关、文字关，目前局网站和公众号所发布信息符合国家政策方针和法律法规的相关规定，不涉及秘密、敏感信息和个人隐私。</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4.</w:t>
      </w:r>
      <w:r>
        <w:rPr>
          <w:rFonts w:hint="default" w:ascii="Times New Roman" w:hAnsi="Times New Roman" w:eastAsia="楷体_GB2312" w:cs="Times New Roman"/>
          <w:b/>
          <w:bCs/>
          <w:sz w:val="32"/>
          <w:szCs w:val="32"/>
          <w:highlight w:val="none"/>
          <w:lang w:eastAsia="zh-CN"/>
        </w:rPr>
        <w:t>政府信息</w:t>
      </w:r>
      <w:r>
        <w:rPr>
          <w:rFonts w:hint="default" w:ascii="Times New Roman" w:hAnsi="Times New Roman" w:eastAsia="楷体_GB2312" w:cs="Times New Roman"/>
          <w:b/>
          <w:bCs/>
          <w:sz w:val="32"/>
          <w:szCs w:val="32"/>
          <w:highlight w:val="none"/>
        </w:rPr>
        <w:t>公开平台建设情况。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b w:val="0"/>
          <w:bCs w:val="0"/>
          <w:sz w:val="32"/>
          <w:szCs w:val="32"/>
          <w:highlight w:val="none"/>
        </w:rPr>
      </w:pPr>
      <w:r>
        <w:rPr>
          <w:rFonts w:hint="default" w:ascii="Times New Roman" w:hAnsi="Times New Roman" w:eastAsia="仿宋_GB2312" w:cs="Times New Roman"/>
          <w:b w:val="0"/>
          <w:bCs w:val="0"/>
          <w:sz w:val="32"/>
          <w:szCs w:val="32"/>
          <w:highlight w:val="none"/>
        </w:rPr>
        <w:t>一是强化网站第一平台作用。根据政府网站集约化平台运行特点，推进政府信息公开目录调整，着力优化政府信息公开目录分类主题设置。二是推动新媒体发展，规范建设微信新媒体平台，通过微信公众号主动推送新闻资讯、相关退役军人政策解读、热点关注等方面信息，方便公众查阅和获取政府信息。目前微信公众号关注人数</w:t>
      </w:r>
      <w:r>
        <w:rPr>
          <w:rFonts w:hint="default" w:ascii="Times New Roman" w:hAnsi="Times New Roman" w:eastAsia="仿宋_GB2312" w:cs="Times New Roman"/>
          <w:b w:val="0"/>
          <w:bCs w:val="0"/>
          <w:sz w:val="32"/>
          <w:szCs w:val="32"/>
          <w:highlight w:val="none"/>
          <w:lang w:val="en-US" w:eastAsia="zh-CN"/>
        </w:rPr>
        <w:t>2000</w:t>
      </w:r>
      <w:r>
        <w:rPr>
          <w:rFonts w:hint="default" w:ascii="Times New Roman" w:hAnsi="Times New Roman" w:eastAsia="仿宋_GB2312" w:cs="Times New Roman"/>
          <w:b w:val="0"/>
          <w:bCs w:val="0"/>
          <w:sz w:val="32"/>
          <w:szCs w:val="32"/>
          <w:highlight w:val="none"/>
        </w:rPr>
        <w:t>余人，总阅读量近</w:t>
      </w:r>
      <w:r>
        <w:rPr>
          <w:rFonts w:hint="default" w:ascii="Times New Roman" w:hAnsi="Times New Roman" w:eastAsia="仿宋_GB2312" w:cs="Times New Roman"/>
          <w:b w:val="0"/>
          <w:bCs w:val="0"/>
          <w:sz w:val="32"/>
          <w:szCs w:val="32"/>
          <w:highlight w:val="none"/>
          <w:lang w:val="en-US" w:eastAsia="zh-CN"/>
        </w:rPr>
        <w:t>20000人</w:t>
      </w:r>
      <w:r>
        <w:rPr>
          <w:rFonts w:hint="default" w:ascii="Times New Roman" w:hAnsi="Times New Roman" w:eastAsia="仿宋_GB2312" w:cs="Times New Roman"/>
          <w:b w:val="0"/>
          <w:bCs w:val="0"/>
          <w:sz w:val="32"/>
          <w:szCs w:val="32"/>
          <w:highlight w:val="none"/>
        </w:rPr>
        <w:t>次。</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left"/>
        <w:textAlignment w:val="auto"/>
        <w:rPr>
          <w:rFonts w:hint="default" w:ascii="Times New Roman" w:hAnsi="Times New Roman" w:eastAsia="楷体_GB2312" w:cs="Times New Roman"/>
          <w:b/>
          <w:bCs/>
          <w:sz w:val="32"/>
          <w:szCs w:val="32"/>
          <w:highlight w:val="none"/>
        </w:rPr>
      </w:pPr>
      <w:r>
        <w:rPr>
          <w:rFonts w:hint="default" w:ascii="Times New Roman" w:hAnsi="Times New Roman" w:eastAsia="楷体_GB2312" w:cs="Times New Roman"/>
          <w:b/>
          <w:bCs/>
          <w:sz w:val="32"/>
          <w:szCs w:val="32"/>
          <w:highlight w:val="none"/>
        </w:rPr>
        <w:t>5.监督保障情况。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b w:val="0"/>
          <w:bCs w:val="0"/>
          <w:sz w:val="32"/>
          <w:szCs w:val="32"/>
          <w:highlight w:val="none"/>
        </w:rPr>
      </w:pPr>
      <w:r>
        <w:rPr>
          <w:rFonts w:hint="default" w:ascii="Times New Roman" w:hAnsi="Times New Roman" w:eastAsia="仿宋_GB2312" w:cs="Times New Roman"/>
          <w:b w:val="0"/>
          <w:bCs w:val="0"/>
          <w:sz w:val="32"/>
          <w:szCs w:val="32"/>
          <w:highlight w:val="none"/>
        </w:rPr>
        <w:t>局党组高度重视政府信息公开工作，专题听取有关工作情况报告，研究部署政务公开工作。根据人事变动，及时调整政务公开工作领导小组，分管负责同志亲自调度、推动政务公开工作，干部职工人人重视、人人参与的良好局面逐步形成，为政务公开工作营造良好的舆论氛围。进一步加强与政府信息公开主管部门的沟通，积极争取技术支持和业务指导，自觉接受政府信息公开工作考核和评议。</w:t>
      </w:r>
    </w:p>
    <w:p>
      <w:pPr>
        <w:pStyle w:val="6"/>
        <w:keepNext w:val="0"/>
        <w:keepLines w:val="0"/>
        <w:pageBreakBefore w:val="0"/>
        <w:widowControl w:val="0"/>
        <w:numPr>
          <w:ilvl w:val="0"/>
          <w:numId w:val="1"/>
        </w:numPr>
        <w:shd w:val="clear" w:color="auto" w:fill="auto"/>
        <w:kinsoku/>
        <w:wordWrap/>
        <w:topLinePunct w:val="0"/>
        <w:bidi w:val="0"/>
        <w:adjustRightInd/>
        <w:snapToGrid/>
        <w:spacing w:before="0" w:line="600" w:lineRule="exact"/>
        <w:ind w:left="0" w:leftChars="0" w:right="0" w:rightChars="0" w:firstLine="640" w:firstLineChars="200"/>
        <w:jc w:val="both"/>
        <w:textAlignment w:val="auto"/>
        <w:outlineLvl w:val="9"/>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主动公开政府信息情况</w:t>
      </w:r>
    </w:p>
    <w:tbl>
      <w:tblPr>
        <w:tblStyle w:val="4"/>
        <w:tblW w:w="0" w:type="auto"/>
        <w:jc w:val="center"/>
        <w:tblLayout w:type="fixed"/>
        <w:tblCellMar>
          <w:top w:w="0" w:type="dxa"/>
          <w:left w:w="10" w:type="dxa"/>
          <w:bottom w:w="0" w:type="dxa"/>
          <w:right w:w="10" w:type="dxa"/>
        </w:tblCellMar>
      </w:tblPr>
      <w:tblGrid>
        <w:gridCol w:w="3115"/>
        <w:gridCol w:w="2146"/>
        <w:gridCol w:w="1474"/>
        <w:gridCol w:w="1987"/>
      </w:tblGrid>
      <w:tr>
        <w:tblPrEx>
          <w:tblCellMar>
            <w:top w:w="0" w:type="dxa"/>
            <w:left w:w="10" w:type="dxa"/>
            <w:bottom w:w="0" w:type="dxa"/>
            <w:right w:w="10" w:type="dxa"/>
          </w:tblCellMar>
        </w:tblPrEx>
        <w:trPr>
          <w:trHeight w:val="581"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第二十条第（一）项</w:t>
            </w:r>
          </w:p>
        </w:tc>
      </w:tr>
      <w:tr>
        <w:tblPrEx>
          <w:tblCellMar>
            <w:top w:w="0" w:type="dxa"/>
            <w:left w:w="10" w:type="dxa"/>
            <w:bottom w:w="0" w:type="dxa"/>
            <w:right w:w="10" w:type="dxa"/>
          </w:tblCellMar>
        </w:tblPrEx>
        <w:trPr>
          <w:trHeight w:val="566" w:hRule="exact"/>
          <w:jc w:val="center"/>
        </w:trPr>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制发件数</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3" w:lineRule="exact"/>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rPr>
              <w:t>本年</w:t>
            </w:r>
            <w:r>
              <w:rPr>
                <w:rFonts w:hint="default" w:ascii="Times New Roman" w:hAnsi="Times New Roman" w:cs="Times New Roman"/>
                <w:color w:val="000000"/>
                <w:spacing w:val="0"/>
                <w:w w:val="100"/>
                <w:position w:val="0"/>
                <w:sz w:val="22"/>
                <w:szCs w:val="22"/>
                <w:lang w:eastAsia="zh-CN"/>
              </w:rPr>
              <w:t>废止件数</w:t>
            </w:r>
          </w:p>
        </w:tc>
        <w:tc>
          <w:tcPr>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98" w:lineRule="exact"/>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现行有效件数</w:t>
            </w:r>
          </w:p>
        </w:tc>
      </w:tr>
      <w:tr>
        <w:tblPrEx>
          <w:tblCellMar>
            <w:top w:w="0" w:type="dxa"/>
            <w:left w:w="10" w:type="dxa"/>
            <w:bottom w:w="0" w:type="dxa"/>
            <w:right w:w="10" w:type="dxa"/>
          </w:tblCellMar>
        </w:tblPrEx>
        <w:trPr>
          <w:trHeight w:val="446" w:hRule="exact"/>
          <w:jc w:val="center"/>
        </w:trPr>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规章</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规范性文件</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第二十条第（五）项</w:t>
            </w:r>
          </w:p>
        </w:tc>
      </w:tr>
      <w:tr>
        <w:tblPrEx>
          <w:tblCellMar>
            <w:top w:w="0" w:type="dxa"/>
            <w:left w:w="10" w:type="dxa"/>
            <w:bottom w:w="0" w:type="dxa"/>
            <w:right w:w="10" w:type="dxa"/>
          </w:tblCellMar>
        </w:tblPrEx>
        <w:trPr>
          <w:trHeight w:val="562" w:hRule="exact"/>
          <w:jc w:val="center"/>
        </w:trPr>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sz w:val="22"/>
                <w:szCs w:val="22"/>
                <w:lang w:eastAsia="zh-CN"/>
              </w:rPr>
              <w:t>本年处理决定数量</w:t>
            </w:r>
          </w:p>
        </w:tc>
      </w:tr>
      <w:tr>
        <w:tblPrEx>
          <w:tblCellMar>
            <w:top w:w="0" w:type="dxa"/>
            <w:left w:w="10" w:type="dxa"/>
            <w:bottom w:w="0" w:type="dxa"/>
            <w:right w:w="10" w:type="dxa"/>
          </w:tblCellMar>
        </w:tblPrEx>
        <w:trPr>
          <w:trHeight w:val="461" w:hRule="exact"/>
          <w:jc w:val="center"/>
        </w:trPr>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行政许可</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第二十条第（六）项</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sz w:val="22"/>
                <w:szCs w:val="22"/>
                <w:lang w:eastAsia="zh-CN"/>
              </w:rPr>
              <w:t>本年处理决定数量</w:t>
            </w:r>
          </w:p>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处理决定数量</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行政处罚</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行政强制</w:t>
            </w:r>
          </w:p>
        </w:tc>
        <w:tc>
          <w:tcPr>
            <w:gridSpan w:val="3"/>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6" w:hRule="exact"/>
          <w:jc w:val="center"/>
        </w:trPr>
        <w:tc>
          <w:tcPr>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80" w:after="0" w:line="240" w:lineRule="auto"/>
              <w:ind w:left="0" w:right="0" w:firstLine="0"/>
              <w:jc w:val="center"/>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第二十条第（八）项</w:t>
            </w:r>
          </w:p>
        </w:tc>
      </w:tr>
      <w:tr>
        <w:tblPrEx>
          <w:tblCellMar>
            <w:top w:w="0" w:type="dxa"/>
            <w:left w:w="10" w:type="dxa"/>
            <w:bottom w:w="0" w:type="dxa"/>
            <w:right w:w="10" w:type="dxa"/>
          </w:tblCellMar>
        </w:tblPrEx>
        <w:trPr>
          <w:trHeight w:val="456"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106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信息内容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100" w:after="0" w:line="240" w:lineRule="auto"/>
              <w:ind w:left="0" w:right="0" w:firstLine="0"/>
              <w:jc w:val="center"/>
              <w:rPr>
                <w:rFonts w:hint="default" w:ascii="Times New Roman" w:hAnsi="Times New Roman" w:eastAsia="宋体" w:cs="Times New Roman"/>
                <w:sz w:val="22"/>
                <w:szCs w:val="22"/>
                <w:lang w:eastAsia="zh-CN"/>
              </w:rPr>
            </w:pPr>
            <w:r>
              <w:rPr>
                <w:rFonts w:hint="default" w:ascii="Times New Roman" w:hAnsi="Times New Roman" w:cs="Times New Roman"/>
                <w:color w:val="000000"/>
                <w:spacing w:val="0"/>
                <w:w w:val="100"/>
                <w:position w:val="0"/>
                <w:sz w:val="22"/>
                <w:szCs w:val="22"/>
                <w:lang w:eastAsia="zh-CN"/>
              </w:rPr>
              <w:t>本年收费金额（单位：万元）</w:t>
            </w:r>
          </w:p>
        </w:tc>
      </w:tr>
      <w:tr>
        <w:tblPrEx>
          <w:tblCellMar>
            <w:top w:w="0" w:type="dxa"/>
            <w:left w:w="10" w:type="dxa"/>
            <w:bottom w:w="0" w:type="dxa"/>
            <w:right w:w="10" w:type="dxa"/>
          </w:tblCellMar>
        </w:tblPrEx>
        <w:trPr>
          <w:trHeight w:val="451" w:hRule="exact"/>
          <w:jc w:val="center"/>
        </w:trPr>
        <w:tc>
          <w:tcPr>
            <w:tcBorders>
              <w:top w:val="single" w:color="auto" w:sz="4" w:space="0"/>
              <w:left w:val="single" w:color="auto" w:sz="4" w:space="0"/>
              <w:bottom w:val="single" w:color="auto" w:sz="4" w:space="0"/>
              <w:right w:val="single" w:color="auto" w:sz="4" w:space="0"/>
            </w:tcBorders>
            <w:shd w:val="clear" w:color="auto" w:fill="FFFFFF"/>
            <w:vAlign w:val="top"/>
          </w:tcPr>
          <w:p>
            <w:pPr>
              <w:pStyle w:val="7"/>
              <w:keepNext w:val="0"/>
              <w:keepLines w:val="0"/>
              <w:widowControl w:val="0"/>
              <w:shd w:val="clear" w:color="auto" w:fill="auto"/>
              <w:bidi w:val="0"/>
              <w:spacing w:before="100" w:after="0" w:line="240" w:lineRule="auto"/>
              <w:ind w:left="0" w:right="0" w:firstLine="0"/>
              <w:jc w:val="left"/>
              <w:rPr>
                <w:rFonts w:hint="default" w:ascii="Times New Roman" w:hAnsi="Times New Roman" w:cs="Times New Roman"/>
                <w:sz w:val="22"/>
                <w:szCs w:val="22"/>
              </w:rPr>
            </w:pPr>
            <w:r>
              <w:rPr>
                <w:rFonts w:hint="default" w:ascii="Times New Roman" w:hAnsi="Times New Roman" w:cs="Times New Roman"/>
                <w:color w:val="000000"/>
                <w:spacing w:val="0"/>
                <w:w w:val="100"/>
                <w:position w:val="0"/>
                <w:sz w:val="22"/>
                <w:szCs w:val="22"/>
              </w:rPr>
              <w:t>行政事业性收费</w:t>
            </w:r>
          </w:p>
        </w:tc>
        <w:tc>
          <w:tcPr>
            <w:gridSpan w:val="3"/>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sz w:val="22"/>
                <w:szCs w:val="22"/>
                <w:lang w:val="en-US" w:eastAsia="zh-CN"/>
              </w:rPr>
            </w:pPr>
            <w:r>
              <w:rPr>
                <w:rFonts w:hint="default" w:ascii="Times New Roman" w:hAnsi="Times New Roman" w:cs="Times New Roman"/>
                <w:sz w:val="22"/>
                <w:szCs w:val="22"/>
                <w:lang w:val="en-US" w:eastAsia="zh-CN"/>
              </w:rPr>
              <w:t>0</w:t>
            </w:r>
          </w:p>
        </w:tc>
      </w:tr>
    </w:tbl>
    <w:p>
      <w:pPr>
        <w:pStyle w:val="6"/>
        <w:keepNext w:val="0"/>
        <w:keepLines w:val="0"/>
        <w:pageBreakBefore w:val="0"/>
        <w:widowControl w:val="0"/>
        <w:numPr>
          <w:ilvl w:val="0"/>
          <w:numId w:val="1"/>
        </w:numPr>
        <w:shd w:val="clear" w:color="auto" w:fill="auto"/>
        <w:kinsoku/>
        <w:wordWrap/>
        <w:overflowPunct/>
        <w:topLinePunct w:val="0"/>
        <w:autoSpaceDE/>
        <w:autoSpaceDN/>
        <w:bidi w:val="0"/>
        <w:adjustRightInd/>
        <w:snapToGrid/>
        <w:spacing w:before="0" w:line="600" w:lineRule="exact"/>
        <w:ind w:left="0" w:leftChars="0" w:right="0" w:rightChars="0" w:firstLine="640" w:firstLineChars="200"/>
        <w:jc w:val="left"/>
        <w:textAlignment w:val="auto"/>
        <w:rPr>
          <w:rFonts w:hint="default" w:ascii="Times New Roman" w:hAnsi="Times New Roman" w:eastAsia="黑体" w:cs="Times New Roman"/>
          <w:color w:val="000000"/>
          <w:spacing w:val="0"/>
          <w:w w:val="100"/>
          <w:position w:val="0"/>
          <w:sz w:val="32"/>
          <w:szCs w:val="32"/>
        </w:rPr>
      </w:pPr>
      <w:r>
        <w:rPr>
          <w:rFonts w:hint="default" w:ascii="Times New Roman" w:hAnsi="Times New Roman" w:eastAsia="黑体" w:cs="Times New Roman"/>
          <w:color w:val="000000"/>
          <w:spacing w:val="0"/>
          <w:w w:val="100"/>
          <w:position w:val="0"/>
          <w:sz w:val="32"/>
          <w:szCs w:val="32"/>
        </w:rPr>
        <w:t>收到和处理政府信息公开申请情况</w:t>
      </w:r>
    </w:p>
    <w:tbl>
      <w:tblPr>
        <w:tblStyle w:val="4"/>
        <w:tblW w:w="0" w:type="auto"/>
        <w:jc w:val="center"/>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CellMar>
            <w:top w:w="0" w:type="dxa"/>
            <w:left w:w="10" w:type="dxa"/>
            <w:bottom w:w="0" w:type="dxa"/>
            <w:right w:w="10" w:type="dxa"/>
          </w:tblCellMar>
        </w:tblPrEx>
        <w:trPr>
          <w:trHeight w:val="576" w:hRule="exact"/>
          <w:jc w:val="center"/>
        </w:trPr>
        <w:tc>
          <w:tcPr>
            <w:gridSpan w:val="3"/>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（本列数据的勾稽关系为：第一项加第二项之和， 等于第三项加第四项之和）</w:t>
            </w:r>
          </w:p>
        </w:tc>
        <w:tc>
          <w:tcPr>
            <w:gridSpan w:val="7"/>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申请人情况</w:t>
            </w:r>
          </w:p>
        </w:tc>
      </w:tr>
      <w:tr>
        <w:tblPrEx>
          <w:tblCellMar>
            <w:top w:w="0" w:type="dxa"/>
            <w:left w:w="10" w:type="dxa"/>
            <w:bottom w:w="0" w:type="dxa"/>
            <w:right w:w="10" w:type="dxa"/>
          </w:tblCellMar>
        </w:tblPrEx>
        <w:trPr>
          <w:trHeight w:val="571" w:hRule="exact"/>
          <w:jc w:val="center"/>
        </w:trPr>
        <w:tc>
          <w:tcPr>
            <w:gridSpan w:val="3"/>
            <w:vMerge w:val="continue"/>
            <w:tcBorders>
              <w:left w:val="single" w:color="auto" w:sz="4" w:space="0"/>
            </w:tcBorders>
            <w:shd w:val="clear" w:color="auto" w:fill="FFFFFF"/>
            <w:vAlign w:val="center"/>
          </w:tcPr>
          <w:p>
            <w:pPr>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自然人</w:t>
            </w:r>
          </w:p>
        </w:tc>
        <w:tc>
          <w:tcPr>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法人或其他组织</w:t>
            </w:r>
          </w:p>
        </w:tc>
        <w:tc>
          <w:tcPr>
            <w:vMerge w:val="restart"/>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righ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总计</w:t>
            </w:r>
          </w:p>
        </w:tc>
      </w:tr>
      <w:tr>
        <w:tblPrEx>
          <w:tblCellMar>
            <w:top w:w="0" w:type="dxa"/>
            <w:left w:w="10" w:type="dxa"/>
            <w:bottom w:w="0" w:type="dxa"/>
            <w:right w:w="10" w:type="dxa"/>
          </w:tblCellMar>
        </w:tblPrEx>
        <w:trPr>
          <w:trHeight w:val="1134" w:hRule="atLeast"/>
          <w:jc w:val="center"/>
        </w:trPr>
        <w:tc>
          <w:tcPr>
            <w:gridSpan w:val="3"/>
            <w:vMerge w:val="continue"/>
            <w:tcBorders>
              <w:left w:val="single" w:color="auto" w:sz="4" w:space="0"/>
            </w:tcBorders>
            <w:shd w:val="clear" w:color="auto" w:fill="FFFFFF"/>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商业 企业</w:t>
            </w:r>
          </w:p>
        </w:tc>
        <w:tc>
          <w:tcPr>
            <w:tcW w:w="562" w:type="dxa"/>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科研 机构</w:t>
            </w:r>
          </w:p>
        </w:tc>
        <w:tc>
          <w:tcPr>
            <w:tcW w:w="566" w:type="dxa"/>
            <w:tcBorders>
              <w:top w:val="single" w:color="auto" w:sz="4" w:space="0"/>
              <w:left w:val="single" w:color="auto" w:sz="4" w:space="0"/>
            </w:tcBorders>
            <w:shd w:val="clear" w:color="auto" w:fill="FFFFFF"/>
            <w:vAlign w:val="top"/>
          </w:tcPr>
          <w:p>
            <w:pPr>
              <w:widowControl w:val="0"/>
              <w:ind w:firstLine="0"/>
              <w:rPr>
                <w:rFonts w:hint="default" w:ascii="Times New Roman" w:hAnsi="Times New Roman" w:eastAsia="宋体" w:cs="Times New Roman"/>
                <w:color w:val="000000"/>
                <w:spacing w:val="0"/>
                <w:w w:val="100"/>
                <w:position w:val="0"/>
                <w:sz w:val="15"/>
                <w:szCs w:val="15"/>
                <w:u w:val="none"/>
                <w:shd w:val="clear" w:color="auto" w:fill="auto"/>
                <w:lang w:val="en-US" w:eastAsia="zh-CN" w:bidi="zh-TW"/>
              </w:rPr>
            </w:pPr>
          </w:p>
          <w:p>
            <w:pPr>
              <w:widowControl w:val="0"/>
              <w:ind w:firstLine="0"/>
              <w:rPr>
                <w:rFonts w:hint="default" w:ascii="Times New Roman" w:hAnsi="Times New Roman" w:eastAsia="宋体" w:cs="Times New Roman"/>
                <w:sz w:val="10"/>
                <w:szCs w:val="10"/>
                <w:lang w:val="en-US" w:eastAsia="zh-CN"/>
              </w:rPr>
            </w:pPr>
            <w:r>
              <w:rPr>
                <w:rFonts w:hint="default" w:ascii="Times New Roman" w:hAnsi="Times New Roman" w:eastAsia="宋体" w:cs="Times New Roman"/>
                <w:color w:val="000000"/>
                <w:spacing w:val="0"/>
                <w:w w:val="100"/>
                <w:position w:val="0"/>
                <w:sz w:val="20"/>
                <w:szCs w:val="20"/>
                <w:u w:val="none"/>
                <w:shd w:val="clear" w:color="auto" w:fill="auto"/>
                <w:lang w:val="en-US" w:eastAsia="zh-CN" w:bidi="zh-TW"/>
              </w:rPr>
              <w:t>社会公益组织</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法律 服务 机构</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w:t>
            </w:r>
          </w:p>
        </w:tc>
        <w:tc>
          <w:tcPr>
            <w:vMerge w:val="continue"/>
            <w:tcBorders>
              <w:left w:val="single" w:color="auto" w:sz="4" w:space="0"/>
              <w:right w:val="single" w:color="auto" w:sz="4" w:space="0"/>
            </w:tcBorders>
            <w:shd w:val="clear" w:color="auto" w:fill="FFFFFF"/>
            <w:vAlign w:val="center"/>
          </w:tcPr>
          <w:p>
            <w:pPr>
              <w:rPr>
                <w:rFonts w:hint="default" w:ascii="Times New Roman" w:hAnsi="Times New Roman" w:cs="Times New Roman"/>
              </w:rPr>
            </w:pP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一、本年新收政府信息公开申请数量</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51" w:hRule="exact"/>
          <w:jc w:val="center"/>
        </w:trPr>
        <w:tc>
          <w:tcPr>
            <w:gridSpan w:val="3"/>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二、上年结转政府信息公开申请数量</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restart"/>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rPr>
            </w:pPr>
            <w:r>
              <w:rPr>
                <w:rFonts w:hint="default" w:ascii="Times New Roman" w:hAnsi="Times New Roman" w:cs="Times New Roman"/>
                <w:color w:val="000000"/>
                <w:spacing w:val="0"/>
                <w:w w:val="100"/>
                <w:position w:val="0"/>
              </w:rPr>
              <w:t>三、本年度办理结果</w:t>
            </w:r>
          </w:p>
        </w:tc>
        <w:tc>
          <w:tcPr>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（一）予以公开</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682"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8" w:lineRule="exact"/>
              <w:ind w:left="0" w:right="0" w:firstLine="0"/>
              <w:jc w:val="left"/>
              <w:rPr>
                <w:rFonts w:hint="default" w:ascii="Times New Roman" w:hAnsi="Times New Roman" w:eastAsia="宋体" w:cs="Times New Roman"/>
                <w:sz w:val="18"/>
                <w:szCs w:val="18"/>
                <w:lang w:val="en-US" w:eastAsia="zh-CN"/>
              </w:rPr>
            </w:pPr>
            <w:r>
              <w:rPr>
                <w:rFonts w:hint="default" w:ascii="Times New Roman" w:hAnsi="Times New Roman" w:cs="Times New Roman"/>
                <w:color w:val="000000"/>
                <w:spacing w:val="0"/>
                <w:w w:val="100"/>
                <w:position w:val="0"/>
                <w:sz w:val="18"/>
                <w:szCs w:val="18"/>
              </w:rPr>
              <w:t>（二）部分公开（区分处理的，只计这一情形，不计其他情形）</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（三）不予公开</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属于国家秘密</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lang w:val="en-US"/>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20"/>
                <w:szCs w:val="20"/>
                <w:lang w:val="en-US" w:eastAsia="zh-CN" w:bidi="en-US"/>
              </w:rPr>
              <w:t>其他法律行政法规禁止公开</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危及</w:t>
            </w:r>
            <w:r>
              <w:rPr>
                <w:rFonts w:hint="default" w:ascii="Times New Roman" w:hAnsi="Times New Roman" w:cs="Times New Roman"/>
                <w:color w:val="000000"/>
                <w:spacing w:val="0"/>
                <w:w w:val="100"/>
                <w:position w:val="0"/>
                <w:sz w:val="18"/>
                <w:szCs w:val="18"/>
                <w:lang w:val="zh-CN" w:eastAsia="zh-CN" w:bidi="zh-CN"/>
              </w:rPr>
              <w:t>“三</w:t>
            </w:r>
            <w:r>
              <w:rPr>
                <w:rFonts w:hint="default" w:ascii="Times New Roman" w:hAnsi="Times New Roman" w:cs="Times New Roman"/>
                <w:color w:val="000000"/>
                <w:spacing w:val="0"/>
                <w:w w:val="100"/>
                <w:position w:val="0"/>
                <w:sz w:val="18"/>
                <w:szCs w:val="18"/>
              </w:rPr>
              <w:t>安全一稳定”</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保护第三方合法权益</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18"/>
                <w:szCs w:val="18"/>
              </w:rPr>
              <w:t>属于三类内部事务信息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89"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6.</w:t>
            </w:r>
            <w:r>
              <w:rPr>
                <w:rFonts w:hint="default" w:ascii="Times New Roman" w:hAnsi="Times New Roman" w:cs="Times New Roman"/>
                <w:color w:val="000000"/>
                <w:spacing w:val="0"/>
                <w:w w:val="100"/>
                <w:position w:val="0"/>
                <w:sz w:val="18"/>
                <w:szCs w:val="18"/>
              </w:rPr>
              <w:t>属于四类过程性信息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03"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7.</w:t>
            </w:r>
            <w:r>
              <w:rPr>
                <w:rFonts w:hint="default" w:ascii="Times New Roman" w:hAnsi="Times New Roman" w:cs="Times New Roman"/>
                <w:color w:val="000000"/>
                <w:spacing w:val="0"/>
                <w:w w:val="100"/>
                <w:position w:val="0"/>
                <w:sz w:val="18"/>
                <w:szCs w:val="18"/>
              </w:rPr>
              <w:t>属于行政执法案卷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bottom"/>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8.</w:t>
            </w:r>
            <w:r>
              <w:rPr>
                <w:rFonts w:hint="default" w:ascii="Times New Roman" w:hAnsi="Times New Roman" w:cs="Times New Roman"/>
                <w:color w:val="000000"/>
                <w:spacing w:val="0"/>
                <w:w w:val="100"/>
                <w:position w:val="0"/>
                <w:sz w:val="18"/>
                <w:szCs w:val="18"/>
              </w:rPr>
              <w:t>属于行政查询事项</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（四）无法提供</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本机关不掌握相关政府信息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没有现成信息需要另行制作</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补正后申请内容仍不明确</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（五）不予处理</w:t>
            </w:r>
          </w:p>
        </w:tc>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1.</w:t>
            </w:r>
            <w:r>
              <w:rPr>
                <w:rFonts w:hint="default" w:ascii="Times New Roman" w:hAnsi="Times New Roman" w:cs="Times New Roman"/>
                <w:color w:val="000000"/>
                <w:spacing w:val="0"/>
                <w:w w:val="100"/>
                <w:position w:val="0"/>
                <w:sz w:val="18"/>
                <w:szCs w:val="18"/>
              </w:rPr>
              <w:t>信访举报投诉类申请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4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2.</w:t>
            </w:r>
            <w:r>
              <w:rPr>
                <w:rFonts w:hint="default" w:ascii="Times New Roman" w:hAnsi="Times New Roman" w:cs="Times New Roman"/>
                <w:color w:val="000000"/>
                <w:spacing w:val="0"/>
                <w:w w:val="100"/>
                <w:position w:val="0"/>
                <w:sz w:val="18"/>
                <w:szCs w:val="18"/>
              </w:rPr>
              <w:t>重复申请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36"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40" w:lineRule="auto"/>
              <w:ind w:left="0" w:right="0" w:firstLine="0"/>
              <w:jc w:val="both"/>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3.</w:t>
            </w:r>
            <w:r>
              <w:rPr>
                <w:rFonts w:hint="default" w:ascii="Times New Roman" w:hAnsi="Times New Roman" w:cs="Times New Roman"/>
                <w:color w:val="000000"/>
                <w:spacing w:val="0"/>
                <w:w w:val="100"/>
                <w:position w:val="0"/>
                <w:sz w:val="18"/>
                <w:szCs w:val="18"/>
              </w:rPr>
              <w:t>要求提供公开出版物</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66"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93" w:lineRule="exact"/>
              <w:ind w:left="400" w:right="0" w:hanging="400"/>
              <w:jc w:val="left"/>
              <w:rPr>
                <w:rFonts w:hint="default" w:ascii="Times New Roman" w:hAnsi="Times New Roman" w:cs="Times New Roman"/>
                <w:sz w:val="18"/>
                <w:szCs w:val="18"/>
              </w:rPr>
            </w:pPr>
            <w:r>
              <w:rPr>
                <w:rFonts w:hint="default" w:ascii="Times New Roman" w:hAnsi="Times New Roman" w:eastAsia="Times New Roman" w:cs="Times New Roman"/>
                <w:color w:val="000000"/>
                <w:spacing w:val="0"/>
                <w:w w:val="100"/>
                <w:position w:val="0"/>
                <w:sz w:val="20"/>
                <w:szCs w:val="20"/>
                <w:lang w:val="en-US" w:eastAsia="en-US" w:bidi="en-US"/>
              </w:rPr>
              <w:t>4.</w:t>
            </w:r>
            <w:r>
              <w:rPr>
                <w:rFonts w:hint="default" w:ascii="Times New Roman" w:hAnsi="Times New Roman" w:cs="Times New Roman"/>
                <w:color w:val="000000"/>
                <w:spacing w:val="0"/>
                <w:w w:val="100"/>
                <w:position w:val="0"/>
                <w:sz w:val="18"/>
                <w:szCs w:val="18"/>
              </w:rPr>
              <w:t>无正当理由大量反复申请</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571"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vMerge w:val="continue"/>
            <w:tcBorders>
              <w:left w:val="single" w:color="auto" w:sz="4" w:space="0"/>
            </w:tcBorders>
            <w:shd w:val="clear" w:color="auto" w:fill="FFFFFF"/>
            <w:vAlign w:val="center"/>
          </w:tcPr>
          <w:p>
            <w:pPr>
              <w:rPr>
                <w:rFonts w:hint="default" w:ascii="Times New Roman" w:hAnsi="Times New Roman" w:cs="Times New Roman"/>
              </w:rPr>
            </w:pPr>
          </w:p>
        </w:tc>
        <w:tc>
          <w:tcPr>
            <w:tcBorders>
              <w:top w:val="single" w:color="auto" w:sz="4" w:space="0"/>
              <w:left w:val="single" w:color="auto" w:sz="4" w:space="0"/>
            </w:tcBorders>
            <w:shd w:val="clear" w:color="auto" w:fill="FFFFFF"/>
            <w:vAlign w:val="top"/>
          </w:tcPr>
          <w:p>
            <w:pPr>
              <w:pStyle w:val="7"/>
              <w:keepNext w:val="0"/>
              <w:keepLines w:val="0"/>
              <w:widowControl w:val="0"/>
              <w:shd w:val="clear" w:color="auto" w:fill="auto"/>
              <w:bidi w:val="0"/>
              <w:spacing w:before="0" w:after="0" w:line="278" w:lineRule="exact"/>
              <w:ind w:left="340" w:right="0" w:hanging="340"/>
              <w:jc w:val="left"/>
              <w:rPr>
                <w:rFonts w:hint="default" w:ascii="Times New Roman" w:hAnsi="Times New Roman" w:eastAsia="宋体" w:cs="Times New Roman"/>
                <w:sz w:val="18"/>
                <w:szCs w:val="18"/>
                <w:lang w:val="en-US" w:eastAsia="zh-CN"/>
              </w:rPr>
            </w:pPr>
            <w:r>
              <w:rPr>
                <w:rFonts w:hint="default" w:ascii="Times New Roman" w:hAnsi="Times New Roman" w:eastAsia="Times New Roman" w:cs="Times New Roman"/>
                <w:color w:val="000000"/>
                <w:spacing w:val="0"/>
                <w:w w:val="100"/>
                <w:position w:val="0"/>
                <w:sz w:val="20"/>
                <w:szCs w:val="20"/>
                <w:lang w:val="en-US" w:eastAsia="en-US" w:bidi="en-US"/>
              </w:rPr>
              <w:t>5.</w:t>
            </w:r>
            <w:r>
              <w:rPr>
                <w:rFonts w:hint="default" w:ascii="Times New Roman" w:hAnsi="Times New Roman" w:cs="Times New Roman"/>
                <w:color w:val="000000"/>
                <w:spacing w:val="0"/>
                <w:w w:val="100"/>
                <w:position w:val="0"/>
                <w:sz w:val="20"/>
                <w:szCs w:val="20"/>
                <w:lang w:val="en-US" w:eastAsia="zh-CN" w:bidi="en-US"/>
              </w:rPr>
              <w:t>要求行政机关确认或重新出具已获取信息</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4"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（六）其他处理</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398" w:hRule="exact"/>
          <w:jc w:val="center"/>
        </w:trPr>
        <w:tc>
          <w:tcPr>
            <w:vMerge w:val="continue"/>
            <w:tcBorders>
              <w:left w:val="single" w:color="auto" w:sz="4" w:space="0"/>
            </w:tcBorders>
            <w:shd w:val="clear" w:color="auto" w:fill="FFFFFF"/>
            <w:textDirection w:val="tbRlV"/>
            <w:vAlign w:val="center"/>
          </w:tcPr>
          <w:p>
            <w:pPr>
              <w:rPr>
                <w:rFonts w:hint="default" w:ascii="Times New Roman" w:hAnsi="Times New Roman" w:cs="Times New Roman"/>
              </w:rPr>
            </w:pPr>
          </w:p>
        </w:tc>
        <w:tc>
          <w:tcPr>
            <w:gridSpan w:val="2"/>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18"/>
                <w:szCs w:val="18"/>
              </w:rPr>
            </w:pPr>
            <w:r>
              <w:rPr>
                <w:rFonts w:hint="default" w:ascii="Times New Roman" w:hAnsi="Times New Roman" w:cs="Times New Roman"/>
                <w:color w:val="000000"/>
                <w:spacing w:val="0"/>
                <w:w w:val="100"/>
                <w:position w:val="0"/>
                <w:sz w:val="18"/>
                <w:szCs w:val="18"/>
              </w:rPr>
              <w:t>（七）总计</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r>
        <w:tblPrEx>
          <w:tblCellMar>
            <w:top w:w="0" w:type="dxa"/>
            <w:left w:w="10" w:type="dxa"/>
            <w:bottom w:w="0" w:type="dxa"/>
            <w:right w:w="10" w:type="dxa"/>
          </w:tblCellMar>
        </w:tblPrEx>
        <w:trPr>
          <w:trHeight w:val="466" w:hRule="exact"/>
          <w:jc w:val="center"/>
        </w:trPr>
        <w:tc>
          <w:tcPr>
            <w:gridSpan w:val="3"/>
            <w:tcBorders>
              <w:top w:val="single" w:color="auto" w:sz="4" w:space="0"/>
              <w:left w:val="single" w:color="auto" w:sz="4" w:space="0"/>
              <w:bottom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left"/>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四、结转下年度继续办理</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pStyle w:val="6"/>
        <w:keepNext w:val="0"/>
        <w:keepLines w:val="0"/>
        <w:pageBreakBefore w:val="0"/>
        <w:widowControl w:val="0"/>
        <w:shd w:val="clear" w:color="auto" w:fill="auto"/>
        <w:kinsoku/>
        <w:wordWrap/>
        <w:overflowPunct/>
        <w:topLinePunct w:val="0"/>
        <w:autoSpaceDE/>
        <w:autoSpaceDN/>
        <w:bidi w:val="0"/>
        <w:adjustRightInd/>
        <w:snapToGrid/>
        <w:spacing w:before="0" w:after="240" w:line="600" w:lineRule="exact"/>
        <w:ind w:left="0" w:right="0" w:firstLine="640" w:firstLineChars="200"/>
        <w:jc w:val="left"/>
        <w:textAlignment w:val="auto"/>
        <w:rPr>
          <w:rFonts w:hint="default" w:ascii="Times New Roman" w:hAnsi="Times New Roman" w:eastAsia="黑体" w:cs="Times New Roman"/>
          <w:sz w:val="32"/>
          <w:szCs w:val="32"/>
        </w:rPr>
      </w:pPr>
      <w:bookmarkStart w:id="0" w:name="bookmark21"/>
      <w:r>
        <w:rPr>
          <w:rFonts w:hint="default" w:ascii="Times New Roman" w:hAnsi="Times New Roman" w:eastAsia="黑体" w:cs="Times New Roman"/>
          <w:color w:val="000000"/>
          <w:spacing w:val="0"/>
          <w:w w:val="100"/>
          <w:position w:val="0"/>
          <w:sz w:val="32"/>
          <w:szCs w:val="32"/>
        </w:rPr>
        <w:t>四</w:t>
      </w:r>
      <w:bookmarkEnd w:id="0"/>
      <w:r>
        <w:rPr>
          <w:rFonts w:hint="default" w:ascii="Times New Roman" w:hAnsi="Times New Roman" w:eastAsia="黑体" w:cs="Times New Roman"/>
          <w:color w:val="000000"/>
          <w:spacing w:val="0"/>
          <w:w w:val="100"/>
          <w:position w:val="0"/>
          <w:sz w:val="32"/>
          <w:szCs w:val="32"/>
        </w:rPr>
        <w:t>、政府信息公开行政复议、行政诉讼情况</w:t>
      </w:r>
    </w:p>
    <w:tbl>
      <w:tblPr>
        <w:tblStyle w:val="4"/>
        <w:tblW w:w="0" w:type="auto"/>
        <w:jc w:val="center"/>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CellMar>
            <w:top w:w="0" w:type="dxa"/>
            <w:left w:w="10" w:type="dxa"/>
            <w:bottom w:w="0" w:type="dxa"/>
            <w:right w:w="10" w:type="dxa"/>
          </w:tblCellMar>
        </w:tblPrEx>
        <w:trPr>
          <w:trHeight w:val="466" w:hRule="exact"/>
          <w:jc w:val="center"/>
        </w:trPr>
        <w:tc>
          <w:tcPr>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行政复议</w:t>
            </w:r>
          </w:p>
        </w:tc>
        <w:tc>
          <w:tcPr>
            <w:gridSpan w:val="10"/>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行政诉讼</w:t>
            </w:r>
          </w:p>
        </w:tc>
      </w:tr>
      <w:tr>
        <w:tblPrEx>
          <w:tblCellMar>
            <w:top w:w="0" w:type="dxa"/>
            <w:left w:w="10" w:type="dxa"/>
            <w:bottom w:w="0" w:type="dxa"/>
            <w:right w:w="10" w:type="dxa"/>
          </w:tblCellMar>
        </w:tblPrEx>
        <w:trPr>
          <w:trHeight w:val="456" w:hRule="exact"/>
          <w:jc w:val="center"/>
        </w:trPr>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W w:w="624" w:type="dxa"/>
            <w:vMerge w:val="restart"/>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gridSpan w:val="5"/>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未经复议直接起诉</w:t>
            </w:r>
          </w:p>
        </w:tc>
        <w:tc>
          <w:tcPr>
            <w:gridSpan w:val="5"/>
            <w:tcBorders>
              <w:top w:val="single" w:color="auto" w:sz="4" w:space="0"/>
              <w:left w:val="single" w:color="auto" w:sz="4" w:space="0"/>
              <w:right w:val="single" w:color="auto" w:sz="4" w:space="0"/>
            </w:tcBorders>
            <w:shd w:val="clear" w:color="auto" w:fill="FFFFFF"/>
            <w:vAlign w:val="center"/>
          </w:tcPr>
          <w:p>
            <w:pPr>
              <w:pStyle w:val="7"/>
              <w:keepNext w:val="0"/>
              <w:keepLines w:val="0"/>
              <w:widowControl w:val="0"/>
              <w:shd w:val="clear" w:color="auto" w:fill="auto"/>
              <w:bidi w:val="0"/>
              <w:spacing w:before="0" w:after="0" w:line="240" w:lineRule="auto"/>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复议后起诉</w:t>
            </w:r>
          </w:p>
        </w:tc>
      </w:tr>
      <w:tr>
        <w:tblPrEx>
          <w:tblCellMar>
            <w:top w:w="0" w:type="dxa"/>
            <w:left w:w="10" w:type="dxa"/>
            <w:bottom w:w="0" w:type="dxa"/>
            <w:right w:w="10" w:type="dxa"/>
          </w:tblCellMar>
        </w:tblPrEx>
        <w:trPr>
          <w:trHeight w:val="850" w:hRule="exact"/>
          <w:jc w:val="center"/>
        </w:trPr>
        <w:tc>
          <w:tcPr>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624" w:type="dxa"/>
            <w:vMerge w:val="continue"/>
            <w:tcBorders>
              <w:left w:val="single" w:color="auto" w:sz="4" w:space="0"/>
            </w:tcBorders>
            <w:shd w:val="clear" w:color="auto" w:fill="FFFFFF"/>
            <w:vAlign w:val="center"/>
          </w:tcPr>
          <w:p>
            <w:pPr>
              <w:jc w:val="center"/>
              <w:rPr>
                <w:rFonts w:hint="default" w:ascii="Times New Roman" w:hAnsi="Times New Roman" w:cs="Times New Roman"/>
              </w:rPr>
            </w:pPr>
          </w:p>
        </w:tc>
        <w:tc>
          <w:tcPr>
            <w:tcW w:w="562" w:type="dxa"/>
            <w:vMerge w:val="continue"/>
            <w:tcBorders>
              <w:left w:val="single" w:color="auto" w:sz="4" w:space="0"/>
            </w:tcBorders>
            <w:shd w:val="clear" w:color="auto" w:fill="FFFFFF"/>
            <w:textDirection w:val="tbRlV"/>
            <w:vAlign w:val="center"/>
          </w:tcPr>
          <w:p>
            <w:pPr>
              <w:jc w:val="center"/>
              <w:rPr>
                <w:rFonts w:hint="default" w:ascii="Times New Roman" w:hAnsi="Times New Roman" w:cs="Times New Roman"/>
              </w:rPr>
            </w:pP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tcBorders>
            <w:shd w:val="clear" w:color="auto" w:fill="FFFFFF"/>
            <w:textDirection w:val="tbRlV"/>
            <w:vAlign w:val="center"/>
          </w:tcPr>
          <w:p>
            <w:pPr>
              <w:pStyle w:val="8"/>
              <w:keepNext w:val="0"/>
              <w:keepLines w:val="0"/>
              <w:widowControl w:val="0"/>
              <w:shd w:val="clear" w:color="auto" w:fill="auto"/>
              <w:bidi w:val="0"/>
              <w:spacing w:before="160" w:after="0" w:line="240" w:lineRule="auto"/>
              <w:ind w:left="0" w:right="0" w:firstLine="22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维持</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59"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结果 纠正</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其他 结果</w:t>
            </w:r>
          </w:p>
        </w:tc>
        <w:tc>
          <w:tcPr>
            <w:tcBorders>
              <w:top w:val="single" w:color="auto" w:sz="4" w:space="0"/>
              <w:left w:val="single" w:color="auto" w:sz="4" w:space="0"/>
            </w:tcBorders>
            <w:shd w:val="clear" w:color="auto" w:fill="FFFFFF"/>
            <w:vAlign w:val="center"/>
          </w:tcPr>
          <w:p>
            <w:pPr>
              <w:pStyle w:val="7"/>
              <w:keepNext w:val="0"/>
              <w:keepLines w:val="0"/>
              <w:widowControl w:val="0"/>
              <w:shd w:val="clear" w:color="auto" w:fill="auto"/>
              <w:bidi w:val="0"/>
              <w:spacing w:before="0" w:after="0" w:line="264" w:lineRule="exact"/>
              <w:ind w:left="0" w:right="0" w:firstLine="0"/>
              <w:jc w:val="center"/>
              <w:rPr>
                <w:rFonts w:hint="default" w:ascii="Times New Roman" w:hAnsi="Times New Roman" w:cs="Times New Roman"/>
                <w:sz w:val="20"/>
                <w:szCs w:val="20"/>
              </w:rPr>
            </w:pPr>
            <w:r>
              <w:rPr>
                <w:rFonts w:hint="default" w:ascii="Times New Roman" w:hAnsi="Times New Roman" w:cs="Times New Roman"/>
                <w:color w:val="000000"/>
                <w:spacing w:val="0"/>
                <w:w w:val="100"/>
                <w:position w:val="0"/>
                <w:sz w:val="20"/>
                <w:szCs w:val="20"/>
              </w:rPr>
              <w:t>尚未 审结</w:t>
            </w:r>
          </w:p>
        </w:tc>
        <w:tc>
          <w:tcPr>
            <w:tcBorders>
              <w:top w:val="single" w:color="auto" w:sz="4" w:space="0"/>
              <w:left w:val="single" w:color="auto" w:sz="4" w:space="0"/>
              <w:right w:val="single" w:color="auto" w:sz="4" w:space="0"/>
            </w:tcBorders>
            <w:shd w:val="clear" w:color="auto" w:fill="FFFFFF"/>
            <w:textDirection w:val="tbRlV"/>
            <w:vAlign w:val="center"/>
          </w:tcPr>
          <w:p>
            <w:pPr>
              <w:pStyle w:val="8"/>
              <w:keepNext w:val="0"/>
              <w:keepLines w:val="0"/>
              <w:widowControl w:val="0"/>
              <w:shd w:val="clear" w:color="auto" w:fill="auto"/>
              <w:bidi w:val="0"/>
              <w:spacing w:before="180" w:after="0" w:line="240" w:lineRule="auto"/>
              <w:ind w:left="0" w:right="0" w:firstLine="220"/>
              <w:jc w:val="center"/>
              <w:rPr>
                <w:rFonts w:hint="default" w:ascii="Times New Roman" w:hAnsi="Times New Roman" w:cs="Times New Roman"/>
              </w:rPr>
            </w:pPr>
            <w:r>
              <w:rPr>
                <w:rFonts w:hint="default" w:ascii="Times New Roman" w:hAnsi="Times New Roman" w:cs="Times New Roman"/>
                <w:color w:val="000000"/>
                <w:spacing w:val="0"/>
                <w:w w:val="100"/>
                <w:position w:val="0"/>
              </w:rPr>
              <w:t>总计</w:t>
            </w:r>
          </w:p>
        </w:tc>
      </w:tr>
      <w:tr>
        <w:tblPrEx>
          <w:tblCellMar>
            <w:top w:w="0" w:type="dxa"/>
            <w:left w:w="10" w:type="dxa"/>
            <w:bottom w:w="0" w:type="dxa"/>
            <w:right w:w="10" w:type="dxa"/>
          </w:tblCellMar>
        </w:tblPrEx>
        <w:trPr>
          <w:trHeight w:val="355" w:hRule="exact"/>
          <w:jc w:val="center"/>
        </w:trPr>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624"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W w:w="562" w:type="dxa"/>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widowControl w:val="0"/>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0</w:t>
            </w:r>
          </w:p>
        </w:tc>
      </w:tr>
    </w:tbl>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黑体" w:cs="Times New Roman"/>
          <w:sz w:val="32"/>
          <w:szCs w:val="32"/>
          <w:highlight w:val="none"/>
          <w:lang w:eastAsia="zh-CN"/>
        </w:rPr>
        <w:t xml:space="preserve">存在的主要问题及改进情况 </w:t>
      </w:r>
    </w:p>
    <w:p>
      <w:pPr>
        <w:keepNext w:val="0"/>
        <w:keepLines w:val="0"/>
        <w:pageBreakBefore w:val="0"/>
        <w:widowControl w:val="0"/>
        <w:numPr>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黑体" w:cs="Times New Roman"/>
          <w:sz w:val="32"/>
          <w:szCs w:val="32"/>
          <w:highlight w:val="none"/>
          <w:lang w:eastAsia="zh-CN"/>
        </w:rPr>
      </w:pPr>
      <w:r>
        <w:rPr>
          <w:rFonts w:hint="default" w:ascii="Times New Roman" w:hAnsi="Times New Roman" w:eastAsia="仿宋_GB2312" w:cs="Times New Roman"/>
          <w:sz w:val="32"/>
          <w:szCs w:val="32"/>
          <w:highlight w:val="none"/>
          <w:lang w:eastAsia="zh-CN"/>
        </w:rPr>
        <w:t>我局政府信息公开工作运行状况良好，但也有些不足之处，如个别信息公开不够及时。下一步，我局将严格按照国家、省、市、</w:t>
      </w:r>
      <w:r>
        <w:rPr>
          <w:rFonts w:hint="default" w:ascii="Times New Roman" w:hAnsi="Times New Roman" w:eastAsia="仿宋_GB2312" w:cs="Times New Roman"/>
          <w:sz w:val="32"/>
          <w:szCs w:val="32"/>
          <w:highlight w:val="none"/>
          <w:lang w:val="en-US" w:eastAsia="zh-CN"/>
        </w:rPr>
        <w:t>区</w:t>
      </w:r>
      <w:r>
        <w:rPr>
          <w:rFonts w:hint="default" w:ascii="Times New Roman" w:hAnsi="Times New Roman" w:eastAsia="仿宋_GB2312" w:cs="Times New Roman"/>
          <w:sz w:val="32"/>
          <w:szCs w:val="32"/>
          <w:highlight w:val="none"/>
          <w:lang w:eastAsia="zh-CN"/>
        </w:rPr>
        <w:t>政府信息公开的有关要求，进一步加强政府信息公开的宣传教育，完善信息公开载体，提高信息公开水平，全面规范及时公开政府信息。</w:t>
      </w:r>
    </w:p>
    <w:p>
      <w:pPr>
        <w:keepNext w:val="0"/>
        <w:keepLines w:val="0"/>
        <w:pageBreakBefore w:val="0"/>
        <w:widowControl w:val="0"/>
        <w:numPr>
          <w:ilvl w:val="0"/>
          <w:numId w:val="2"/>
        </w:numPr>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 xml:space="preserve">其他需要报告的事项 </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1.政府信息公开申请收费情况。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本年度我单位依申请公开政府信息未收取任何费用。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方正楷体_GB2312" w:cs="Times New Roman"/>
          <w:b/>
          <w:bCs/>
          <w:sz w:val="32"/>
          <w:szCs w:val="32"/>
          <w:lang w:val="en-US" w:eastAsia="zh-CN"/>
        </w:rPr>
      </w:pPr>
      <w:r>
        <w:rPr>
          <w:rFonts w:hint="default" w:ascii="Times New Roman" w:hAnsi="Times New Roman" w:eastAsia="楷体_GB2312" w:cs="Times New Roman"/>
          <w:b/>
          <w:bCs/>
          <w:sz w:val="32"/>
          <w:szCs w:val="32"/>
          <w:highlight w:val="none"/>
          <w:lang w:val="en-US" w:eastAsia="zh-CN"/>
        </w:rPr>
        <w:t>2.落实环翠区2022年度政务公开工作要点情况。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bCs/>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202</w:t>
      </w:r>
      <w:r>
        <w:rPr>
          <w:rFonts w:hint="default" w:ascii="Times New Roman" w:hAnsi="Times New Roman" w:eastAsia="仿宋_GB2312" w:cs="Times New Roman"/>
          <w:b w:val="0"/>
          <w:bCs w:val="0"/>
          <w:sz w:val="32"/>
          <w:szCs w:val="32"/>
          <w:highlight w:val="none"/>
          <w:lang w:val="en-US" w:eastAsia="zh-CN"/>
        </w:rPr>
        <w:t>2</w:t>
      </w:r>
      <w:r>
        <w:rPr>
          <w:rFonts w:hint="default" w:ascii="Times New Roman" w:hAnsi="Times New Roman" w:eastAsia="仿宋_GB2312" w:cs="Times New Roman"/>
          <w:b w:val="0"/>
          <w:bCs w:val="0"/>
          <w:sz w:val="32"/>
          <w:szCs w:val="32"/>
          <w:highlight w:val="none"/>
          <w:lang w:val="en-US" w:eastAsia="zh-CN"/>
        </w:rPr>
        <w:t>年，我局高度重视政府信息公开工作，严格按照上级年度政务公开工作部署要求，安排专人参加政务公开培训，根据上级年度政务公开工作要点，及时对稳岗就业等内容进行公开。</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highlight w:val="none"/>
          <w:lang w:val="en-US" w:eastAsia="zh-CN"/>
        </w:rPr>
      </w:pPr>
      <w:r>
        <w:rPr>
          <w:rFonts w:hint="default" w:ascii="Times New Roman" w:hAnsi="Times New Roman" w:eastAsia="楷体_GB2312" w:cs="Times New Roman"/>
          <w:b/>
          <w:bCs/>
          <w:sz w:val="32"/>
          <w:szCs w:val="32"/>
          <w:highlight w:val="none"/>
          <w:lang w:val="en-US" w:eastAsia="zh-CN"/>
        </w:rPr>
        <w:t>3.人大代表建议、政协委员提案办理情况。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2022年，我局共收到人大代表建议</w:t>
      </w:r>
      <w:r>
        <w:rPr>
          <w:rFonts w:hint="default" w:ascii="Times New Roman" w:hAnsi="Times New Roman" w:eastAsia="仿宋_GB2312" w:cs="Times New Roman"/>
          <w:b w:val="0"/>
          <w:bCs w:val="0"/>
          <w:sz w:val="32"/>
          <w:szCs w:val="32"/>
          <w:lang w:val="en-US" w:eastAsia="zh-CN"/>
        </w:rPr>
        <w:t>1</w:t>
      </w:r>
      <w:r>
        <w:rPr>
          <w:rFonts w:hint="default" w:ascii="Times New Roman" w:hAnsi="Times New Roman" w:eastAsia="仿宋_GB2312" w:cs="Times New Roman"/>
          <w:b w:val="0"/>
          <w:bCs w:val="0"/>
          <w:sz w:val="32"/>
          <w:szCs w:val="32"/>
          <w:lang w:val="en-US" w:eastAsia="zh-CN"/>
        </w:rPr>
        <w:t>件、政协委员提案</w:t>
      </w:r>
      <w:r>
        <w:rPr>
          <w:rFonts w:hint="default" w:ascii="Times New Roman" w:hAnsi="Times New Roman" w:eastAsia="仿宋_GB2312" w:cs="Times New Roman"/>
          <w:b w:val="0"/>
          <w:bCs w:val="0"/>
          <w:sz w:val="32"/>
          <w:szCs w:val="32"/>
          <w:lang w:val="en-US" w:eastAsia="zh-CN"/>
        </w:rPr>
        <w:t>0</w:t>
      </w:r>
      <w:r>
        <w:rPr>
          <w:rFonts w:hint="default" w:ascii="Times New Roman" w:hAnsi="Times New Roman" w:eastAsia="仿宋_GB2312" w:cs="Times New Roman"/>
          <w:b w:val="0"/>
          <w:bCs w:val="0"/>
          <w:sz w:val="32"/>
          <w:szCs w:val="32"/>
          <w:lang w:val="en-US" w:eastAsia="zh-CN"/>
        </w:rPr>
        <w:t>件，办理结果已于202</w:t>
      </w:r>
      <w:r>
        <w:rPr>
          <w:rFonts w:hint="default" w:ascii="Times New Roman" w:hAnsi="Times New Roman" w:eastAsia="仿宋_GB2312" w:cs="Times New Roman"/>
          <w:b w:val="0"/>
          <w:bCs w:val="0"/>
          <w:sz w:val="32"/>
          <w:szCs w:val="32"/>
          <w:lang w:val="en-US" w:eastAsia="zh-CN"/>
        </w:rPr>
        <w:t>2</w:t>
      </w:r>
      <w:r>
        <w:rPr>
          <w:rFonts w:hint="default" w:ascii="Times New Roman" w:hAnsi="Times New Roman" w:eastAsia="仿宋_GB2312" w:cs="Times New Roman"/>
          <w:b w:val="0"/>
          <w:bCs w:val="0"/>
          <w:sz w:val="32"/>
          <w:szCs w:val="32"/>
          <w:lang w:val="en-US" w:eastAsia="zh-CN"/>
        </w:rPr>
        <w:t>年</w:t>
      </w:r>
      <w:r>
        <w:rPr>
          <w:rFonts w:hint="default" w:ascii="Times New Roman" w:hAnsi="Times New Roman" w:eastAsia="仿宋_GB2312" w:cs="Times New Roman"/>
          <w:b w:val="0"/>
          <w:bCs w:val="0"/>
          <w:sz w:val="32"/>
          <w:szCs w:val="32"/>
          <w:lang w:val="en-US" w:eastAsia="zh-CN"/>
        </w:rPr>
        <w:t>5</w:t>
      </w:r>
      <w:r>
        <w:rPr>
          <w:rFonts w:hint="default" w:ascii="Times New Roman" w:hAnsi="Times New Roman" w:eastAsia="仿宋_GB2312" w:cs="Times New Roman"/>
          <w:b w:val="0"/>
          <w:bCs w:val="0"/>
          <w:sz w:val="32"/>
          <w:szCs w:val="32"/>
          <w:lang w:val="en-US" w:eastAsia="zh-CN"/>
        </w:rPr>
        <w:t>月</w:t>
      </w:r>
      <w:r>
        <w:rPr>
          <w:rFonts w:hint="default" w:ascii="Times New Roman" w:hAnsi="Times New Roman" w:eastAsia="仿宋_GB2312" w:cs="Times New Roman"/>
          <w:b w:val="0"/>
          <w:bCs w:val="0"/>
          <w:sz w:val="32"/>
          <w:szCs w:val="32"/>
          <w:lang w:val="en-US" w:eastAsia="zh-CN"/>
        </w:rPr>
        <w:t>6日</w:t>
      </w:r>
      <w:r>
        <w:rPr>
          <w:rFonts w:hint="default" w:ascii="Times New Roman" w:hAnsi="Times New Roman" w:eastAsia="仿宋_GB2312" w:cs="Times New Roman"/>
          <w:b w:val="0"/>
          <w:bCs w:val="0"/>
          <w:sz w:val="32"/>
          <w:szCs w:val="32"/>
          <w:lang w:val="en-US" w:eastAsia="zh-CN"/>
        </w:rPr>
        <w:t>在网站公布。</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4.政务公开工作创新情况。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color w:val="FF0000"/>
          <w:sz w:val="32"/>
          <w:szCs w:val="32"/>
          <w:lang w:val="en-US" w:eastAsia="zh-CN"/>
        </w:rPr>
      </w:pP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一是定时更新，坚决避免出现</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政务</w:t>
      </w:r>
      <w:bookmarkStart w:id="1" w:name="_GoBack"/>
      <w:bookmarkEnd w:id="1"/>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新媒体信息更新不及时、不准确等问题。二是管好用好新媒体。按照“谁主管谁负责、谁发布谁负责”的原则，切实把政务新媒体建设好、利用好、管理好。推动政务新媒体从“给领导看”转变为“给群众用”，努力把政务新媒体办成百姓喜闻乐见的沟通和办事渠道。</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楷体_GB2312" w:cs="Times New Roman"/>
          <w:b/>
          <w:bCs/>
          <w:sz w:val="32"/>
          <w:szCs w:val="32"/>
          <w:lang w:val="en-US" w:eastAsia="zh-CN"/>
        </w:rPr>
      </w:pPr>
      <w:r>
        <w:rPr>
          <w:rFonts w:hint="default" w:ascii="Times New Roman" w:hAnsi="Times New Roman" w:eastAsia="楷体_GB2312" w:cs="Times New Roman"/>
          <w:b/>
          <w:bCs/>
          <w:sz w:val="32"/>
          <w:szCs w:val="32"/>
          <w:lang w:val="en-US" w:eastAsia="zh-CN"/>
        </w:rPr>
        <w:t>5.</w:t>
      </w:r>
      <w:r>
        <w:rPr>
          <w:rFonts w:hint="default" w:ascii="Times New Roman" w:hAnsi="Times New Roman" w:eastAsia="楷体_GB2312" w:cs="Times New Roman"/>
          <w:b/>
          <w:bCs/>
          <w:sz w:val="32"/>
          <w:szCs w:val="32"/>
          <w:lang w:val="en-US" w:eastAsia="zh-CN"/>
        </w:rPr>
        <w:t>所属事业单位信息公开工作情况</w:t>
      </w:r>
      <w:r>
        <w:rPr>
          <w:rFonts w:hint="default" w:ascii="Times New Roman" w:hAnsi="Times New Roman" w:eastAsia="楷体_GB2312" w:cs="Times New Roman"/>
          <w:b/>
          <w:bCs/>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lang w:val="en-US" w:eastAsia="zh-CN"/>
        </w:rPr>
      </w:pPr>
      <w:r>
        <w:rPr>
          <w:rFonts w:hint="default" w:ascii="Times New Roman" w:hAnsi="Times New Roman" w:eastAsia="仿宋_GB2312" w:cs="Times New Roman"/>
          <w:b w:val="0"/>
          <w:bCs w:val="0"/>
          <w:sz w:val="32"/>
          <w:szCs w:val="32"/>
          <w:lang w:val="en-US" w:eastAsia="zh-CN"/>
        </w:rPr>
        <w:t>所属事业单位包括威海市军队离退休干部休养所、威海市第二军休所、威海市环翠区双拥服务中心、威海市环翠区退役军人服务中心，</w:t>
      </w:r>
      <w:r>
        <w:rPr>
          <w:rFonts w:hint="default" w:ascii="Times New Roman" w:hAnsi="Times New Roman" w:eastAsia="仿宋_GB2312" w:cs="Times New Roman"/>
          <w:b w:val="0"/>
          <w:bCs w:val="0"/>
          <w:sz w:val="32"/>
          <w:szCs w:val="32"/>
          <w:lang w:val="en-US" w:eastAsia="zh-CN"/>
        </w:rPr>
        <w:t>四个单位均根据区退役军人事务局统一要求，</w:t>
      </w:r>
      <w:r>
        <w:rPr>
          <w:rFonts w:hint="default" w:ascii="Times New Roman" w:hAnsi="Times New Roman" w:eastAsia="仿宋_GB2312" w:cs="Times New Roman"/>
          <w:b w:val="0"/>
          <w:bCs w:val="0"/>
          <w:sz w:val="32"/>
          <w:szCs w:val="32"/>
          <w:lang w:val="en-US" w:eastAsia="zh-CN"/>
        </w:rPr>
        <w:t>严格落实政府信息公开相关工作制度，规范有序推进信息公开工作，及时在环翠政务网统计专栏上发布信息。</w:t>
      </w:r>
    </w:p>
    <w:sectPr>
      <w:footerReference r:id="rId3" w:type="default"/>
      <w:pgSz w:w="11906" w:h="16838"/>
      <w:pgMar w:top="1701" w:right="1418" w:bottom="1701" w:left="141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5FA5215-92E0-4823-8C2E-F13B4D19BFD9}"/>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00000000000000000"/>
    <w:charset w:val="86"/>
    <w:family w:val="auto"/>
    <w:pitch w:val="default"/>
    <w:sig w:usb0="00000001" w:usb1="08000000" w:usb2="00000000" w:usb3="00000000" w:csb0="00040000" w:csb1="00000000"/>
    <w:embedRegular r:id="rId2" w:fontKey="{67E73B92-2AA1-4C76-B7E6-6234117804BB}"/>
  </w:font>
  <w:font w:name="仿宋_GB2312">
    <w:panose1 w:val="02010609030101010101"/>
    <w:charset w:val="86"/>
    <w:family w:val="auto"/>
    <w:pitch w:val="default"/>
    <w:sig w:usb0="00000001" w:usb1="080E0000" w:usb2="00000000" w:usb3="00000000" w:csb0="00040000" w:csb1="00000000"/>
    <w:embedRegular r:id="rId3" w:fontKey="{8C117FF6-EABC-4A75-8017-4FA7E85A0677}"/>
  </w:font>
  <w:font w:name="楷体_GB2312">
    <w:panose1 w:val="02010609030101010101"/>
    <w:charset w:val="86"/>
    <w:family w:val="auto"/>
    <w:pitch w:val="default"/>
    <w:sig w:usb0="00000001" w:usb1="080E0000" w:usb2="00000000" w:usb3="00000000" w:csb0="00040000" w:csb1="00000000"/>
    <w:embedRegular r:id="rId4" w:fontKey="{187A8BB6-974D-4402-9043-DB42885C3326}"/>
  </w:font>
  <w:font w:name="方正楷体_GB2312">
    <w:panose1 w:val="02000000000000000000"/>
    <w:charset w:val="86"/>
    <w:family w:val="auto"/>
    <w:pitch w:val="default"/>
    <w:sig w:usb0="A00002BF" w:usb1="184F6CFA" w:usb2="00000012" w:usb3="00000000" w:csb0="00040001" w:csb1="00000000"/>
    <w:embedRegular r:id="rId5" w:fontKey="{B69D54E7-4EB9-4CBB-BF4A-DEB27F16DF3E}"/>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BAAFF5"/>
    <w:multiLevelType w:val="singleLevel"/>
    <w:tmpl w:val="89BAAFF5"/>
    <w:lvl w:ilvl="0" w:tentative="0">
      <w:start w:val="1"/>
      <w:numFmt w:val="chineseCounting"/>
      <w:suff w:val="nothing"/>
      <w:lvlText w:val="%1、"/>
      <w:lvlJc w:val="left"/>
      <w:rPr>
        <w:rFonts w:hint="eastAsia"/>
      </w:rPr>
    </w:lvl>
  </w:abstractNum>
  <w:abstractNum w:abstractNumId="1">
    <w:nsid w:val="A8ABE86A"/>
    <w:multiLevelType w:val="singleLevel"/>
    <w:tmpl w:val="A8ABE86A"/>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QyNzM3MTk5NTIzMGJjNGY1NmM3MDQzY2FiZjliZjUifQ=="/>
  </w:docVars>
  <w:rsids>
    <w:rsidRoot w:val="00000000"/>
    <w:rsid w:val="0008361F"/>
    <w:rsid w:val="00D23242"/>
    <w:rsid w:val="00F0308A"/>
    <w:rsid w:val="013577AC"/>
    <w:rsid w:val="01C92466"/>
    <w:rsid w:val="03392D36"/>
    <w:rsid w:val="0463118C"/>
    <w:rsid w:val="04C2468E"/>
    <w:rsid w:val="0501370E"/>
    <w:rsid w:val="05BC550E"/>
    <w:rsid w:val="062326B9"/>
    <w:rsid w:val="06B807E5"/>
    <w:rsid w:val="07413183"/>
    <w:rsid w:val="07B77D29"/>
    <w:rsid w:val="082E105B"/>
    <w:rsid w:val="09030A93"/>
    <w:rsid w:val="0A5E16A3"/>
    <w:rsid w:val="0B2E5519"/>
    <w:rsid w:val="0B455CD1"/>
    <w:rsid w:val="0C636DD8"/>
    <w:rsid w:val="0D6E7E4F"/>
    <w:rsid w:val="0D9F5A17"/>
    <w:rsid w:val="142357A8"/>
    <w:rsid w:val="142D3CA5"/>
    <w:rsid w:val="1469518A"/>
    <w:rsid w:val="15072425"/>
    <w:rsid w:val="169A6998"/>
    <w:rsid w:val="19334076"/>
    <w:rsid w:val="199D5F29"/>
    <w:rsid w:val="1A91517D"/>
    <w:rsid w:val="1ABC2A04"/>
    <w:rsid w:val="1BCE4B75"/>
    <w:rsid w:val="1DAF0231"/>
    <w:rsid w:val="1EE135F3"/>
    <w:rsid w:val="1FC77D4B"/>
    <w:rsid w:val="20A333BA"/>
    <w:rsid w:val="21A50B34"/>
    <w:rsid w:val="22587648"/>
    <w:rsid w:val="241D650E"/>
    <w:rsid w:val="242C1780"/>
    <w:rsid w:val="261D0FA9"/>
    <w:rsid w:val="2784713D"/>
    <w:rsid w:val="278A3680"/>
    <w:rsid w:val="27AF470B"/>
    <w:rsid w:val="295B49DC"/>
    <w:rsid w:val="295E4994"/>
    <w:rsid w:val="2BB35523"/>
    <w:rsid w:val="2CB4622E"/>
    <w:rsid w:val="2CBE62A5"/>
    <w:rsid w:val="2E493C90"/>
    <w:rsid w:val="2E62595A"/>
    <w:rsid w:val="2EFD5413"/>
    <w:rsid w:val="31254D9C"/>
    <w:rsid w:val="324C7EAF"/>
    <w:rsid w:val="32F04CDF"/>
    <w:rsid w:val="36772C3A"/>
    <w:rsid w:val="369616B9"/>
    <w:rsid w:val="37DD091B"/>
    <w:rsid w:val="38BD1B07"/>
    <w:rsid w:val="39383221"/>
    <w:rsid w:val="39974DB1"/>
    <w:rsid w:val="3A1157B7"/>
    <w:rsid w:val="3B3C4D37"/>
    <w:rsid w:val="408D2B4F"/>
    <w:rsid w:val="41195BFF"/>
    <w:rsid w:val="413279EE"/>
    <w:rsid w:val="42CA37F1"/>
    <w:rsid w:val="43FC3E73"/>
    <w:rsid w:val="454E44B9"/>
    <w:rsid w:val="45AE06B3"/>
    <w:rsid w:val="4A487FDE"/>
    <w:rsid w:val="4B456772"/>
    <w:rsid w:val="4B6650BF"/>
    <w:rsid w:val="4C246A68"/>
    <w:rsid w:val="4DC04BAC"/>
    <w:rsid w:val="4E4D546F"/>
    <w:rsid w:val="4FCE4806"/>
    <w:rsid w:val="500E459E"/>
    <w:rsid w:val="50191771"/>
    <w:rsid w:val="50AE6CAE"/>
    <w:rsid w:val="515416D5"/>
    <w:rsid w:val="51C85A81"/>
    <w:rsid w:val="52065E75"/>
    <w:rsid w:val="53D10A00"/>
    <w:rsid w:val="540957A8"/>
    <w:rsid w:val="55DE6E82"/>
    <w:rsid w:val="55FD30EB"/>
    <w:rsid w:val="58E92FBE"/>
    <w:rsid w:val="5A6266B0"/>
    <w:rsid w:val="5BA529F7"/>
    <w:rsid w:val="5BFF8664"/>
    <w:rsid w:val="5C8000FD"/>
    <w:rsid w:val="5C964BFE"/>
    <w:rsid w:val="5D5812EC"/>
    <w:rsid w:val="5E07266A"/>
    <w:rsid w:val="5E1E349F"/>
    <w:rsid w:val="5F3376FB"/>
    <w:rsid w:val="5FFC638B"/>
    <w:rsid w:val="60B511B4"/>
    <w:rsid w:val="629616EA"/>
    <w:rsid w:val="63EF49BB"/>
    <w:rsid w:val="674B0E3B"/>
    <w:rsid w:val="68735867"/>
    <w:rsid w:val="68D26659"/>
    <w:rsid w:val="6A8E549C"/>
    <w:rsid w:val="6B856C99"/>
    <w:rsid w:val="6BF055A8"/>
    <w:rsid w:val="6EBB79A1"/>
    <w:rsid w:val="70330580"/>
    <w:rsid w:val="711B17F7"/>
    <w:rsid w:val="734D3842"/>
    <w:rsid w:val="75066E2C"/>
    <w:rsid w:val="7705155A"/>
    <w:rsid w:val="77C22EDF"/>
    <w:rsid w:val="78066F6E"/>
    <w:rsid w:val="7A4153ED"/>
    <w:rsid w:val="7A601A23"/>
    <w:rsid w:val="7ABE6A3D"/>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Body text|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7">
    <w:name w:val="Other|1"/>
    <w:basedOn w:val="1"/>
    <w:qFormat/>
    <w:uiPriority w:val="0"/>
    <w:pPr>
      <w:widowControl w:val="0"/>
      <w:shd w:val="clear" w:color="auto" w:fill="auto"/>
      <w:spacing w:line="413" w:lineRule="auto"/>
      <w:ind w:firstLine="400"/>
    </w:pPr>
    <w:rPr>
      <w:rFonts w:ascii="宋体" w:hAnsi="宋体" w:eastAsia="宋体" w:cs="宋体"/>
      <w:sz w:val="30"/>
      <w:szCs w:val="30"/>
      <w:u w:val="none"/>
      <w:shd w:val="clear" w:color="auto" w:fill="auto"/>
      <w:lang w:val="zh-TW" w:eastAsia="zh-TW" w:bidi="zh-TW"/>
    </w:rPr>
  </w:style>
  <w:style w:type="paragraph" w:customStyle="1" w:styleId="8">
    <w:name w:val="Other|2"/>
    <w:basedOn w:val="1"/>
    <w:qFormat/>
    <w:uiPriority w:val="0"/>
    <w:pPr>
      <w:widowControl w:val="0"/>
      <w:shd w:val="clear" w:color="auto" w:fill="auto"/>
      <w:spacing w:before="80"/>
      <w:ind w:firstLine="11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2377</Words>
  <Characters>2511</Characters>
  <Lines>0</Lines>
  <Paragraphs>0</Paragraphs>
  <TotalTime>112</TotalTime>
  <ScaleCrop>false</ScaleCrop>
  <LinksUpToDate>false</LinksUpToDate>
  <CharactersWithSpaces>2533</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大圣忘戴紧箍咒</cp:lastModifiedBy>
  <dcterms:modified xsi:type="dcterms:W3CDTF">2023-01-04T08:44:04Z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4C2F17F809A5480A8476708298979278</vt:lpwstr>
  </property>
</Properties>
</file>