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ind w:right="0" w:rightChars="0"/>
        <w:jc w:val="both"/>
        <w:textAlignment w:val="auto"/>
        <w:rPr>
          <w:color w:val="auto"/>
        </w:rPr>
      </w:pPr>
      <w:bookmarkStart w:id="0" w:name="_GoBack"/>
      <w:bookmarkEnd w:id="0"/>
    </w:p>
    <w:tbl>
      <w:tblPr>
        <w:tblStyle w:val="10"/>
        <w:tblW w:w="15359" w:type="dxa"/>
        <w:tblInd w:w="675" w:type="dxa"/>
        <w:tblLayout w:type="fixed"/>
        <w:tblCellMar>
          <w:top w:w="0" w:type="dxa"/>
          <w:left w:w="108" w:type="dxa"/>
          <w:bottom w:w="0" w:type="dxa"/>
          <w:right w:w="108" w:type="dxa"/>
        </w:tblCellMar>
      </w:tblPr>
      <w:tblGrid>
        <w:gridCol w:w="1276"/>
        <w:gridCol w:w="9284"/>
        <w:gridCol w:w="2295"/>
        <w:gridCol w:w="2504"/>
      </w:tblGrid>
      <w:tr>
        <w:tblPrEx>
          <w:tblCellMar>
            <w:top w:w="0" w:type="dxa"/>
            <w:left w:w="108" w:type="dxa"/>
            <w:bottom w:w="0" w:type="dxa"/>
            <w:right w:w="108" w:type="dxa"/>
          </w:tblCellMar>
        </w:tblPrEx>
        <w:trPr>
          <w:trHeight w:val="915" w:hRule="atLeast"/>
        </w:trPr>
        <w:tc>
          <w:tcPr>
            <w:tcW w:w="15359" w:type="dxa"/>
            <w:gridSpan w:val="4"/>
            <w:tcBorders>
              <w:top w:val="nil"/>
              <w:left w:val="nil"/>
              <w:bottom w:val="single" w:color="auto" w:sz="4" w:space="0"/>
              <w:right w:val="nil"/>
            </w:tcBorders>
            <w:shd w:val="clear" w:color="auto" w:fill="auto"/>
            <w:vAlign w:val="center"/>
          </w:tcPr>
          <w:p>
            <w:pPr>
              <w:keepNext w:val="0"/>
              <w:keepLines w:val="0"/>
              <w:pageBreakBefore w:val="0"/>
              <w:widowControl/>
              <w:kinsoku/>
              <w:wordWrap/>
              <w:overflowPunct/>
              <w:topLinePunct w:val="0"/>
              <w:autoSpaceDE/>
              <w:autoSpaceDN/>
              <w:bidi w:val="0"/>
              <w:snapToGrid/>
              <w:spacing w:line="400" w:lineRule="exact"/>
              <w:ind w:left="0" w:leftChars="0" w:right="0" w:rightChars="0" w:firstLine="0" w:firstLineChars="0"/>
              <w:jc w:val="left"/>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附件</w:t>
            </w:r>
          </w:p>
          <w:p>
            <w:pPr>
              <w:keepNext w:val="0"/>
              <w:keepLines w:val="0"/>
              <w:pageBreakBefore w:val="0"/>
              <w:widowControl/>
              <w:kinsoku/>
              <w:wordWrap/>
              <w:overflowPunct/>
              <w:topLinePunct w:val="0"/>
              <w:autoSpaceDE/>
              <w:autoSpaceDN/>
              <w:bidi w:val="0"/>
              <w:snapToGrid/>
              <w:spacing w:line="400" w:lineRule="exact"/>
              <w:ind w:left="0" w:leftChars="0" w:right="0" w:rightChars="0" w:firstLine="0" w:firstLineChars="0"/>
              <w:jc w:val="center"/>
              <w:textAlignment w:val="auto"/>
              <w:outlineLvl w:val="9"/>
              <w:rPr>
                <w:rFonts w:hint="eastAsia" w:ascii="文星简小标宋" w:hAnsi="文星简小标宋" w:eastAsia="文星简小标宋" w:cs="文星简小标宋"/>
                <w:color w:val="auto"/>
                <w:sz w:val="44"/>
                <w:szCs w:val="44"/>
              </w:rPr>
            </w:pPr>
            <w:r>
              <w:rPr>
                <w:rFonts w:hint="eastAsia" w:ascii="文星简小标宋" w:hAnsi="文星简小标宋" w:eastAsia="文星简小标宋" w:cs="文星简小标宋"/>
                <w:color w:val="auto"/>
                <w:sz w:val="44"/>
                <w:szCs w:val="44"/>
              </w:rPr>
              <w:t>环翠区建设职业教育创新发展高地任务清单</w:t>
            </w:r>
          </w:p>
          <w:p>
            <w:pPr>
              <w:pStyle w:val="2"/>
              <w:keepNext w:val="0"/>
              <w:keepLines w:val="0"/>
              <w:pageBreakBefore w:val="0"/>
              <w:kinsoku/>
              <w:wordWrap/>
              <w:overflowPunct/>
              <w:topLinePunct w:val="0"/>
              <w:bidi w:val="0"/>
              <w:snapToGrid/>
              <w:spacing w:line="400" w:lineRule="exact"/>
              <w:ind w:left="0" w:leftChars="0" w:right="0" w:rightChars="0" w:firstLine="0" w:firstLineChars="0"/>
              <w:textAlignment w:val="auto"/>
              <w:outlineLvl w:val="9"/>
              <w:rPr>
                <w:rFonts w:hint="eastAsia" w:ascii="文星简小标宋" w:hAnsi="文星简小标宋" w:eastAsia="文星简小标宋" w:cs="文星简小标宋"/>
                <w:color w:val="auto"/>
                <w:sz w:val="44"/>
                <w:szCs w:val="44"/>
              </w:rPr>
            </w:pPr>
          </w:p>
        </w:tc>
      </w:tr>
      <w:tr>
        <w:tblPrEx>
          <w:tblCellMar>
            <w:top w:w="0" w:type="dxa"/>
            <w:left w:w="108" w:type="dxa"/>
            <w:bottom w:w="0" w:type="dxa"/>
            <w:right w:w="108" w:type="dxa"/>
          </w:tblCellMar>
        </w:tblPrEx>
        <w:trPr>
          <w:trHeight w:val="81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序号</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任务内容</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牵头单位</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责任单位</w:t>
            </w:r>
          </w:p>
        </w:tc>
      </w:tr>
      <w:tr>
        <w:tblPrEx>
          <w:tblCellMar>
            <w:top w:w="0" w:type="dxa"/>
            <w:left w:w="108" w:type="dxa"/>
            <w:bottom w:w="0" w:type="dxa"/>
            <w:right w:w="108" w:type="dxa"/>
          </w:tblCellMar>
        </w:tblPrEx>
        <w:trPr>
          <w:trHeight w:val="117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1</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加强实训设施建设、专业规划、“双师型”教师队伍提升，2022年达到国家办学标准。</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区发改局、区工业和信息化局、区人力资源社会保障局</w:t>
            </w:r>
          </w:p>
        </w:tc>
      </w:tr>
      <w:tr>
        <w:tblPrEx>
          <w:tblCellMar>
            <w:top w:w="0" w:type="dxa"/>
            <w:left w:w="108" w:type="dxa"/>
            <w:bottom w:w="0" w:type="dxa"/>
            <w:right w:w="108" w:type="dxa"/>
          </w:tblCellMar>
        </w:tblPrEx>
        <w:trPr>
          <w:trHeight w:val="126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2</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建立职业学校面向社会培训的体制机制，不断拓展培训范围，以优质职业教育带动社区教育，服务终身教育。鼓励企业向职业学校购买培训服务，共建职工培训基地，联合开展职工技能竞赛、上岗、转岗、技术技能等在岗培训和职业技能等级评价。</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区农业农村局、区退役军人局</w:t>
            </w:r>
          </w:p>
        </w:tc>
      </w:tr>
      <w:tr>
        <w:tblPrEx>
          <w:tblCellMar>
            <w:top w:w="0" w:type="dxa"/>
            <w:left w:w="108" w:type="dxa"/>
            <w:bottom w:w="0" w:type="dxa"/>
            <w:right w:w="108" w:type="dxa"/>
          </w:tblCellMar>
        </w:tblPrEx>
        <w:trPr>
          <w:trHeight w:val="166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3</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落实《威海市产教融合型企业认定办法》，推行产教融合型企业认证制度，支持企业积极参与国家职业教育产教融合试点。落实“金融+财政+土地+信用”组合式激励政策，自2019年1月1日起，对纳入产教融合型企业建设培育范围的试点企业，举办职业教育的投资符合规定的，可按投资额的 30%比例，抵免该企业当年应缴教育费附加和地方教育附加。</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区发改局、区教育体育局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区财政局、区自然资源局、区地方金融监管局、税务局等</w:t>
            </w:r>
          </w:p>
        </w:tc>
      </w:tr>
      <w:tr>
        <w:tblPrEx>
          <w:tblCellMar>
            <w:top w:w="0" w:type="dxa"/>
            <w:left w:w="108" w:type="dxa"/>
            <w:bottom w:w="0" w:type="dxa"/>
            <w:right w:w="108" w:type="dxa"/>
          </w:tblCellMar>
        </w:tblPrEx>
        <w:trPr>
          <w:trHeight w:val="136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4</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支持社会力量通过独资、合资、合作等形式举办或参与举办职业教育，支持企业与学校合作办专业、办二级学院，推动开展股份制、混合所有制改革。通过PPP模式、融资贷款、土地置换等途径拓宽筹资渠道，构建政府统筹管理、社会多元办学格局。</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区发改局、区工业和信息化局、区财政局、区国有资产服务中心</w:t>
            </w:r>
          </w:p>
        </w:tc>
      </w:tr>
      <w:tr>
        <w:tblPrEx>
          <w:tblCellMar>
            <w:top w:w="0" w:type="dxa"/>
            <w:left w:w="108" w:type="dxa"/>
            <w:bottom w:w="0" w:type="dxa"/>
            <w:right w:w="108" w:type="dxa"/>
          </w:tblCellMar>
        </w:tblPrEx>
        <w:trPr>
          <w:trHeight w:val="88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5</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实施“威海工匠后备人才”培养工程，每年择优遴选学生参与培养。</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　</w:t>
            </w:r>
          </w:p>
        </w:tc>
      </w:tr>
      <w:tr>
        <w:tblPrEx>
          <w:tblCellMar>
            <w:top w:w="0" w:type="dxa"/>
            <w:left w:w="108" w:type="dxa"/>
            <w:bottom w:w="0" w:type="dxa"/>
            <w:right w:w="108" w:type="dxa"/>
          </w:tblCellMar>
        </w:tblPrEx>
        <w:trPr>
          <w:trHeight w:val="1380" w:hRule="atLeast"/>
        </w:trPr>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6</w:t>
            </w:r>
          </w:p>
        </w:tc>
        <w:tc>
          <w:tcPr>
            <w:tcW w:w="928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到2023年，职业学校按专业建立企业学徒基地，建设1个市级示范性企业学徒基地。</w:t>
            </w:r>
          </w:p>
        </w:tc>
        <w:tc>
          <w:tcPr>
            <w:tcW w:w="2295"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区教育体育局、区人力资源社会保障局</w:t>
            </w:r>
          </w:p>
        </w:tc>
        <w:tc>
          <w:tcPr>
            <w:tcW w:w="250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区工业和信息化局、区财政局、区商务局、区国有资产服务中心等</w:t>
            </w:r>
          </w:p>
        </w:tc>
      </w:tr>
      <w:tr>
        <w:tblPrEx>
          <w:tblCellMar>
            <w:top w:w="0" w:type="dxa"/>
            <w:left w:w="108" w:type="dxa"/>
            <w:bottom w:w="0" w:type="dxa"/>
            <w:right w:w="108" w:type="dxa"/>
          </w:tblCellMar>
        </w:tblPrEx>
        <w:trPr>
          <w:trHeight w:val="69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7</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符合条件的职业学校校办企业从事相关业务活动取得的收入免征增值税。</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区税务局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w:t>
            </w:r>
          </w:p>
        </w:tc>
      </w:tr>
      <w:tr>
        <w:tblPrEx>
          <w:tblCellMar>
            <w:top w:w="0" w:type="dxa"/>
            <w:left w:w="108" w:type="dxa"/>
            <w:bottom w:w="0" w:type="dxa"/>
            <w:right w:w="108" w:type="dxa"/>
          </w:tblCellMar>
        </w:tblPrEx>
        <w:trPr>
          <w:trHeight w:val="100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8</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规模以上企业按职工总数的 2%设置职业院校学生实习岗位。</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区发改局、区工业和信息化局、区财政局、区商务局等</w:t>
            </w:r>
          </w:p>
        </w:tc>
      </w:tr>
      <w:tr>
        <w:tblPrEx>
          <w:tblCellMar>
            <w:top w:w="0" w:type="dxa"/>
            <w:left w:w="108" w:type="dxa"/>
            <w:bottom w:w="0" w:type="dxa"/>
            <w:right w:w="108" w:type="dxa"/>
          </w:tblCellMar>
        </w:tblPrEx>
        <w:trPr>
          <w:trHeight w:val="126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9</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到2023年，争取1所实训基地进入省级新旧动能转换行业（专项）公共实训基地,1所进入省级产教融合实训基地行列。</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区发改局、区教育体育局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区财政局、区工业和信息化局、区人力资源社会保障局</w:t>
            </w:r>
          </w:p>
        </w:tc>
      </w:tr>
      <w:tr>
        <w:tblPrEx>
          <w:tblCellMar>
            <w:top w:w="0" w:type="dxa"/>
            <w:left w:w="108" w:type="dxa"/>
            <w:bottom w:w="0" w:type="dxa"/>
            <w:right w:w="108" w:type="dxa"/>
          </w:tblCellMar>
        </w:tblPrEx>
        <w:trPr>
          <w:trHeight w:val="126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10</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对接“1+X”证书制度，培育一批职业技能证书培训教师，鼓励考取国际通行的职业资格证书和技能水平证书。建立校企人员双向交流协作共同体，落实教师定期到企业实践制度。</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区工业和信息化局</w:t>
            </w:r>
          </w:p>
        </w:tc>
      </w:tr>
      <w:tr>
        <w:tblPrEx>
          <w:tblCellMar>
            <w:top w:w="0" w:type="dxa"/>
            <w:left w:w="108" w:type="dxa"/>
            <w:bottom w:w="0" w:type="dxa"/>
            <w:right w:w="108" w:type="dxa"/>
          </w:tblCellMar>
        </w:tblPrEx>
        <w:trPr>
          <w:trHeight w:val="90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11</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发挥中心城区的区位优势，积极争取市级统筹的政策优势和资源共享优势，深入探索民办与公办学校资源适度流通的有效途径，聘请行业企业及市职教室、公办学校专家、骨干教师担任兼职教研员，形成专兼结合、动态管理的职教教研队伍。</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区财政局</w:t>
            </w:r>
          </w:p>
        </w:tc>
      </w:tr>
      <w:tr>
        <w:tblPrEx>
          <w:tblCellMar>
            <w:top w:w="0" w:type="dxa"/>
            <w:left w:w="108" w:type="dxa"/>
            <w:bottom w:w="0" w:type="dxa"/>
            <w:right w:w="108" w:type="dxa"/>
          </w:tblCellMar>
        </w:tblPrEx>
        <w:trPr>
          <w:trHeight w:val="87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12</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到2023年，探索建立2个中小学职业体验中心，为中小学校开展劳动和职业启蒙教育提供素材，搭建技能选修、职业体验、生涯规划和研学旅行等平台，促进学生全面发展。</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区发改局、区工业和信息化局、区人力资源社会保障局</w:t>
            </w:r>
          </w:p>
        </w:tc>
      </w:tr>
      <w:tr>
        <w:tblPrEx>
          <w:tblCellMar>
            <w:top w:w="0" w:type="dxa"/>
            <w:left w:w="108" w:type="dxa"/>
            <w:bottom w:w="0" w:type="dxa"/>
            <w:right w:w="108" w:type="dxa"/>
          </w:tblCellMar>
        </w:tblPrEx>
        <w:trPr>
          <w:trHeight w:val="1005" w:hRule="atLeast"/>
        </w:trPr>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13</w:t>
            </w:r>
          </w:p>
        </w:tc>
        <w:tc>
          <w:tcPr>
            <w:tcW w:w="928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将建设职业教育创新发展高地资金编入年度预算，确保新增财政性教育经费投入向职业教育倾斜，主要用于技能大赛、校企合作项目推进、建设省市高水平专业、新办急需紧缺专业等资金支持。税务部门要落实好对产教融合型企业各项优惠政策。</w:t>
            </w:r>
          </w:p>
        </w:tc>
        <w:tc>
          <w:tcPr>
            <w:tcW w:w="2295"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区财政局、区税务局</w:t>
            </w:r>
          </w:p>
        </w:tc>
        <w:tc>
          <w:tcPr>
            <w:tcW w:w="250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w:t>
            </w:r>
          </w:p>
        </w:tc>
      </w:tr>
      <w:tr>
        <w:tblPrEx>
          <w:tblCellMar>
            <w:top w:w="0" w:type="dxa"/>
            <w:left w:w="108" w:type="dxa"/>
            <w:bottom w:w="0" w:type="dxa"/>
            <w:right w:w="108" w:type="dxa"/>
          </w:tblCellMar>
        </w:tblPrEx>
        <w:trPr>
          <w:trHeight w:val="117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Times New Roman" w:hAnsi="Times New Roman" w:eastAsia="仿宋" w:cs="Times New Roman"/>
                <w:color w:val="auto"/>
                <w:kern w:val="0"/>
                <w:sz w:val="10"/>
                <w:szCs w:val="10"/>
                <w:lang w:val="en-US" w:eastAsia="zh-CN"/>
              </w:rPr>
            </w:pPr>
            <w:r>
              <w:rPr>
                <w:rFonts w:hint="eastAsia" w:ascii="Times New Roman" w:hAnsi="Times New Roman" w:eastAsia="仿宋" w:cs="Times New Roman"/>
                <w:color w:val="auto"/>
                <w:kern w:val="0"/>
                <w:sz w:val="24"/>
                <w:szCs w:val="24"/>
                <w:lang w:val="en-US" w:eastAsia="zh-CN"/>
              </w:rPr>
              <w:t>14</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牵头落实技术技能人才待遇，推动职业学校毕业生在就业、机关事业单位招聘、职称评审、职级晋升等方面与普通高校毕业生享受同等待遇，清理对技术技能人才的歧视政策，不断拓宽技术技能人才发展渠道。</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区委组织部、区人力资源社会保障</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w:t>
            </w:r>
          </w:p>
        </w:tc>
      </w:tr>
      <w:tr>
        <w:tblPrEx>
          <w:tblCellMar>
            <w:top w:w="0" w:type="dxa"/>
            <w:left w:w="108" w:type="dxa"/>
            <w:bottom w:w="0" w:type="dxa"/>
            <w:right w:w="108" w:type="dxa"/>
          </w:tblCellMar>
        </w:tblPrEx>
        <w:trPr>
          <w:trHeight w:val="127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Times New Roman" w:hAnsi="Times New Roman" w:eastAsia="仿宋" w:cs="Times New Roman"/>
                <w:color w:val="auto"/>
                <w:kern w:val="0"/>
                <w:sz w:val="24"/>
                <w:szCs w:val="24"/>
                <w:lang w:val="en-US" w:eastAsia="zh-CN"/>
              </w:rPr>
            </w:pPr>
            <w:r>
              <w:rPr>
                <w:rFonts w:hint="eastAsia" w:ascii="Times New Roman" w:hAnsi="Times New Roman" w:eastAsia="仿宋" w:cs="Times New Roman"/>
                <w:color w:val="auto"/>
                <w:kern w:val="0"/>
                <w:sz w:val="24"/>
                <w:szCs w:val="24"/>
                <w:lang w:val="en-US" w:eastAsia="zh-CN"/>
              </w:rPr>
              <w:t>15</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提升技术技能人才的社会政治地位，积极推荐符合条件的技术技能人才作为党代会代表、人大代表、政协委员、团代会代表等的人选。</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区委组织部</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区委统战部、区人大、区政协、区总工会、团区委、区妇联</w:t>
            </w:r>
          </w:p>
        </w:tc>
      </w:tr>
      <w:tr>
        <w:tblPrEx>
          <w:tblCellMar>
            <w:top w:w="0" w:type="dxa"/>
            <w:left w:w="108" w:type="dxa"/>
            <w:bottom w:w="0" w:type="dxa"/>
            <w:right w:w="108" w:type="dxa"/>
          </w:tblCellMar>
        </w:tblPrEx>
        <w:trPr>
          <w:trHeight w:val="160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Times New Roman" w:hAnsi="Times New Roman" w:eastAsia="仿宋" w:cs="Times New Roman"/>
                <w:color w:val="auto"/>
                <w:kern w:val="0"/>
                <w:sz w:val="24"/>
                <w:szCs w:val="24"/>
                <w:lang w:val="en-US" w:eastAsia="zh-CN"/>
              </w:rPr>
            </w:pPr>
            <w:r>
              <w:rPr>
                <w:rFonts w:hint="eastAsia" w:ascii="Times New Roman" w:hAnsi="Times New Roman" w:eastAsia="仿宋" w:cs="Times New Roman"/>
                <w:color w:val="auto"/>
                <w:kern w:val="0"/>
                <w:sz w:val="24"/>
                <w:szCs w:val="24"/>
                <w:lang w:val="en-US" w:eastAsia="zh-CN"/>
              </w:rPr>
              <w:t>16</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把职业教育创新发展情况纳入督查督导范围，作为对各部门履行教育职责评价的重要内容，评价结果作为领导班子和领导干部奖惩的重要依据。完善职业学校办学情况年度评估办法，将职业院校校企合作情况与毕业生留威就业率纳入职业学校考核中，考核结果与资金奖补、项目安排、评先选优等挂钩，保障职业教育健康发展。</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区委组织部、区教育体育局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区人力资源社会保障局及有关行业主管部门</w:t>
            </w:r>
          </w:p>
        </w:tc>
      </w:tr>
    </w:tbl>
    <w:p>
      <w:pPr>
        <w:pStyle w:val="4"/>
        <w:keepNext w:val="0"/>
        <w:keepLines w:val="0"/>
        <w:pageBreakBefore w:val="0"/>
        <w:kinsoku/>
        <w:wordWrap/>
        <w:overflowPunct/>
        <w:topLinePunct w:val="0"/>
        <w:autoSpaceDE/>
        <w:autoSpaceDN/>
        <w:bidi w:val="0"/>
        <w:adjustRightInd/>
        <w:snapToGrid/>
        <w:spacing w:line="420" w:lineRule="exact"/>
        <w:ind w:left="0" w:leftChars="0" w:right="0" w:rightChars="0" w:firstLine="0" w:firstLineChars="0"/>
        <w:jc w:val="both"/>
        <w:textAlignment w:val="auto"/>
        <w:outlineLvl w:val="9"/>
        <w:rPr>
          <w:color w:val="auto"/>
        </w:rPr>
        <w:sectPr>
          <w:footerReference r:id="rId3" w:type="default"/>
          <w:pgSz w:w="16840" w:h="11910" w:orient="landscape"/>
          <w:pgMar w:top="1417" w:right="567" w:bottom="1417" w:left="567" w:header="850" w:footer="1134" w:gutter="0"/>
          <w:pgNumType w:fmt="decimal" w:start="10"/>
          <w:cols w:space="0" w:num="1"/>
          <w:rtlGutter w:val="0"/>
          <w:docGrid w:linePitch="0" w:charSpace="0"/>
        </w:sectPr>
      </w:pPr>
      <w:r>
        <w:rPr>
          <w:color w:val="auto"/>
        </w:rPr>
        <w:br w:type="page"/>
      </w:r>
    </w:p>
    <w:p>
      <w:pPr>
        <w:pStyle w:val="4"/>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eastAsiaTheme="minorEastAsia"/>
          <w:color w:val="auto"/>
          <w:lang w:val="en-US" w:eastAsia="zh-CN"/>
        </w:rPr>
      </w:pPr>
      <w:r>
        <w:rPr>
          <w:rFonts w:hint="eastAsia"/>
          <w:color w:val="auto"/>
          <w:lang w:val="en-US" w:eastAsia="zh-CN"/>
        </w:rPr>
        <w:t xml:space="preserve">    </w:t>
      </w:r>
      <w:r>
        <w:rPr>
          <w:rFonts w:hint="eastAsia" w:ascii="仿宋_GB2312" w:hAnsi="仿宋_GB2312" w:eastAsia="仿宋_GB2312" w:cs="仿宋_GB2312"/>
          <w:color w:val="auto"/>
          <w:lang w:val="en-US" w:eastAsia="zh-CN"/>
        </w:rPr>
        <w:t>（此页无正文）</w:t>
      </w: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lang w:eastAsia="zh-CN"/>
        </w:rPr>
      </w:pPr>
      <w:r>
        <w:rPr>
          <w:rFonts w:hint="default" w:ascii="Times New Roman" w:hAnsi="Times New Roman" w:eastAsia="仿宋_GB2312" w:cs="Times New Roman"/>
          <w:snapToGrid w:val="0"/>
          <w:color w:val="auto"/>
          <w:sz w:val="28"/>
          <w:szCs w:val="28"/>
        </w:rPr>
        <w:t xml:space="preserve">  </w:t>
      </w:r>
      <w:r>
        <w:rPr>
          <w:rFonts w:hint="default" w:ascii="Times New Roman" w:hAnsi="Times New Roman" w:eastAsia="仿宋_GB2312" w:cs="Times New Roman"/>
          <w:color w:val="auto"/>
          <w:sz w:val="28"/>
          <w:szCs w:val="28"/>
        </w:rPr>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50800</wp:posOffset>
                </wp:positionV>
                <wp:extent cx="5725160" cy="0"/>
                <wp:effectExtent l="0" t="0" r="0" b="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4pt;height:0pt;width:450.8pt;z-index:251664384;mso-width-relative:page;mso-height-relative:page;" filled="f" stroked="t" coordsize="21600,21600" o:gfxdata="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Q32iutMAAAAEAQAADwAAAAAAAAABACAAAAAiAAAAZHJzL2Rv&#10;d25yZXYueG1sUEsBAhQAFAAAAAgAh07iQM5G6TvNAQAAagMAAA4AAAAAAAAAAQAgAAAAIgEAAGRy&#10;cy9lMm9Eb2MueG1sUEsFBgAAAAAGAAYAWQEAAGEFA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sz w:val="28"/>
          <w:szCs w:val="28"/>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342900</wp:posOffset>
                </wp:positionV>
                <wp:extent cx="5725160" cy="0"/>
                <wp:effectExtent l="0" t="0" r="0" b="0"/>
                <wp:wrapNone/>
                <wp:docPr id="3"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直接连接符 1" o:spid="_x0000_s1026" o:spt="20" style="position:absolute;left:0pt;margin-left:0pt;margin-top:27pt;height:0pt;width:450.8pt;z-index:251665408;mso-width-relative:page;mso-height-relative:page;" filled="f" stroked="t" coordsize="21600,21600" o:gfxdata="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KhBfOzUAAAABgEAAA8AAAAAAAAAAQAgAAAAIgAAAGRycy9k&#10;b3ducmV2LnhtbFBLAQIUABQAAAAIAIdO4kBushkezQEAAGoDAAAOAAAAAAAAAAEAIAAAACMBAABk&#10;cnMvZTJvRG9jLnhtbFBLBQYAAAAABgAGAFkBAABiBQAAAAA=&#10;">
                <v:fill on="f" focussize="0,0"/>
                <v:stroke color="#000000" joinstyle="round"/>
                <v:imagedata o:title=""/>
                <o:lock v:ext="edit" aspectratio="f"/>
              </v:line>
            </w:pict>
          </mc:Fallback>
        </mc:AlternateContent>
      </w:r>
      <w:r>
        <w:rPr>
          <w:rFonts w:hint="default" w:ascii="Times New Roman" w:hAnsi="Times New Roman" w:eastAsia="仿宋_GB2312" w:cs="Times New Roman"/>
          <w:snapToGrid w:val="0"/>
          <w:color w:val="auto"/>
          <w:sz w:val="28"/>
          <w:szCs w:val="28"/>
        </w:rPr>
        <w:t xml:space="preserve">威海市环翠区人民政府办公室      </w:t>
      </w:r>
      <w:r>
        <w:rPr>
          <w:rFonts w:hint="default" w:ascii="Times New Roman" w:hAnsi="Times New Roman" w:eastAsia="仿宋_GB2312" w:cs="Times New Roman"/>
          <w:snapToGrid w:val="0"/>
          <w:color w:val="auto"/>
          <w:sz w:val="28"/>
          <w:szCs w:val="28"/>
          <w:lang w:val="en-US" w:eastAsia="zh-CN"/>
        </w:rPr>
        <w:t xml:space="preserve"> </w:t>
      </w:r>
      <w:r>
        <w:rPr>
          <w:rFonts w:hint="default" w:ascii="Times New Roman" w:hAnsi="Times New Roman" w:eastAsia="仿宋_GB2312" w:cs="Times New Roman"/>
          <w:snapToGrid w:val="0"/>
          <w:color w:val="auto"/>
          <w:sz w:val="28"/>
          <w:szCs w:val="28"/>
        </w:rPr>
        <w:t xml:space="preserve">   </w:t>
      </w:r>
      <w:r>
        <w:rPr>
          <w:rFonts w:hint="eastAsia" w:ascii="Times New Roman" w:hAnsi="Times New Roman" w:eastAsia="仿宋_GB2312" w:cs="Times New Roman"/>
          <w:snapToGrid w:val="0"/>
          <w:color w:val="auto"/>
          <w:sz w:val="28"/>
          <w:szCs w:val="28"/>
          <w:lang w:val="en-US" w:eastAsia="zh-CN"/>
        </w:rPr>
        <w:t xml:space="preserve">   </w:t>
      </w:r>
      <w:r>
        <w:rPr>
          <w:rFonts w:hint="default" w:ascii="Times New Roman" w:hAnsi="Times New Roman" w:eastAsia="仿宋_GB2312" w:cs="Times New Roman"/>
          <w:snapToGrid w:val="0"/>
          <w:color w:val="auto"/>
          <w:sz w:val="28"/>
          <w:szCs w:val="28"/>
        </w:rPr>
        <w:t xml:space="preserve">  20</w:t>
      </w:r>
      <w:r>
        <w:rPr>
          <w:rFonts w:hint="eastAsia" w:ascii="Times New Roman" w:hAnsi="Times New Roman" w:eastAsia="仿宋_GB2312" w:cs="Times New Roman"/>
          <w:snapToGrid w:val="0"/>
          <w:color w:val="auto"/>
          <w:sz w:val="28"/>
          <w:szCs w:val="28"/>
          <w:lang w:val="en-US" w:eastAsia="zh-CN"/>
        </w:rPr>
        <w:t>20</w:t>
      </w:r>
      <w:r>
        <w:rPr>
          <w:rFonts w:hint="default" w:ascii="Times New Roman" w:hAnsi="Times New Roman" w:eastAsia="仿宋_GB2312" w:cs="Times New Roman"/>
          <w:snapToGrid w:val="0"/>
          <w:color w:val="auto"/>
          <w:sz w:val="28"/>
          <w:szCs w:val="28"/>
        </w:rPr>
        <w:t>年</w:t>
      </w:r>
      <w:r>
        <w:rPr>
          <w:rFonts w:hint="eastAsia" w:ascii="Times New Roman" w:hAnsi="Times New Roman" w:eastAsia="仿宋_GB2312" w:cs="Times New Roman"/>
          <w:snapToGrid w:val="0"/>
          <w:color w:val="auto"/>
          <w:sz w:val="28"/>
          <w:szCs w:val="28"/>
          <w:lang w:val="en-US" w:eastAsia="zh-CN"/>
        </w:rPr>
        <w:t>6</w:t>
      </w:r>
      <w:r>
        <w:rPr>
          <w:rFonts w:hint="default" w:ascii="Times New Roman" w:hAnsi="Times New Roman" w:eastAsia="仿宋_GB2312" w:cs="Times New Roman"/>
          <w:snapToGrid w:val="0"/>
          <w:color w:val="auto"/>
          <w:sz w:val="28"/>
          <w:szCs w:val="28"/>
        </w:rPr>
        <w:t>月</w:t>
      </w:r>
      <w:r>
        <w:rPr>
          <w:rFonts w:hint="eastAsia" w:ascii="Times New Roman" w:hAnsi="Times New Roman" w:eastAsia="仿宋_GB2312" w:cs="Times New Roman"/>
          <w:snapToGrid w:val="0"/>
          <w:color w:val="auto"/>
          <w:sz w:val="28"/>
          <w:szCs w:val="28"/>
          <w:lang w:val="en-US" w:eastAsia="zh-CN"/>
        </w:rPr>
        <w:t>15</w:t>
      </w:r>
      <w:r>
        <w:rPr>
          <w:rFonts w:hint="default" w:ascii="Times New Roman" w:hAnsi="Times New Roman" w:eastAsia="仿宋_GB2312" w:cs="Times New Roman"/>
          <w:snapToGrid w:val="0"/>
          <w:sz w:val="28"/>
          <w:szCs w:val="28"/>
        </w:rPr>
        <w:t xml:space="preserve">日印发  </w:t>
      </w:r>
    </w:p>
    <w:sectPr>
      <w:footerReference r:id="rId4" w:type="default"/>
      <w:pgSz w:w="11910" w:h="16840"/>
      <w:pgMar w:top="1701" w:right="1417" w:bottom="1701" w:left="1417" w:header="850" w:footer="1474" w:gutter="0"/>
      <w:pgNumType w:fmt="decimal" w:start="9"/>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OIOLDC+CTBiaoSongSJ">
    <w:altName w:val="宋体"/>
    <w:panose1 w:val="00000000000000000000"/>
    <w:charset w:val="86"/>
    <w:family w:val="swiss"/>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0" w:usb3="00000000" w:csb0="0000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
                            <w:rPr>
                              <w:rStyle w:val="14"/>
                              <w:sz w:val="28"/>
                              <w:szCs w:val="28"/>
                            </w:rPr>
                            <w:t xml:space="preserve">— </w:t>
                          </w:r>
                          <w:r>
                            <w:rPr>
                              <w:rFonts w:ascii="Times New Roman" w:hAnsi="Times New Roman"/>
                              <w:sz w:val="28"/>
                              <w:szCs w:val="28"/>
                            </w:rPr>
                            <w:fldChar w:fldCharType="begin"/>
                          </w:r>
                          <w:r>
                            <w:rPr>
                              <w:rStyle w:val="14"/>
                              <w:rFonts w:ascii="Times New Roman" w:hAnsi="Times New Roman"/>
                              <w:sz w:val="28"/>
                              <w:szCs w:val="28"/>
                            </w:rPr>
                            <w:instrText xml:space="preserve">PAGE  </w:instrText>
                          </w:r>
                          <w:r>
                            <w:rPr>
                              <w:rFonts w:ascii="Times New Roman" w:hAnsi="Times New Roman"/>
                              <w:sz w:val="28"/>
                              <w:szCs w:val="28"/>
                            </w:rPr>
                            <w:fldChar w:fldCharType="separate"/>
                          </w:r>
                          <w:r>
                            <w:rPr>
                              <w:rStyle w:val="14"/>
                              <w:rFonts w:ascii="Times New Roman" w:hAnsi="Times New Roman"/>
                              <w:sz w:val="28"/>
                              <w:szCs w:val="28"/>
                            </w:rPr>
                            <w:t>2</w:t>
                          </w:r>
                          <w:r>
                            <w:rPr>
                              <w:rFonts w:ascii="Times New Roman" w:hAnsi="Times New Roman"/>
                              <w:sz w:val="28"/>
                              <w:szCs w:val="28"/>
                            </w:rPr>
                            <w:fldChar w:fldCharType="end"/>
                          </w:r>
                          <w:r>
                            <w:rPr>
                              <w:sz w:val="28"/>
                              <w:szCs w:val="28"/>
                            </w:rPr>
                            <w:t xml:space="preserve"> —</w:t>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yqBHIrgEAAEsD&#10;AAAOAAAAAAAAAAEAIAAAAB4BAABkcnMvZTJvRG9jLnhtbFBLBQYAAAAABgAGAFkBAAA+BQAAAAA=&#10;">
              <v:fill on="f" focussize="0,0"/>
              <v:stroke on="f"/>
              <v:imagedata o:title=""/>
              <o:lock v:ext="edit" aspectratio="f"/>
              <v:textbox inset="0mm,0mm,0mm,0mm" style="mso-fit-shape-to-text:t;">
                <w:txbxContent>
                  <w:p>
                    <w:r>
                      <w:rPr>
                        <w:rStyle w:val="14"/>
                        <w:sz w:val="28"/>
                        <w:szCs w:val="28"/>
                      </w:rPr>
                      <w:t xml:space="preserve">— </w:t>
                    </w:r>
                    <w:r>
                      <w:rPr>
                        <w:rFonts w:ascii="Times New Roman" w:hAnsi="Times New Roman"/>
                        <w:sz w:val="28"/>
                        <w:szCs w:val="28"/>
                      </w:rPr>
                      <w:fldChar w:fldCharType="begin"/>
                    </w:r>
                    <w:r>
                      <w:rPr>
                        <w:rStyle w:val="14"/>
                        <w:rFonts w:ascii="Times New Roman" w:hAnsi="Times New Roman"/>
                        <w:sz w:val="28"/>
                        <w:szCs w:val="28"/>
                      </w:rPr>
                      <w:instrText xml:space="preserve">PAGE  </w:instrText>
                    </w:r>
                    <w:r>
                      <w:rPr>
                        <w:rFonts w:ascii="Times New Roman" w:hAnsi="Times New Roman"/>
                        <w:sz w:val="28"/>
                        <w:szCs w:val="28"/>
                      </w:rPr>
                      <w:fldChar w:fldCharType="separate"/>
                    </w:r>
                    <w:r>
                      <w:rPr>
                        <w:rStyle w:val="14"/>
                        <w:rFonts w:ascii="Times New Roman" w:hAnsi="Times New Roman"/>
                        <w:sz w:val="28"/>
                        <w:szCs w:val="28"/>
                      </w:rPr>
                      <w:t>2</w:t>
                    </w:r>
                    <w:r>
                      <w:rPr>
                        <w:rFonts w:ascii="Times New Roman" w:hAnsi="Times New Roman"/>
                        <w:sz w:val="28"/>
                        <w:szCs w:val="28"/>
                      </w:rPr>
                      <w:fldChar w:fldCharType="end"/>
                    </w:r>
                    <w:r>
                      <w:rPr>
                        <w:sz w:val="28"/>
                        <w:szCs w:val="28"/>
                      </w:rPr>
                      <w:t xml:space="preserve"> —</w:t>
                    </w:r>
                  </w:p>
                </w:txbxContent>
              </v:textbox>
            </v:shape>
          </w:pict>
        </mc:Fallback>
      </mc:AlternateContent>
    </w:r>
  </w:p>
  <w:p>
    <w:pPr>
      <w:pStyle w:val="4"/>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pStyle w:val="4"/>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0D6"/>
    <w:rsid w:val="00026877"/>
    <w:rsid w:val="00037DC7"/>
    <w:rsid w:val="000409FB"/>
    <w:rsid w:val="0004745A"/>
    <w:rsid w:val="000634A8"/>
    <w:rsid w:val="00064CA9"/>
    <w:rsid w:val="00076A74"/>
    <w:rsid w:val="0008147B"/>
    <w:rsid w:val="000868FC"/>
    <w:rsid w:val="000D7FB4"/>
    <w:rsid w:val="000E080F"/>
    <w:rsid w:val="000E0815"/>
    <w:rsid w:val="000E3191"/>
    <w:rsid w:val="000E3BB3"/>
    <w:rsid w:val="000E4D32"/>
    <w:rsid w:val="00122748"/>
    <w:rsid w:val="001453C9"/>
    <w:rsid w:val="0015321E"/>
    <w:rsid w:val="001616F4"/>
    <w:rsid w:val="001828C8"/>
    <w:rsid w:val="00192829"/>
    <w:rsid w:val="001B1AC1"/>
    <w:rsid w:val="001B3E1A"/>
    <w:rsid w:val="001D6D3E"/>
    <w:rsid w:val="001E5AA9"/>
    <w:rsid w:val="001F5CCD"/>
    <w:rsid w:val="001F75CD"/>
    <w:rsid w:val="00203D2D"/>
    <w:rsid w:val="00222D86"/>
    <w:rsid w:val="0024638C"/>
    <w:rsid w:val="00273FF1"/>
    <w:rsid w:val="002821DB"/>
    <w:rsid w:val="00293A44"/>
    <w:rsid w:val="00293DC7"/>
    <w:rsid w:val="002B3FAA"/>
    <w:rsid w:val="002C2678"/>
    <w:rsid w:val="002F4E8F"/>
    <w:rsid w:val="002F6A78"/>
    <w:rsid w:val="00300E77"/>
    <w:rsid w:val="00304FB2"/>
    <w:rsid w:val="00305059"/>
    <w:rsid w:val="00306292"/>
    <w:rsid w:val="0031254F"/>
    <w:rsid w:val="00314A27"/>
    <w:rsid w:val="00314F54"/>
    <w:rsid w:val="00321713"/>
    <w:rsid w:val="0032191A"/>
    <w:rsid w:val="00332580"/>
    <w:rsid w:val="003369A5"/>
    <w:rsid w:val="00343D07"/>
    <w:rsid w:val="0035062F"/>
    <w:rsid w:val="0035192D"/>
    <w:rsid w:val="00357FCB"/>
    <w:rsid w:val="00365754"/>
    <w:rsid w:val="003726F3"/>
    <w:rsid w:val="00373047"/>
    <w:rsid w:val="00373E50"/>
    <w:rsid w:val="00375D98"/>
    <w:rsid w:val="00383370"/>
    <w:rsid w:val="00386777"/>
    <w:rsid w:val="003B4F70"/>
    <w:rsid w:val="003C00DD"/>
    <w:rsid w:val="003C43DD"/>
    <w:rsid w:val="003D2D50"/>
    <w:rsid w:val="003F20EE"/>
    <w:rsid w:val="003F342E"/>
    <w:rsid w:val="003F4862"/>
    <w:rsid w:val="003F7234"/>
    <w:rsid w:val="0040356F"/>
    <w:rsid w:val="00415164"/>
    <w:rsid w:val="00424994"/>
    <w:rsid w:val="00432479"/>
    <w:rsid w:val="00433BEC"/>
    <w:rsid w:val="00437BD4"/>
    <w:rsid w:val="00443E51"/>
    <w:rsid w:val="00471DE1"/>
    <w:rsid w:val="00480265"/>
    <w:rsid w:val="004823A9"/>
    <w:rsid w:val="0048489E"/>
    <w:rsid w:val="00492DD4"/>
    <w:rsid w:val="004A3285"/>
    <w:rsid w:val="004A4064"/>
    <w:rsid w:val="004D15C9"/>
    <w:rsid w:val="004D4DBE"/>
    <w:rsid w:val="004E3B97"/>
    <w:rsid w:val="004F1198"/>
    <w:rsid w:val="004F4B65"/>
    <w:rsid w:val="004F59D9"/>
    <w:rsid w:val="00500B2D"/>
    <w:rsid w:val="00514288"/>
    <w:rsid w:val="00525986"/>
    <w:rsid w:val="00531382"/>
    <w:rsid w:val="005434F5"/>
    <w:rsid w:val="005512E2"/>
    <w:rsid w:val="0055408E"/>
    <w:rsid w:val="00555BCF"/>
    <w:rsid w:val="005639A2"/>
    <w:rsid w:val="0058197A"/>
    <w:rsid w:val="005874B1"/>
    <w:rsid w:val="00590E65"/>
    <w:rsid w:val="00596325"/>
    <w:rsid w:val="005A1A9D"/>
    <w:rsid w:val="005B64EF"/>
    <w:rsid w:val="005C3917"/>
    <w:rsid w:val="005C4E18"/>
    <w:rsid w:val="005C5432"/>
    <w:rsid w:val="005E491C"/>
    <w:rsid w:val="005F4A65"/>
    <w:rsid w:val="00602CBA"/>
    <w:rsid w:val="006043D6"/>
    <w:rsid w:val="0061202B"/>
    <w:rsid w:val="00620F61"/>
    <w:rsid w:val="00653D2D"/>
    <w:rsid w:val="00657304"/>
    <w:rsid w:val="00666D43"/>
    <w:rsid w:val="00676EF8"/>
    <w:rsid w:val="006900CB"/>
    <w:rsid w:val="00691F11"/>
    <w:rsid w:val="006B02AD"/>
    <w:rsid w:val="006B02FF"/>
    <w:rsid w:val="006B039B"/>
    <w:rsid w:val="006B195B"/>
    <w:rsid w:val="006B1CA5"/>
    <w:rsid w:val="006B465E"/>
    <w:rsid w:val="006C5628"/>
    <w:rsid w:val="006D339F"/>
    <w:rsid w:val="006F22B3"/>
    <w:rsid w:val="00702AEF"/>
    <w:rsid w:val="00710815"/>
    <w:rsid w:val="00712166"/>
    <w:rsid w:val="00712FF2"/>
    <w:rsid w:val="00747097"/>
    <w:rsid w:val="007746C3"/>
    <w:rsid w:val="00775160"/>
    <w:rsid w:val="0078036E"/>
    <w:rsid w:val="00784911"/>
    <w:rsid w:val="00793FC3"/>
    <w:rsid w:val="007B665D"/>
    <w:rsid w:val="007C7167"/>
    <w:rsid w:val="007D2A41"/>
    <w:rsid w:val="007D2D44"/>
    <w:rsid w:val="007F45FC"/>
    <w:rsid w:val="007F6D3A"/>
    <w:rsid w:val="00823850"/>
    <w:rsid w:val="00834D18"/>
    <w:rsid w:val="008375AF"/>
    <w:rsid w:val="00855EAC"/>
    <w:rsid w:val="00867108"/>
    <w:rsid w:val="00871F23"/>
    <w:rsid w:val="00880114"/>
    <w:rsid w:val="00886442"/>
    <w:rsid w:val="008A46DD"/>
    <w:rsid w:val="008B10CB"/>
    <w:rsid w:val="008B4D15"/>
    <w:rsid w:val="008C5263"/>
    <w:rsid w:val="008C7F53"/>
    <w:rsid w:val="008D03CC"/>
    <w:rsid w:val="008D1A5E"/>
    <w:rsid w:val="008E4E9D"/>
    <w:rsid w:val="008E5207"/>
    <w:rsid w:val="00902E67"/>
    <w:rsid w:val="00910B9F"/>
    <w:rsid w:val="009125EF"/>
    <w:rsid w:val="009127DB"/>
    <w:rsid w:val="00950128"/>
    <w:rsid w:val="009570B8"/>
    <w:rsid w:val="009576B8"/>
    <w:rsid w:val="00961628"/>
    <w:rsid w:val="00962C3A"/>
    <w:rsid w:val="0097343A"/>
    <w:rsid w:val="00983604"/>
    <w:rsid w:val="00983A79"/>
    <w:rsid w:val="009A3743"/>
    <w:rsid w:val="009A6DC2"/>
    <w:rsid w:val="009A74C8"/>
    <w:rsid w:val="009B16FB"/>
    <w:rsid w:val="009B237F"/>
    <w:rsid w:val="009B77C4"/>
    <w:rsid w:val="009C3337"/>
    <w:rsid w:val="009D18DA"/>
    <w:rsid w:val="009E6CFB"/>
    <w:rsid w:val="009F07D7"/>
    <w:rsid w:val="00A0255F"/>
    <w:rsid w:val="00A104D4"/>
    <w:rsid w:val="00A31599"/>
    <w:rsid w:val="00A33E33"/>
    <w:rsid w:val="00A373F3"/>
    <w:rsid w:val="00A4194B"/>
    <w:rsid w:val="00A433AD"/>
    <w:rsid w:val="00A54919"/>
    <w:rsid w:val="00A747C4"/>
    <w:rsid w:val="00A822D8"/>
    <w:rsid w:val="00AA762A"/>
    <w:rsid w:val="00AB6F03"/>
    <w:rsid w:val="00AC5337"/>
    <w:rsid w:val="00AE53FF"/>
    <w:rsid w:val="00AE5A35"/>
    <w:rsid w:val="00B10305"/>
    <w:rsid w:val="00B15C44"/>
    <w:rsid w:val="00B33E97"/>
    <w:rsid w:val="00B65886"/>
    <w:rsid w:val="00B74CA7"/>
    <w:rsid w:val="00B75977"/>
    <w:rsid w:val="00B804B8"/>
    <w:rsid w:val="00B8394B"/>
    <w:rsid w:val="00B84587"/>
    <w:rsid w:val="00BB19FD"/>
    <w:rsid w:val="00BB31BF"/>
    <w:rsid w:val="00BE16D8"/>
    <w:rsid w:val="00BE3B54"/>
    <w:rsid w:val="00BF25A9"/>
    <w:rsid w:val="00C01A50"/>
    <w:rsid w:val="00C170A9"/>
    <w:rsid w:val="00C17CCF"/>
    <w:rsid w:val="00C42DA4"/>
    <w:rsid w:val="00C462E7"/>
    <w:rsid w:val="00C544DE"/>
    <w:rsid w:val="00C56608"/>
    <w:rsid w:val="00C63BB4"/>
    <w:rsid w:val="00C67F6F"/>
    <w:rsid w:val="00C71778"/>
    <w:rsid w:val="00C849EC"/>
    <w:rsid w:val="00C939E5"/>
    <w:rsid w:val="00C95DA8"/>
    <w:rsid w:val="00CA6905"/>
    <w:rsid w:val="00CB6C1B"/>
    <w:rsid w:val="00CB7DE3"/>
    <w:rsid w:val="00CC0190"/>
    <w:rsid w:val="00CC105B"/>
    <w:rsid w:val="00CE045A"/>
    <w:rsid w:val="00CE41DD"/>
    <w:rsid w:val="00CE4259"/>
    <w:rsid w:val="00CE768F"/>
    <w:rsid w:val="00CF11B3"/>
    <w:rsid w:val="00D028C8"/>
    <w:rsid w:val="00D0457E"/>
    <w:rsid w:val="00D0608B"/>
    <w:rsid w:val="00D14C17"/>
    <w:rsid w:val="00D20E28"/>
    <w:rsid w:val="00D45645"/>
    <w:rsid w:val="00D45F7B"/>
    <w:rsid w:val="00D55386"/>
    <w:rsid w:val="00D67EA1"/>
    <w:rsid w:val="00D830F2"/>
    <w:rsid w:val="00D847C8"/>
    <w:rsid w:val="00DA6BCC"/>
    <w:rsid w:val="00DA7CEA"/>
    <w:rsid w:val="00DC0650"/>
    <w:rsid w:val="00DD5CE2"/>
    <w:rsid w:val="00DD6C58"/>
    <w:rsid w:val="00DE205D"/>
    <w:rsid w:val="00DE54AB"/>
    <w:rsid w:val="00DF3F20"/>
    <w:rsid w:val="00DF5245"/>
    <w:rsid w:val="00DF52D5"/>
    <w:rsid w:val="00DF559B"/>
    <w:rsid w:val="00DF5671"/>
    <w:rsid w:val="00E01476"/>
    <w:rsid w:val="00E05CB0"/>
    <w:rsid w:val="00E27754"/>
    <w:rsid w:val="00E3267C"/>
    <w:rsid w:val="00E4711E"/>
    <w:rsid w:val="00E60740"/>
    <w:rsid w:val="00E60B30"/>
    <w:rsid w:val="00E6395F"/>
    <w:rsid w:val="00E8643C"/>
    <w:rsid w:val="00E94ACA"/>
    <w:rsid w:val="00EA45F4"/>
    <w:rsid w:val="00EC0997"/>
    <w:rsid w:val="00ED4A98"/>
    <w:rsid w:val="00EE01CC"/>
    <w:rsid w:val="00EE1359"/>
    <w:rsid w:val="00EE5021"/>
    <w:rsid w:val="00EE74C2"/>
    <w:rsid w:val="00EF21EE"/>
    <w:rsid w:val="00EF482F"/>
    <w:rsid w:val="00F00806"/>
    <w:rsid w:val="00F02128"/>
    <w:rsid w:val="00F060D6"/>
    <w:rsid w:val="00F153CD"/>
    <w:rsid w:val="00F23F88"/>
    <w:rsid w:val="00F27F24"/>
    <w:rsid w:val="00F343EB"/>
    <w:rsid w:val="00F42E15"/>
    <w:rsid w:val="00F45452"/>
    <w:rsid w:val="00F663F0"/>
    <w:rsid w:val="00F76AC4"/>
    <w:rsid w:val="00F81178"/>
    <w:rsid w:val="00F82697"/>
    <w:rsid w:val="00F90D97"/>
    <w:rsid w:val="00FA704D"/>
    <w:rsid w:val="00FB3B93"/>
    <w:rsid w:val="00FC260D"/>
    <w:rsid w:val="00FC2625"/>
    <w:rsid w:val="00FC3948"/>
    <w:rsid w:val="00FC45EF"/>
    <w:rsid w:val="00FC78C3"/>
    <w:rsid w:val="00FD2E3F"/>
    <w:rsid w:val="00FD6EB7"/>
    <w:rsid w:val="00FE044E"/>
    <w:rsid w:val="00FE540A"/>
    <w:rsid w:val="00FE7AC9"/>
    <w:rsid w:val="00FF11BC"/>
    <w:rsid w:val="00FF493B"/>
    <w:rsid w:val="00FF53F6"/>
    <w:rsid w:val="07D034DC"/>
    <w:rsid w:val="0BFD7F92"/>
    <w:rsid w:val="10DD2DE7"/>
    <w:rsid w:val="1169459C"/>
    <w:rsid w:val="16E5789F"/>
    <w:rsid w:val="1CB8425B"/>
    <w:rsid w:val="1ECE6A45"/>
    <w:rsid w:val="1FEE1DD4"/>
    <w:rsid w:val="25182592"/>
    <w:rsid w:val="262047FF"/>
    <w:rsid w:val="28E97E7E"/>
    <w:rsid w:val="30824AEC"/>
    <w:rsid w:val="368C0CC9"/>
    <w:rsid w:val="3E2E2A40"/>
    <w:rsid w:val="3F421216"/>
    <w:rsid w:val="408235F8"/>
    <w:rsid w:val="4E091685"/>
    <w:rsid w:val="54B44172"/>
    <w:rsid w:val="57B15B8E"/>
    <w:rsid w:val="5DF505FF"/>
    <w:rsid w:val="5DFC699D"/>
    <w:rsid w:val="6C9E3613"/>
    <w:rsid w:val="6CF457E7"/>
    <w:rsid w:val="74EF6793"/>
    <w:rsid w:val="77F156C3"/>
    <w:rsid w:val="78F037A0"/>
    <w:rsid w:val="79FE2E4A"/>
    <w:rsid w:val="7DA35D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3"/>
    <w:basedOn w:val="1"/>
    <w:next w:val="1"/>
    <w:link w:val="17"/>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11">
    <w:name w:val="Default Paragraph Font"/>
    <w:link w:val="12"/>
    <w:unhideWhenUsed/>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4">
    <w:name w:val="Body Text"/>
    <w:basedOn w:val="1"/>
    <w:link w:val="23"/>
    <w:qFormat/>
    <w:uiPriority w:val="1"/>
    <w:rPr>
      <w:sz w:val="32"/>
      <w:szCs w:val="32"/>
    </w:rPr>
  </w:style>
  <w:style w:type="paragraph" w:styleId="5">
    <w:name w:val="Date"/>
    <w:basedOn w:val="1"/>
    <w:next w:val="1"/>
    <w:link w:val="22"/>
    <w:unhideWhenUsed/>
    <w:qFormat/>
    <w:uiPriority w:val="99"/>
    <w:pPr>
      <w:ind w:left="100" w:leftChars="2500"/>
    </w:p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Title"/>
    <w:basedOn w:val="1"/>
    <w:next w:val="1"/>
    <w:link w:val="21"/>
    <w:qFormat/>
    <w:uiPriority w:val="10"/>
    <w:pPr>
      <w:spacing w:before="240" w:after="60"/>
      <w:jc w:val="center"/>
      <w:outlineLvl w:val="0"/>
    </w:pPr>
    <w:rPr>
      <w:rFonts w:eastAsia="宋体" w:asciiTheme="majorHAnsi" w:hAnsiTheme="majorHAnsi" w:cstheme="majorBidi"/>
      <w:b/>
      <w:bCs/>
      <w:sz w:val="32"/>
      <w:szCs w:val="32"/>
    </w:rPr>
  </w:style>
  <w:style w:type="paragraph" w:customStyle="1" w:styleId="12">
    <w:name w:val="_Style 4"/>
    <w:basedOn w:val="1"/>
    <w:link w:val="11"/>
    <w:qFormat/>
    <w:uiPriority w:val="0"/>
    <w:pPr>
      <w:snapToGrid w:val="0"/>
      <w:spacing w:line="360" w:lineRule="auto"/>
      <w:ind w:firstLine="200" w:firstLineChars="200"/>
    </w:pPr>
  </w:style>
  <w:style w:type="character" w:styleId="13">
    <w:name w:val="Strong"/>
    <w:basedOn w:val="11"/>
    <w:qFormat/>
    <w:uiPriority w:val="22"/>
    <w:rPr>
      <w:b/>
      <w:bCs/>
    </w:rPr>
  </w:style>
  <w:style w:type="character" w:styleId="14">
    <w:name w:val="page number"/>
    <w:basedOn w:val="11"/>
    <w:unhideWhenUsed/>
    <w:qFormat/>
    <w:uiPriority w:val="99"/>
  </w:style>
  <w:style w:type="character" w:styleId="15">
    <w:name w:val="Hyperlink"/>
    <w:basedOn w:val="11"/>
    <w:unhideWhenUsed/>
    <w:qFormat/>
    <w:uiPriority w:val="99"/>
    <w:rPr>
      <w:color w:val="0000FF"/>
      <w:u w:val="single"/>
    </w:rPr>
  </w:style>
  <w:style w:type="paragraph" w:customStyle="1" w:styleId="16">
    <w:name w:val="List Paragraph"/>
    <w:basedOn w:val="1"/>
    <w:qFormat/>
    <w:uiPriority w:val="99"/>
    <w:pPr>
      <w:ind w:firstLine="420" w:firstLineChars="200"/>
    </w:pPr>
  </w:style>
  <w:style w:type="character" w:customStyle="1" w:styleId="17">
    <w:name w:val="标题 3 Char"/>
    <w:basedOn w:val="11"/>
    <w:link w:val="3"/>
    <w:qFormat/>
    <w:uiPriority w:val="9"/>
    <w:rPr>
      <w:rFonts w:ascii="宋体" w:hAnsi="宋体" w:eastAsia="宋体" w:cs="宋体"/>
      <w:b/>
      <w:bCs/>
      <w:kern w:val="0"/>
      <w:sz w:val="27"/>
      <w:szCs w:val="27"/>
    </w:rPr>
  </w:style>
  <w:style w:type="character" w:customStyle="1" w:styleId="18">
    <w:name w:val="页眉 Char"/>
    <w:basedOn w:val="11"/>
    <w:link w:val="7"/>
    <w:semiHidden/>
    <w:qFormat/>
    <w:uiPriority w:val="99"/>
    <w:rPr>
      <w:sz w:val="18"/>
      <w:szCs w:val="18"/>
    </w:rPr>
  </w:style>
  <w:style w:type="character" w:customStyle="1" w:styleId="19">
    <w:name w:val="页脚 Char"/>
    <w:basedOn w:val="11"/>
    <w:link w:val="6"/>
    <w:semiHidden/>
    <w:qFormat/>
    <w:uiPriority w:val="99"/>
    <w:rPr>
      <w:sz w:val="18"/>
      <w:szCs w:val="18"/>
    </w:rPr>
  </w:style>
  <w:style w:type="character" w:customStyle="1" w:styleId="20">
    <w:name w:val="fake-qb-dom"/>
    <w:basedOn w:val="11"/>
    <w:qFormat/>
    <w:uiPriority w:val="0"/>
  </w:style>
  <w:style w:type="character" w:customStyle="1" w:styleId="21">
    <w:name w:val="标题 Char"/>
    <w:basedOn w:val="11"/>
    <w:link w:val="9"/>
    <w:qFormat/>
    <w:uiPriority w:val="10"/>
    <w:rPr>
      <w:rFonts w:eastAsia="宋体" w:asciiTheme="majorHAnsi" w:hAnsiTheme="majorHAnsi" w:cstheme="majorBidi"/>
      <w:b/>
      <w:bCs/>
      <w:sz w:val="32"/>
      <w:szCs w:val="32"/>
    </w:rPr>
  </w:style>
  <w:style w:type="character" w:customStyle="1" w:styleId="22">
    <w:name w:val="日期 Char"/>
    <w:basedOn w:val="11"/>
    <w:link w:val="5"/>
    <w:semiHidden/>
    <w:qFormat/>
    <w:uiPriority w:val="99"/>
  </w:style>
  <w:style w:type="character" w:customStyle="1" w:styleId="23">
    <w:name w:val="正文文本 Char"/>
    <w:basedOn w:val="11"/>
    <w:link w:val="4"/>
    <w:qFormat/>
    <w:uiPriority w:val="1"/>
    <w:rPr>
      <w:sz w:val="32"/>
      <w:szCs w:val="32"/>
    </w:rPr>
  </w:style>
  <w:style w:type="paragraph" w:customStyle="1" w:styleId="24">
    <w:name w:val="Table Paragraph"/>
    <w:basedOn w:val="1"/>
    <w:qFormat/>
    <w:uiPriority w:val="1"/>
  </w:style>
  <w:style w:type="table" w:customStyle="1" w:styleId="25">
    <w:name w:val="Table Normal"/>
    <w:unhideWhenUsed/>
    <w:qFormat/>
    <w:uiPriority w:val="2"/>
    <w:pPr>
      <w:widowControl w:val="0"/>
      <w:autoSpaceDE w:val="0"/>
      <w:autoSpaceDN w:val="0"/>
    </w:pPr>
    <w:rPr>
      <w:sz w:val="22"/>
      <w:lang w:eastAsia="en-US"/>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6895BE-95F0-44E4-ADB7-AA94F92B3AC9}">
  <ds:schemaRefs/>
</ds:datastoreItem>
</file>

<file path=docProps/app.xml><?xml version="1.0" encoding="utf-8"?>
<Properties xmlns="http://schemas.openxmlformats.org/officeDocument/2006/extended-properties" xmlns:vt="http://schemas.openxmlformats.org/officeDocument/2006/docPropsVTypes">
  <Template>Normal</Template>
  <Pages>11</Pages>
  <Words>912</Words>
  <Characters>5201</Characters>
  <Lines>43</Lines>
  <Paragraphs>12</Paragraphs>
  <TotalTime>10</TotalTime>
  <ScaleCrop>false</ScaleCrop>
  <LinksUpToDate>false</LinksUpToDate>
  <CharactersWithSpaces>6101</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2020-04-08T02:49:00Z</dcterms:created>
  <dc:creator>Administrator</dc:creator>
  <cp:lastModifiedBy>Administrator</cp:lastModifiedBy>
  <cp:lastPrinted>2020-06-03T08:53:00Z</cp:lastPrinted>
  <dcterms:modified xsi:type="dcterms:W3CDTF">2020-06-17T02:31:00Z</dcterms:modified>
  <cp:revision>150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