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威海市环翠区孙家疃街道</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2021年政府信息公开工作年度报告</w:t>
      </w:r>
    </w:p>
    <w:p>
      <w:pPr>
        <w:keepNext w:val="0"/>
        <w:pageBreakBefore w:val="0"/>
        <w:numPr>
          <w:ilvl w:val="0"/>
          <w:numId w:val="0"/>
        </w:numPr>
        <w:wordWrap/>
        <w:topLinePunct w:val="0"/>
        <w:bidi w:val="0"/>
        <w:adjustRightInd/>
        <w:snapToGrid/>
        <w:spacing w:line="560" w:lineRule="exact"/>
        <w:ind w:left="0" w:leftChars="0" w:firstLine="640" w:firstLineChars="200"/>
        <w:textAlignment w:val="auto"/>
        <w:rPr>
          <w:rFonts w:hint="eastAsia" w:ascii="黑体" w:hAnsi="黑体" w:eastAsia="黑体" w:cs="黑体"/>
          <w:color w:val="auto"/>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根据《中华人民共和国政府信息公开条例》（以下简称《条例》）的规定，现公布威海市环翠区</w:t>
      </w:r>
      <w:r>
        <w:rPr>
          <w:rFonts w:hint="eastAsia" w:ascii="Times New Roman" w:hAnsi="Times New Roman" w:eastAsia="仿宋_GB2312" w:cs="Times New Roman"/>
          <w:sz w:val="32"/>
          <w:szCs w:val="32"/>
          <w:lang w:val="en-US" w:eastAsia="zh-CN"/>
        </w:rPr>
        <w:t>孙家疃街道办事处2021</w:t>
      </w:r>
      <w:r>
        <w:rPr>
          <w:rFonts w:hint="eastAsia" w:ascii="Times New Roman" w:hAnsi="Times New Roman" w:eastAsia="仿宋_GB2312" w:cs="Times New Roman"/>
          <w:sz w:val="32"/>
          <w:szCs w:val="32"/>
          <w:lang w:eastAsia="zh-CN"/>
        </w:rPr>
        <w:t>年政府信息公开工作年度报告。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本报告中所列数据的统计期限自2021年1月1日起至2021年12月31日止。本报告的电子版可在环翠</w:t>
      </w:r>
      <w:r>
        <w:rPr>
          <w:rFonts w:hint="eastAsia" w:ascii="Times New Roman" w:hAnsi="Times New Roman" w:eastAsia="仿宋_GB2312" w:cs="Times New Roman"/>
          <w:color w:val="000000"/>
          <w:kern w:val="0"/>
          <w:sz w:val="32"/>
          <w:szCs w:val="32"/>
          <w:lang w:val="en-US" w:eastAsia="zh-CN"/>
        </w:rPr>
        <w:t>区</w:t>
      </w:r>
      <w:r>
        <w:rPr>
          <w:rFonts w:hint="default" w:ascii="Times New Roman" w:hAnsi="Times New Roman" w:eastAsia="仿宋_GB2312" w:cs="Times New Roman"/>
          <w:color w:val="000000"/>
          <w:kern w:val="0"/>
          <w:sz w:val="32"/>
          <w:szCs w:val="32"/>
        </w:rPr>
        <w:t>政务网（http://www.huancui.gov.cn）下载。如对本报告有疑问，请与</w:t>
      </w:r>
      <w:r>
        <w:rPr>
          <w:rFonts w:hint="eastAsia" w:ascii="Times New Roman" w:hAnsi="Times New Roman" w:eastAsia="仿宋_GB2312" w:cs="Times New Roman"/>
          <w:color w:val="000000"/>
          <w:kern w:val="0"/>
          <w:sz w:val="32"/>
          <w:szCs w:val="32"/>
          <w:lang w:val="en-US" w:eastAsia="zh-CN"/>
        </w:rPr>
        <w:t>孙家疃</w:t>
      </w:r>
      <w:r>
        <w:rPr>
          <w:rFonts w:hint="default" w:ascii="Times New Roman" w:hAnsi="Times New Roman" w:eastAsia="仿宋_GB2312" w:cs="Times New Roman"/>
          <w:color w:val="000000"/>
          <w:kern w:val="0"/>
          <w:sz w:val="32"/>
          <w:szCs w:val="32"/>
        </w:rPr>
        <w:t>街道办事处党政办公室联系（地址：</w:t>
      </w:r>
      <w:r>
        <w:rPr>
          <w:rFonts w:hint="eastAsia" w:ascii="Times New Roman" w:hAnsi="Times New Roman" w:eastAsia="仿宋_GB2312" w:cs="Times New Roman"/>
          <w:color w:val="000000"/>
          <w:kern w:val="0"/>
          <w:sz w:val="32"/>
          <w:szCs w:val="32"/>
        </w:rPr>
        <w:t>威海市环翠区孙家疃街道办事处驻地</w:t>
      </w:r>
      <w:r>
        <w:rPr>
          <w:rFonts w:hint="default" w:ascii="Times New Roman" w:hAnsi="Times New Roman" w:eastAsia="仿宋_GB2312" w:cs="Times New Roman"/>
          <w:color w:val="000000"/>
          <w:kern w:val="0"/>
          <w:sz w:val="32"/>
          <w:szCs w:val="32"/>
        </w:rPr>
        <w:t>；邮编：264200；电话：</w:t>
      </w:r>
      <w:r>
        <w:rPr>
          <w:rFonts w:hint="eastAsia" w:ascii="Times New Roman" w:hAnsi="Times New Roman" w:eastAsia="仿宋_GB2312" w:cs="Times New Roman"/>
          <w:color w:val="000000"/>
          <w:kern w:val="0"/>
          <w:sz w:val="32"/>
          <w:szCs w:val="32"/>
        </w:rPr>
        <w:t>0631—5125211</w:t>
      </w:r>
      <w:r>
        <w:rPr>
          <w:rFonts w:hint="default" w:ascii="Times New Roman" w:hAnsi="Times New Roman" w:eastAsia="仿宋_GB2312" w:cs="Times New Roman"/>
          <w:color w:val="000000"/>
          <w:kern w:val="0"/>
          <w:sz w:val="32"/>
          <w:szCs w:val="32"/>
        </w:rPr>
        <w:t>；传真：</w:t>
      </w:r>
      <w:r>
        <w:rPr>
          <w:rFonts w:hint="eastAsia" w:ascii="Times New Roman" w:hAnsi="Times New Roman" w:eastAsia="仿宋_GB2312" w:cs="Times New Roman"/>
          <w:color w:val="000000"/>
          <w:kern w:val="0"/>
          <w:sz w:val="32"/>
          <w:szCs w:val="32"/>
        </w:rPr>
        <w:t>0631—5125225</w:t>
      </w:r>
      <w:r>
        <w:rPr>
          <w:rFonts w:hint="eastAsia" w:ascii="Times New Roman" w:hAnsi="Times New Roman" w:eastAsia="仿宋_GB2312" w:cs="Times New Roman"/>
          <w:color w:val="000000"/>
          <w:kern w:val="0"/>
          <w:sz w:val="32"/>
          <w:szCs w:val="32"/>
          <w:lang w:eastAsia="zh-CN"/>
        </w:rPr>
        <w:t>；</w:t>
      </w:r>
      <w:r>
        <w:rPr>
          <w:rFonts w:hint="eastAsia" w:ascii="Times New Roman" w:hAnsi="Times New Roman" w:eastAsia="仿宋_GB2312" w:cs="Times New Roman"/>
          <w:color w:val="000000"/>
          <w:kern w:val="0"/>
          <w:sz w:val="32"/>
          <w:szCs w:val="32"/>
        </w:rPr>
        <w:t>电子邮箱：sjtzdzb@wh.shandong.cn</w:t>
      </w:r>
      <w:r>
        <w:rPr>
          <w:rFonts w:hint="default" w:ascii="Times New Roman" w:hAnsi="Times New Roman" w:eastAsia="仿宋_GB2312" w:cs="Times New Roman"/>
          <w:color w:val="000000"/>
          <w:kern w:val="0"/>
          <w:sz w:val="32"/>
          <w:szCs w:val="32"/>
        </w:rPr>
        <w:t>）。</w:t>
      </w:r>
    </w:p>
    <w:p>
      <w:pPr>
        <w:keepNext w:val="0"/>
        <w:keepLines w:val="0"/>
        <w:pageBreakBefore w:val="0"/>
        <w:numPr>
          <w:ilvl w:val="0"/>
          <w:numId w:val="0"/>
        </w:numPr>
        <w:kinsoku/>
        <w:wordWrap/>
        <w:topLinePunct w:val="0"/>
        <w:bidi w:val="0"/>
        <w:adjustRightInd/>
        <w:snapToGrid/>
        <w:spacing w:line="56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一、总体情况</w:t>
      </w:r>
    </w:p>
    <w:p>
      <w:pPr>
        <w:keepNext w:val="0"/>
        <w:keepLines w:val="0"/>
        <w:pageBreakBefore w:val="0"/>
        <w:widowControl w:val="0"/>
        <w:suppressLineNumbers w:val="0"/>
        <w:kinsoku/>
        <w:wordWrap/>
        <w:overflowPunct w:val="0"/>
        <w:topLinePunct w:val="0"/>
        <w:autoSpaceDE w:val="0"/>
        <w:autoSpaceDN w:val="0"/>
        <w:bidi w:val="0"/>
        <w:adjustRightInd/>
        <w:snapToGrid/>
        <w:spacing w:line="560" w:lineRule="exact"/>
        <w:ind w:left="0" w:lef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年，我处紧紧围绕街道中心工作，以公开透明为原则，以保障人民群众知情权、参与权和监督权为目标，深入贯彻落实党的十九大和十九届二中、三中、四中、五中</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六中</w:t>
      </w:r>
      <w:r>
        <w:rPr>
          <w:rFonts w:hint="default" w:ascii="Times New Roman" w:hAnsi="Times New Roman" w:eastAsia="仿宋_GB2312" w:cs="Times New Roman"/>
          <w:color w:val="auto"/>
          <w:sz w:val="32"/>
          <w:szCs w:val="32"/>
        </w:rPr>
        <w:t>全会精神、《中华人民共和国政府信息公开条例》、</w:t>
      </w:r>
      <w:r>
        <w:rPr>
          <w:rFonts w:hint="default" w:ascii="Times New Roman" w:hAnsi="Times New Roman" w:eastAsia="仿宋_GB2312" w:cs="Times New Roman"/>
          <w:color w:val="auto"/>
          <w:sz w:val="32"/>
          <w:szCs w:val="32"/>
          <w:lang w:val="en-US" w:eastAsia="zh-CN"/>
        </w:rPr>
        <w:t>《山东省人民政府办公厅关于全面推进基层政务公开标准化规范化工作的实施意见》、《202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年威海市环翠区政务公开重点工作及责任分工方案》文件精</w:t>
      </w:r>
      <w:r>
        <w:rPr>
          <w:rFonts w:hint="default" w:ascii="Times New Roman" w:hAnsi="Times New Roman" w:eastAsia="仿宋_GB2312" w:cs="Times New Roman"/>
          <w:color w:val="auto"/>
          <w:sz w:val="32"/>
          <w:szCs w:val="32"/>
        </w:rPr>
        <w:t>神，进一步规范公开内容，扩大公开范围，强化公开监督，确保息公开的时效性和有效性。</w:t>
      </w:r>
    </w:p>
    <w:p>
      <w:pPr>
        <w:keepNext w:val="0"/>
        <w:keepLines w:val="0"/>
        <w:pageBreakBefore w:val="0"/>
        <w:widowControl w:val="0"/>
        <w:suppressLineNumbers w:val="0"/>
        <w:kinsoku/>
        <w:wordWrap/>
        <w:overflowPunct w:val="0"/>
        <w:topLinePunct w:val="0"/>
        <w:autoSpaceDE w:val="0"/>
        <w:autoSpaceDN w:val="0"/>
        <w:bidi w:val="0"/>
        <w:adjustRightInd/>
        <w:snapToGrid/>
        <w:spacing w:line="560" w:lineRule="exact"/>
        <w:ind w:left="0" w:lef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现将</w:t>
      </w:r>
      <w:r>
        <w:rPr>
          <w:rFonts w:hint="default" w:ascii="Times New Roman" w:hAnsi="Times New Roman" w:eastAsia="仿宋_GB2312" w:cs="Times New Roman"/>
          <w:color w:val="auto"/>
          <w:sz w:val="32"/>
          <w:szCs w:val="32"/>
          <w:lang w:eastAsia="zh-CN"/>
        </w:rPr>
        <w:t>孙家疃街道</w:t>
      </w:r>
      <w:r>
        <w:rPr>
          <w:rFonts w:hint="default" w:ascii="Times New Roman" w:hAnsi="Times New Roman" w:eastAsia="仿宋_GB2312" w:cs="Times New Roman"/>
          <w:color w:val="auto"/>
          <w:sz w:val="32"/>
          <w:szCs w:val="32"/>
        </w:rPr>
        <w:t>办事处信息公开工作情况汇报如下：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00" w:right="0" w:rightChars="0"/>
        <w:jc w:val="both"/>
        <w:textAlignment w:val="auto"/>
        <w:outlineLvl w:val="9"/>
        <w:rPr>
          <w:rFonts w:hint="default" w:ascii="Times New Roman" w:hAnsi="Times New Roman" w:eastAsia="楷体_GB2312" w:cs="Times New Roman"/>
          <w:color w:val="auto"/>
          <w:sz w:val="32"/>
          <w:szCs w:val="32"/>
          <w:lang w:eastAsia="zh-CN"/>
        </w:rPr>
      </w:pPr>
      <w:r>
        <w:rPr>
          <w:rFonts w:hint="eastAsia" w:ascii="Times New Roman" w:hAnsi="Times New Roman" w:eastAsia="楷体_GB2312" w:cs="Times New Roman"/>
          <w:color w:val="auto"/>
          <w:sz w:val="32"/>
          <w:szCs w:val="32"/>
          <w:lang w:eastAsia="zh-CN"/>
        </w:rPr>
        <w:t>（</w:t>
      </w:r>
      <w:r>
        <w:rPr>
          <w:rFonts w:hint="eastAsia" w:ascii="Times New Roman" w:hAnsi="Times New Roman" w:eastAsia="楷体_GB2312" w:cs="Times New Roman"/>
          <w:color w:val="auto"/>
          <w:sz w:val="32"/>
          <w:szCs w:val="32"/>
          <w:lang w:val="en-US" w:eastAsia="zh-CN"/>
        </w:rPr>
        <w:t>一</w:t>
      </w:r>
      <w:r>
        <w:rPr>
          <w:rFonts w:hint="eastAsia"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eastAsia="zh-CN"/>
        </w:rPr>
        <w:t>主动公开政府信息情况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center"/>
        <w:textAlignment w:val="auto"/>
        <w:outlineLvl w:val="9"/>
        <w:rPr>
          <w:rFonts w:hint="default" w:ascii="Times New Roman" w:hAnsi="Times New Roman" w:eastAsia="仿宋_GB2312" w:cs="Times New Roman"/>
          <w:b/>
          <w:bCs/>
          <w:color w:val="auto"/>
          <w:sz w:val="32"/>
          <w:szCs w:val="32"/>
        </w:rPr>
      </w:pPr>
      <w:r>
        <w:drawing>
          <wp:inline distT="0" distB="0" distL="114300" distR="114300">
            <wp:extent cx="4541520" cy="3162300"/>
            <wp:effectExtent l="0" t="0" r="1143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4"/>
                    <a:stretch>
                      <a:fillRect/>
                    </a:stretch>
                  </pic:blipFill>
                  <pic:spPr>
                    <a:xfrm>
                      <a:off x="0" y="0"/>
                      <a:ext cx="4541520" cy="3162300"/>
                    </a:xfrm>
                    <a:prstGeom prst="rect">
                      <a:avLst/>
                    </a:prstGeom>
                    <a:noFill/>
                    <a:ln>
                      <a:noFill/>
                    </a:ln>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3"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color w:val="auto"/>
          <w:sz w:val="32"/>
          <w:szCs w:val="32"/>
        </w:rPr>
        <w:t>一是</w:t>
      </w:r>
      <w:r>
        <w:rPr>
          <w:rFonts w:hint="default" w:ascii="Times New Roman" w:hAnsi="Times New Roman" w:eastAsia="仿宋_GB2312" w:cs="Times New Roman"/>
          <w:b/>
          <w:bCs/>
          <w:color w:val="auto"/>
          <w:sz w:val="32"/>
          <w:szCs w:val="32"/>
          <w:lang w:eastAsia="zh-CN"/>
        </w:rPr>
        <w:t>按时发布重点领域工作信息。</w:t>
      </w: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年度发布</w:t>
      </w:r>
      <w:r>
        <w:rPr>
          <w:rFonts w:hint="eastAsia" w:ascii="Times New Roman" w:hAnsi="Times New Roman" w:eastAsia="仿宋_GB2312" w:cs="Times New Roman"/>
          <w:color w:val="auto"/>
          <w:sz w:val="32"/>
          <w:szCs w:val="32"/>
          <w:lang w:val="en-US" w:eastAsia="zh-CN"/>
        </w:rPr>
        <w:t>部门</w:t>
      </w:r>
      <w:r>
        <w:rPr>
          <w:rFonts w:hint="default" w:ascii="Times New Roman" w:hAnsi="Times New Roman" w:eastAsia="仿宋_GB2312" w:cs="Times New Roman"/>
          <w:color w:val="auto"/>
          <w:sz w:val="32"/>
          <w:szCs w:val="32"/>
          <w:lang w:val="en-US" w:eastAsia="zh-CN"/>
        </w:rPr>
        <w:t>工作信息共计</w:t>
      </w:r>
      <w:r>
        <w:rPr>
          <w:rFonts w:hint="eastAsia" w:ascii="Times New Roman" w:hAnsi="Times New Roman" w:eastAsia="仿宋_GB2312" w:cs="Times New Roman"/>
          <w:color w:val="auto"/>
          <w:sz w:val="32"/>
          <w:szCs w:val="32"/>
          <w:lang w:val="en-US" w:eastAsia="zh-CN"/>
        </w:rPr>
        <w:t>39</w:t>
      </w:r>
      <w:r>
        <w:rPr>
          <w:rFonts w:hint="default" w:ascii="Times New Roman" w:hAnsi="Times New Roman" w:eastAsia="仿宋_GB2312" w:cs="Times New Roman"/>
          <w:color w:val="auto"/>
          <w:sz w:val="32"/>
          <w:szCs w:val="32"/>
          <w:lang w:val="en-US" w:eastAsia="zh-CN"/>
        </w:rPr>
        <w:t>条，主要包括精致城市建设</w:t>
      </w:r>
      <w:r>
        <w:rPr>
          <w:rFonts w:hint="eastAsia" w:ascii="Times New Roman" w:hAnsi="Times New Roman" w:eastAsia="仿宋_GB2312" w:cs="Times New Roman"/>
          <w:color w:val="auto"/>
          <w:sz w:val="32"/>
          <w:szCs w:val="32"/>
          <w:lang w:val="en-US" w:eastAsia="zh-CN"/>
        </w:rPr>
        <w:t>、信用五进、社区治理</w:t>
      </w:r>
      <w:r>
        <w:rPr>
          <w:rFonts w:hint="default" w:ascii="Times New Roman" w:hAnsi="Times New Roman" w:eastAsia="仿宋_GB2312" w:cs="Times New Roman"/>
          <w:color w:val="auto"/>
          <w:sz w:val="32"/>
          <w:szCs w:val="32"/>
          <w:lang w:val="en-US" w:eastAsia="zh-CN"/>
        </w:rPr>
        <w:t>等内容。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val="en-US" w:eastAsia="zh-CN"/>
        </w:rPr>
        <w:t>二</w:t>
      </w:r>
      <w:r>
        <w:rPr>
          <w:rFonts w:hint="default" w:ascii="Times New Roman" w:hAnsi="Times New Roman" w:eastAsia="仿宋_GB2312" w:cs="Times New Roman"/>
          <w:b/>
          <w:bCs/>
          <w:color w:val="auto"/>
          <w:sz w:val="32"/>
          <w:szCs w:val="32"/>
          <w:lang w:eastAsia="zh-CN"/>
        </w:rPr>
        <w:t>是合理布局信息公开目录。</w:t>
      </w:r>
      <w:r>
        <w:rPr>
          <w:rFonts w:hint="default" w:ascii="Times New Roman" w:hAnsi="Times New Roman" w:eastAsia="仿宋_GB2312" w:cs="Times New Roman"/>
          <w:color w:val="auto"/>
          <w:sz w:val="32"/>
          <w:szCs w:val="32"/>
          <w:lang w:eastAsia="zh-CN"/>
        </w:rPr>
        <w:t>根据《山东省人民政府办公厅关于 2021 年山东省政务公开工作评估考核有关事项的通知》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《关于做好国办2021年度政务公开第三方评估迎评工作的通知》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《2021 年威海市政务公开评估考核实施方案》要求，</w:t>
      </w:r>
      <w:r>
        <w:rPr>
          <w:rFonts w:hint="eastAsia" w:ascii="Times New Roman" w:hAnsi="Times New Roman" w:eastAsia="仿宋_GB2312" w:cs="Times New Roman"/>
          <w:color w:val="auto"/>
          <w:sz w:val="32"/>
          <w:szCs w:val="32"/>
          <w:lang w:val="en-US" w:eastAsia="zh-CN"/>
        </w:rPr>
        <w:t>我处严格把关信息发布，重新整合主动公开基本目录。</w:t>
      </w:r>
      <w:r>
        <w:rPr>
          <w:rFonts w:hint="default" w:ascii="Times New Roman" w:hAnsi="Times New Roman" w:eastAsia="仿宋_GB2312" w:cs="Times New Roman"/>
          <w:color w:val="auto"/>
          <w:sz w:val="32"/>
          <w:szCs w:val="32"/>
          <w:lang w:eastAsia="zh-CN"/>
        </w:rPr>
        <w:t>在政府网站按时公开重大项目建设情况、为民实事进展、</w:t>
      </w:r>
      <w:r>
        <w:rPr>
          <w:rFonts w:hint="eastAsia" w:ascii="Times New Roman" w:hAnsi="Times New Roman" w:eastAsia="仿宋_GB2312" w:cs="Times New Roman"/>
          <w:color w:val="auto"/>
          <w:sz w:val="32"/>
          <w:szCs w:val="32"/>
          <w:lang w:val="en-US" w:eastAsia="zh-CN"/>
        </w:rPr>
        <w:t>部门工作</w:t>
      </w:r>
      <w:r>
        <w:rPr>
          <w:rFonts w:hint="default" w:ascii="Times New Roman" w:hAnsi="Times New Roman" w:eastAsia="仿宋_GB2312" w:cs="Times New Roman"/>
          <w:color w:val="auto"/>
          <w:sz w:val="32"/>
          <w:szCs w:val="32"/>
          <w:lang w:eastAsia="zh-CN"/>
        </w:rPr>
        <w:t>等信息及时回应社会关切。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bCs/>
          <w:color w:val="auto"/>
          <w:sz w:val="32"/>
          <w:szCs w:val="32"/>
          <w:lang w:val="en-US" w:eastAsia="zh-CN"/>
        </w:rPr>
        <w:t>三</w:t>
      </w:r>
      <w:r>
        <w:rPr>
          <w:rFonts w:hint="default" w:ascii="Times New Roman" w:hAnsi="Times New Roman" w:eastAsia="仿宋_GB2312" w:cs="Times New Roman"/>
          <w:b/>
          <w:bCs/>
          <w:color w:val="auto"/>
          <w:sz w:val="32"/>
          <w:szCs w:val="32"/>
        </w:rPr>
        <w:t>是</w:t>
      </w:r>
      <w:r>
        <w:rPr>
          <w:rFonts w:hint="default" w:ascii="Times New Roman" w:hAnsi="Times New Roman" w:eastAsia="仿宋_GB2312" w:cs="Times New Roman"/>
          <w:b/>
          <w:bCs/>
          <w:color w:val="auto"/>
          <w:sz w:val="32"/>
          <w:szCs w:val="32"/>
          <w:lang w:val="en-US" w:eastAsia="zh-CN"/>
        </w:rPr>
        <w:t>完善基层政务公开标准化规范化建设。</w:t>
      </w:r>
      <w:r>
        <w:rPr>
          <w:rFonts w:hint="default" w:ascii="Times New Roman" w:hAnsi="Times New Roman" w:eastAsia="仿宋_GB2312" w:cs="Times New Roman"/>
          <w:b w:val="0"/>
          <w:bCs w:val="0"/>
          <w:color w:val="auto"/>
          <w:sz w:val="32"/>
          <w:szCs w:val="32"/>
          <w:lang w:val="en-US" w:eastAsia="zh-CN"/>
        </w:rPr>
        <w:t>按照前期《威海市环翠区基层政务公开标准化规范化工作实施方案》要求，我处按时依规制定</w:t>
      </w:r>
      <w:r>
        <w:rPr>
          <w:rFonts w:hint="eastAsia" w:ascii="Times New Roman" w:hAnsi="Times New Roman" w:eastAsia="仿宋_GB2312" w:cs="Times New Roman"/>
          <w:b w:val="0"/>
          <w:bCs w:val="0"/>
          <w:color w:val="auto"/>
          <w:sz w:val="32"/>
          <w:szCs w:val="32"/>
          <w:lang w:val="en-US" w:eastAsia="zh-CN"/>
        </w:rPr>
        <w:t>《孙家疃街道——镇街村务公开和基层政务公开标准目录》</w:t>
      </w:r>
      <w:r>
        <w:rPr>
          <w:rFonts w:hint="default" w:ascii="Times New Roman" w:hAnsi="Times New Roman" w:eastAsia="仿宋_GB2312" w:cs="Times New Roman"/>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val="0"/>
          <w:bCs w:val="0"/>
          <w:color w:val="auto"/>
          <w:sz w:val="32"/>
          <w:szCs w:val="32"/>
          <w:lang w:val="en-US" w:eastAsia="zh-CN"/>
        </w:rPr>
        <w:t>截至202</w:t>
      </w:r>
      <w:r>
        <w:rPr>
          <w:rFonts w:hint="eastAsia"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lang w:val="en-US" w:eastAsia="zh-CN"/>
        </w:rPr>
        <w:t>年12月31日，</w:t>
      </w:r>
      <w:r>
        <w:rPr>
          <w:rFonts w:hint="eastAsia" w:ascii="Times New Roman" w:hAnsi="Times New Roman" w:eastAsia="仿宋_GB2312" w:cs="Times New Roman"/>
          <w:b w:val="0"/>
          <w:bCs w:val="0"/>
          <w:color w:val="auto"/>
          <w:sz w:val="32"/>
          <w:szCs w:val="32"/>
          <w:lang w:val="en-US" w:eastAsia="zh-CN"/>
        </w:rPr>
        <w:t>我处</w:t>
      </w:r>
      <w:r>
        <w:rPr>
          <w:rFonts w:hint="default" w:ascii="Times New Roman" w:hAnsi="Times New Roman" w:eastAsia="仿宋_GB2312" w:cs="Times New Roman"/>
          <w:b w:val="0"/>
          <w:bCs w:val="0"/>
          <w:color w:val="auto"/>
          <w:sz w:val="32"/>
          <w:szCs w:val="32"/>
          <w:lang w:val="en-US" w:eastAsia="zh-CN"/>
        </w:rPr>
        <w:t>主动公开政府信息</w:t>
      </w:r>
      <w:r>
        <w:rPr>
          <w:rFonts w:hint="eastAsia" w:ascii="Times New Roman" w:hAnsi="Times New Roman" w:eastAsia="仿宋_GB2312" w:cs="Times New Roman"/>
          <w:b w:val="0"/>
          <w:bCs w:val="0"/>
          <w:color w:val="auto"/>
          <w:sz w:val="32"/>
          <w:szCs w:val="32"/>
          <w:lang w:val="en-US" w:eastAsia="zh-CN"/>
        </w:rPr>
        <w:t>867</w:t>
      </w:r>
      <w:r>
        <w:rPr>
          <w:rFonts w:hint="default" w:ascii="Times New Roman" w:hAnsi="Times New Roman" w:eastAsia="仿宋_GB2312" w:cs="Times New Roman"/>
          <w:b w:val="0"/>
          <w:bCs w:val="0"/>
          <w:color w:val="auto"/>
          <w:sz w:val="32"/>
          <w:szCs w:val="32"/>
          <w:lang w:val="en-US" w:eastAsia="zh-CN"/>
        </w:rPr>
        <w:t>条。其中，政府网站公开信息数</w:t>
      </w:r>
      <w:r>
        <w:rPr>
          <w:rFonts w:hint="eastAsia" w:ascii="Times New Roman" w:hAnsi="Times New Roman" w:eastAsia="仿宋_GB2312" w:cs="Times New Roman"/>
          <w:b w:val="0"/>
          <w:bCs w:val="0"/>
          <w:color w:val="auto"/>
          <w:sz w:val="32"/>
          <w:szCs w:val="32"/>
          <w:lang w:val="en-US" w:eastAsia="zh-CN"/>
        </w:rPr>
        <w:t>72</w:t>
      </w:r>
      <w:r>
        <w:rPr>
          <w:rFonts w:hint="default" w:ascii="Times New Roman" w:hAnsi="Times New Roman" w:eastAsia="仿宋_GB2312" w:cs="Times New Roman"/>
          <w:b w:val="0"/>
          <w:bCs w:val="0"/>
          <w:color w:val="auto"/>
          <w:sz w:val="32"/>
          <w:szCs w:val="32"/>
          <w:lang w:val="en-US" w:eastAsia="zh-CN"/>
        </w:rPr>
        <w:t>条，政务微信公开政府信息数</w:t>
      </w:r>
      <w:r>
        <w:rPr>
          <w:rFonts w:hint="eastAsia" w:ascii="Times New Roman" w:hAnsi="Times New Roman" w:eastAsia="仿宋_GB2312" w:cs="Times New Roman"/>
          <w:b w:val="0"/>
          <w:bCs w:val="0"/>
          <w:color w:val="auto"/>
          <w:sz w:val="32"/>
          <w:szCs w:val="32"/>
          <w:lang w:val="en-US" w:eastAsia="zh-CN"/>
        </w:rPr>
        <w:t>399</w:t>
      </w:r>
      <w:r>
        <w:rPr>
          <w:rFonts w:hint="default" w:ascii="Times New Roman" w:hAnsi="Times New Roman" w:eastAsia="仿宋_GB2312" w:cs="Times New Roman"/>
          <w:b w:val="0"/>
          <w:bCs w:val="0"/>
          <w:color w:val="auto"/>
          <w:sz w:val="32"/>
          <w:szCs w:val="32"/>
          <w:lang w:val="en-US" w:eastAsia="zh-CN"/>
        </w:rPr>
        <w:t>条，政务微博公开政府信息数</w:t>
      </w:r>
      <w:r>
        <w:rPr>
          <w:rFonts w:hint="eastAsia" w:ascii="Times New Roman" w:hAnsi="Times New Roman" w:eastAsia="仿宋_GB2312" w:cs="Times New Roman"/>
          <w:b w:val="0"/>
          <w:bCs w:val="0"/>
          <w:color w:val="auto"/>
          <w:sz w:val="32"/>
          <w:szCs w:val="32"/>
          <w:lang w:val="en-US" w:eastAsia="zh-CN"/>
        </w:rPr>
        <w:t>396</w:t>
      </w:r>
      <w:r>
        <w:rPr>
          <w:rFonts w:hint="default" w:ascii="Times New Roman" w:hAnsi="Times New Roman" w:eastAsia="仿宋_GB2312" w:cs="Times New Roman"/>
          <w:b w:val="0"/>
          <w:bCs w:val="0"/>
          <w:color w:val="auto"/>
          <w:sz w:val="32"/>
          <w:szCs w:val="32"/>
          <w:lang w:val="en-US" w:eastAsia="zh-CN"/>
        </w:rPr>
        <w:t>条。公开业务管理类信息2</w:t>
      </w:r>
      <w:r>
        <w:rPr>
          <w:rFonts w:hint="eastAsia" w:ascii="Times New Roman" w:hAnsi="Times New Roman" w:eastAsia="仿宋_GB2312" w:cs="Times New Roman"/>
          <w:b w:val="0"/>
          <w:bCs w:val="0"/>
          <w:color w:val="auto"/>
          <w:sz w:val="32"/>
          <w:szCs w:val="32"/>
          <w:lang w:val="en-US" w:eastAsia="zh-CN"/>
        </w:rPr>
        <w:t>39</w:t>
      </w:r>
      <w:r>
        <w:rPr>
          <w:rFonts w:hint="default" w:ascii="Times New Roman" w:hAnsi="Times New Roman" w:eastAsia="仿宋_GB2312" w:cs="Times New Roman"/>
          <w:b w:val="0"/>
          <w:bCs w:val="0"/>
          <w:color w:val="auto"/>
          <w:sz w:val="32"/>
          <w:szCs w:val="32"/>
          <w:lang w:val="en-US" w:eastAsia="zh-CN"/>
        </w:rPr>
        <w:t>条，内容主要包括：为民实事、精致城市建设、“信用五进”等；社区建设类的信息</w:t>
      </w:r>
      <w:r>
        <w:rPr>
          <w:rFonts w:hint="eastAsia" w:ascii="Times New Roman" w:hAnsi="Times New Roman" w:eastAsia="仿宋_GB2312" w:cs="Times New Roman"/>
          <w:b w:val="0"/>
          <w:bCs w:val="0"/>
          <w:color w:val="auto"/>
          <w:sz w:val="32"/>
          <w:szCs w:val="32"/>
          <w:lang w:val="en-US" w:eastAsia="zh-CN"/>
        </w:rPr>
        <w:t>273</w:t>
      </w:r>
      <w:r>
        <w:rPr>
          <w:rFonts w:hint="default" w:ascii="Times New Roman" w:hAnsi="Times New Roman" w:eastAsia="仿宋_GB2312" w:cs="Times New Roman"/>
          <w:b w:val="0"/>
          <w:bCs w:val="0"/>
          <w:color w:val="auto"/>
          <w:sz w:val="32"/>
          <w:szCs w:val="32"/>
          <w:lang w:val="en-US" w:eastAsia="zh-CN"/>
        </w:rPr>
        <w:t>条；其他信息</w:t>
      </w:r>
      <w:r>
        <w:rPr>
          <w:rFonts w:hint="eastAsia" w:ascii="Times New Roman" w:hAnsi="Times New Roman" w:eastAsia="仿宋_GB2312" w:cs="Times New Roman"/>
          <w:b w:val="0"/>
          <w:bCs w:val="0"/>
          <w:color w:val="auto"/>
          <w:sz w:val="32"/>
          <w:szCs w:val="32"/>
          <w:lang w:val="en-US" w:eastAsia="zh-CN"/>
        </w:rPr>
        <w:t>355</w:t>
      </w:r>
      <w:r>
        <w:rPr>
          <w:rFonts w:hint="default" w:ascii="Times New Roman" w:hAnsi="Times New Roman" w:eastAsia="仿宋_GB2312" w:cs="Times New Roman"/>
          <w:b w:val="0"/>
          <w:bCs w:val="0"/>
          <w:color w:val="auto"/>
          <w:sz w:val="32"/>
          <w:szCs w:val="32"/>
          <w:lang w:val="en-US" w:eastAsia="zh-CN"/>
        </w:rPr>
        <w:t>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drawing>
          <wp:anchor distT="0" distB="0" distL="114935" distR="114935" simplePos="0" relativeHeight="251659264" behindDoc="0" locked="0" layoutInCell="1" allowOverlap="1">
            <wp:simplePos x="0" y="0"/>
            <wp:positionH relativeFrom="column">
              <wp:posOffset>1050925</wp:posOffset>
            </wp:positionH>
            <wp:positionV relativeFrom="paragraph">
              <wp:posOffset>15875</wp:posOffset>
            </wp:positionV>
            <wp:extent cx="3166110" cy="2525395"/>
            <wp:effectExtent l="0" t="0" r="15240" b="8255"/>
            <wp:wrapTopAndBottom/>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r>
        <w:rPr>
          <w:rFonts w:hint="eastAsia" w:ascii="Times New Roman" w:hAnsi="Times New Roman" w:eastAsia="仿宋_GB2312" w:cs="Times New Roman"/>
          <w:color w:val="auto"/>
          <w:sz w:val="32"/>
          <w:szCs w:val="32"/>
          <w:lang w:eastAsia="zh-CN"/>
        </w:rPr>
        <w:drawing>
          <wp:inline distT="0" distB="0" distL="114300" distR="114300">
            <wp:extent cx="4850130" cy="2837815"/>
            <wp:effectExtent l="0" t="0" r="7620" b="57785"/>
            <wp:docPr id="1" name="图表 1" descr="7b0a202020202263686172745265734964223a202232303437323139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楷体_GB2312" w:cs="Times New Roman"/>
          <w:color w:val="auto"/>
          <w:sz w:val="32"/>
          <w:szCs w:val="32"/>
        </w:rPr>
      </w:pPr>
      <w:r>
        <w:rPr>
          <w:rFonts w:hint="eastAsia" w:ascii="Times New Roman" w:hAnsi="Times New Roman" w:eastAsia="楷体_GB2312" w:cs="Times New Roman"/>
          <w:color w:val="auto"/>
          <w:sz w:val="32"/>
          <w:szCs w:val="32"/>
          <w:lang w:eastAsia="zh-CN"/>
        </w:rPr>
        <w:t>（</w:t>
      </w:r>
      <w:r>
        <w:rPr>
          <w:rFonts w:hint="eastAsia" w:ascii="Times New Roman" w:hAnsi="Times New Roman" w:eastAsia="楷体_GB2312" w:cs="Times New Roman"/>
          <w:color w:val="auto"/>
          <w:sz w:val="32"/>
          <w:szCs w:val="32"/>
          <w:lang w:val="en-US" w:eastAsia="zh-CN"/>
        </w:rPr>
        <w:t>二</w:t>
      </w:r>
      <w:r>
        <w:rPr>
          <w:rFonts w:hint="eastAsia"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政府信息公开申请办理情况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建立完善政府信息公开制度，明确依申请公开的受理机构和受理流程，按规定程序受理、审核、处理和答复。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一是广开申请渠道。</w:t>
      </w:r>
      <w:r>
        <w:rPr>
          <w:rFonts w:hint="default" w:ascii="Times New Roman" w:hAnsi="Times New Roman" w:eastAsia="仿宋_GB2312" w:cs="Times New Roman"/>
          <w:color w:val="auto"/>
          <w:sz w:val="32"/>
          <w:szCs w:val="32"/>
        </w:rPr>
        <w:t>公众可以通过政府信息公开网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孙家疃街道便民服务中心政务公开体验区、</w:t>
      </w:r>
      <w:r>
        <w:rPr>
          <w:rFonts w:hint="default" w:ascii="Times New Roman" w:hAnsi="Times New Roman" w:eastAsia="仿宋_GB2312" w:cs="Times New Roman"/>
          <w:color w:val="auto"/>
          <w:sz w:val="32"/>
          <w:szCs w:val="32"/>
        </w:rPr>
        <w:t>街道党政办公室现场申请，还可以用信函等方式申请。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二是建立了申请办理机制。</w:t>
      </w:r>
      <w:r>
        <w:rPr>
          <w:rFonts w:hint="default" w:ascii="Times New Roman" w:hAnsi="Times New Roman" w:eastAsia="仿宋_GB2312" w:cs="Times New Roman"/>
          <w:color w:val="auto"/>
          <w:sz w:val="32"/>
          <w:szCs w:val="32"/>
        </w:rPr>
        <w:t>对申请人直接向街道申请公开信息的，规定各</w:t>
      </w:r>
      <w:r>
        <w:rPr>
          <w:rFonts w:hint="eastAsia" w:ascii="Times New Roman" w:hAnsi="Times New Roman" w:eastAsia="仿宋_GB2312" w:cs="Times New Roman"/>
          <w:color w:val="auto"/>
          <w:sz w:val="32"/>
          <w:szCs w:val="32"/>
          <w:lang w:val="en-US" w:eastAsia="zh-CN"/>
        </w:rPr>
        <w:t>科室</w:t>
      </w:r>
      <w:r>
        <w:rPr>
          <w:rFonts w:hint="default" w:ascii="Times New Roman" w:hAnsi="Times New Roman" w:eastAsia="仿宋_GB2312" w:cs="Times New Roman"/>
          <w:color w:val="auto"/>
          <w:sz w:val="32"/>
          <w:szCs w:val="32"/>
        </w:rPr>
        <w:t>在15日内给予答复。对没有明确申请</w:t>
      </w:r>
      <w:r>
        <w:rPr>
          <w:rFonts w:hint="eastAsia" w:ascii="Times New Roman" w:hAnsi="Times New Roman" w:eastAsia="仿宋_GB2312" w:cs="Times New Roman"/>
          <w:color w:val="auto"/>
          <w:sz w:val="32"/>
          <w:szCs w:val="32"/>
          <w:lang w:val="en-US" w:eastAsia="zh-CN"/>
        </w:rPr>
        <w:t>科室</w:t>
      </w:r>
      <w:r>
        <w:rPr>
          <w:rFonts w:hint="default" w:ascii="Times New Roman" w:hAnsi="Times New Roman" w:eastAsia="仿宋_GB2312" w:cs="Times New Roman"/>
          <w:color w:val="auto"/>
          <w:sz w:val="32"/>
          <w:szCs w:val="32"/>
        </w:rPr>
        <w:t>或者申请事项涉及多</w:t>
      </w:r>
      <w:r>
        <w:rPr>
          <w:rFonts w:hint="eastAsia" w:ascii="Times New Roman" w:hAnsi="Times New Roman" w:eastAsia="仿宋_GB2312" w:cs="Times New Roman"/>
          <w:color w:val="auto"/>
          <w:sz w:val="32"/>
          <w:szCs w:val="32"/>
          <w:lang w:val="en-US" w:eastAsia="zh-CN"/>
        </w:rPr>
        <w:t>个科室</w:t>
      </w:r>
      <w:r>
        <w:rPr>
          <w:rFonts w:hint="default" w:ascii="Times New Roman" w:hAnsi="Times New Roman" w:eastAsia="仿宋_GB2312" w:cs="Times New Roman"/>
          <w:color w:val="auto"/>
          <w:sz w:val="32"/>
          <w:szCs w:val="32"/>
        </w:rPr>
        <w:t>的，党政办公室按照职责分工，指定相关</w:t>
      </w:r>
      <w:r>
        <w:rPr>
          <w:rFonts w:hint="eastAsia" w:ascii="Times New Roman" w:hAnsi="Times New Roman" w:eastAsia="仿宋_GB2312" w:cs="Times New Roman"/>
          <w:color w:val="auto"/>
          <w:sz w:val="32"/>
          <w:szCs w:val="32"/>
          <w:lang w:val="en-US" w:eastAsia="zh-CN"/>
        </w:rPr>
        <w:t>科室</w:t>
      </w:r>
      <w:r>
        <w:rPr>
          <w:rFonts w:hint="default" w:ascii="Times New Roman" w:hAnsi="Times New Roman" w:eastAsia="仿宋_GB2312" w:cs="Times New Roman"/>
          <w:color w:val="auto"/>
          <w:sz w:val="32"/>
          <w:szCs w:val="32"/>
        </w:rPr>
        <w:t>受理答复</w:t>
      </w:r>
      <w:r>
        <w:rPr>
          <w:rFonts w:hint="default" w:ascii="Times New Roman" w:hAnsi="Times New Roman" w:eastAsia="仿宋_GB2312" w:cs="Times New Roman"/>
          <w:color w:val="auto"/>
          <w:sz w:val="32"/>
          <w:szCs w:val="32"/>
          <w:lang w:eastAsia="zh-CN"/>
        </w:rPr>
        <w:t>并</w:t>
      </w:r>
      <w:r>
        <w:rPr>
          <w:rFonts w:hint="default" w:ascii="Times New Roman" w:hAnsi="Times New Roman" w:eastAsia="仿宋_GB2312" w:cs="Times New Roman"/>
          <w:color w:val="auto"/>
          <w:sz w:val="32"/>
          <w:szCs w:val="32"/>
        </w:rPr>
        <w:t>负责向申请人提供需要的公开资料。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eastAsia="zh-CN"/>
        </w:rPr>
        <w:t>度</w:t>
      </w:r>
      <w:r>
        <w:rPr>
          <w:rFonts w:hint="eastAsia" w:ascii="Times New Roman" w:hAnsi="Times New Roman" w:eastAsia="仿宋_GB2312" w:cs="Times New Roman"/>
          <w:color w:val="auto"/>
          <w:sz w:val="32"/>
          <w:szCs w:val="32"/>
          <w:lang w:val="en-US" w:eastAsia="zh-CN"/>
        </w:rPr>
        <w:t>我处未</w:t>
      </w:r>
      <w:r>
        <w:rPr>
          <w:rFonts w:hint="default" w:ascii="Times New Roman" w:hAnsi="Times New Roman" w:eastAsia="仿宋_GB2312" w:cs="Times New Roman"/>
          <w:color w:val="auto"/>
          <w:sz w:val="32"/>
          <w:szCs w:val="32"/>
        </w:rPr>
        <w:t>接到依申请公开事项。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宋体" w:eastAsia="仿宋_GB2312" w:cs="仿宋_GB2312"/>
          <w:i w:val="0"/>
          <w:iCs w:val="0"/>
          <w:caps w:val="0"/>
          <w:color w:val="auto"/>
          <w:spacing w:val="0"/>
          <w:sz w:val="31"/>
          <w:szCs w:val="31"/>
          <w:shd w:val="clear" w:fill="FFFFFF"/>
        </w:rPr>
      </w:pPr>
      <w:r>
        <w:rPr>
          <w:rFonts w:hint="default" w:ascii="Times New Roman" w:hAnsi="Times New Roman" w:eastAsia="楷体_GB2312" w:cs="Times New Roman"/>
          <w:color w:val="auto"/>
          <w:sz w:val="32"/>
          <w:szCs w:val="32"/>
          <w:lang w:eastAsia="zh-CN"/>
        </w:rPr>
        <w:t>（</w:t>
      </w:r>
      <w:r>
        <w:rPr>
          <w:rFonts w:hint="eastAsia" w:ascii="Times New Roman" w:hAnsi="Times New Roman"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rPr>
        <w:t>制度建设</w:t>
      </w:r>
      <w:r>
        <w:rPr>
          <w:rFonts w:hint="default" w:ascii="Times New Roman" w:hAnsi="Times New Roman" w:eastAsia="楷体_GB2312" w:cs="Times New Roman"/>
          <w:color w:val="auto"/>
          <w:sz w:val="32"/>
          <w:szCs w:val="32"/>
          <w:lang w:eastAsia="zh-CN"/>
        </w:rPr>
        <w:t>及政府信息管理</w:t>
      </w:r>
      <w:r>
        <w:rPr>
          <w:rFonts w:hint="default" w:ascii="Times New Roman" w:hAnsi="Times New Roman" w:eastAsia="楷体_GB2312" w:cs="Times New Roman"/>
          <w:color w:val="auto"/>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20" w:firstLineChars="200"/>
        <w:jc w:val="both"/>
        <w:textAlignment w:val="auto"/>
        <w:outlineLvl w:val="9"/>
        <w:rPr>
          <w:rFonts w:hint="eastAsia" w:ascii="仿宋_GB2312" w:hAnsi="宋体" w:eastAsia="仿宋_GB2312" w:cs="仿宋_GB2312"/>
          <w:i w:val="0"/>
          <w:iCs w:val="0"/>
          <w:caps w:val="0"/>
          <w:color w:val="auto"/>
          <w:spacing w:val="0"/>
          <w:sz w:val="31"/>
          <w:szCs w:val="31"/>
          <w:shd w:val="clear" w:fill="FFFFFF"/>
        </w:rPr>
      </w:pPr>
      <w:r>
        <w:rPr>
          <w:rFonts w:hint="eastAsia" w:ascii="仿宋_GB2312" w:hAnsi="宋体" w:eastAsia="仿宋_GB2312" w:cs="仿宋_GB2312"/>
          <w:i w:val="0"/>
          <w:iCs w:val="0"/>
          <w:caps w:val="0"/>
          <w:color w:val="auto"/>
          <w:spacing w:val="0"/>
          <w:sz w:val="31"/>
          <w:szCs w:val="31"/>
          <w:shd w:val="clear" w:fill="FFFFFF"/>
        </w:rPr>
        <w:t>建立健全政府信息发布的保密审查机制，政府网站信息发布实行“三审三查”，同时明确专职人员进行信息公开报送，进一步明确政务公开责任追究办法，完善审查等程序，确保政务信息公开工作取得实效。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20" w:firstLineChars="200"/>
        <w:jc w:val="both"/>
        <w:textAlignment w:val="auto"/>
        <w:outlineLvl w:val="9"/>
        <w:rPr>
          <w:rFonts w:hint="eastAsia" w:ascii="仿宋_GB2312" w:hAnsi="宋体" w:eastAsia="仿宋_GB2312" w:cs="仿宋_GB2312"/>
          <w:i w:val="0"/>
          <w:iCs w:val="0"/>
          <w:caps w:val="0"/>
          <w:color w:val="auto"/>
          <w:spacing w:val="0"/>
          <w:sz w:val="31"/>
          <w:szCs w:val="31"/>
          <w:shd w:val="clear" w:fill="FFFFFF"/>
        </w:rPr>
      </w:pPr>
      <w:r>
        <w:rPr>
          <w:rFonts w:hint="eastAsia" w:ascii="仿宋_GB2312" w:hAnsi="宋体" w:eastAsia="仿宋_GB2312" w:cs="仿宋_GB2312"/>
          <w:i w:val="0"/>
          <w:iCs w:val="0"/>
          <w:caps w:val="0"/>
          <w:color w:val="auto"/>
          <w:spacing w:val="0"/>
          <w:sz w:val="31"/>
          <w:szCs w:val="31"/>
          <w:shd w:val="clear" w:fill="FFFFFF"/>
        </w:rPr>
        <w:t>2021年度我处在《孙家疃街道办事处试点领域基层政务公开标准目录汇编》（初稿）的基础上制定了《孙家疃街道——镇街村务公开和基层政务公开标准目录》，为逐步推进政府信息公开工作提供组织和制度保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20" w:firstLineChars="200"/>
        <w:jc w:val="both"/>
        <w:textAlignment w:val="auto"/>
        <w:outlineLvl w:val="9"/>
        <w:rPr>
          <w:rFonts w:hint="eastAsia" w:ascii="仿宋_GB2312" w:hAnsi="宋体" w:eastAsia="仿宋_GB2312" w:cs="仿宋_GB2312"/>
          <w:i w:val="0"/>
          <w:iCs w:val="0"/>
          <w:caps w:val="0"/>
          <w:color w:val="auto"/>
          <w:spacing w:val="0"/>
          <w:sz w:val="31"/>
          <w:szCs w:val="31"/>
          <w:shd w:val="clear" w:fill="FFFFFF"/>
        </w:rPr>
      </w:pPr>
      <w:r>
        <w:rPr>
          <w:rFonts w:hint="eastAsia" w:ascii="仿宋_GB2312" w:hAnsi="宋体" w:eastAsia="仿宋_GB2312" w:cs="仿宋_GB2312"/>
          <w:i w:val="0"/>
          <w:iCs w:val="0"/>
          <w:caps w:val="0"/>
          <w:color w:val="auto"/>
          <w:spacing w:val="0"/>
          <w:sz w:val="31"/>
          <w:szCs w:val="31"/>
          <w:shd w:val="clear" w:fill="FFFFFF"/>
        </w:rPr>
        <w:t>2021年度我处予以公开部门文件共计5件。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宋体" w:eastAsia="仿宋_GB2312" w:cs="仿宋_GB2312"/>
          <w:i w:val="0"/>
          <w:iCs w:val="0"/>
          <w:caps w:val="0"/>
          <w:color w:val="auto"/>
          <w:spacing w:val="0"/>
          <w:sz w:val="31"/>
          <w:szCs w:val="31"/>
          <w:shd w:val="clear" w:fill="FFFFFF"/>
          <w:lang w:eastAsia="zh-CN"/>
        </w:rPr>
      </w:pPr>
      <w:bookmarkStart w:id="1" w:name="_GoBack"/>
      <w:bookmarkEnd w:id="1"/>
      <w:r>
        <w:rPr>
          <w:rFonts w:hint="default" w:ascii="Times New Roman" w:hAnsi="Times New Roman" w:eastAsia="楷体_GB2312" w:cs="Times New Roman"/>
          <w:color w:val="auto"/>
          <w:sz w:val="32"/>
          <w:szCs w:val="32"/>
          <w:lang w:eastAsia="zh-CN"/>
        </w:rPr>
        <w:t>（四）政府信息公开平台建设情况</w:t>
      </w:r>
    </w:p>
    <w:p>
      <w:pPr>
        <w:keepNext w:val="0"/>
        <w:keepLines w:val="0"/>
        <w:pageBreakBefore w:val="0"/>
        <w:widowControl w:val="0"/>
        <w:kinsoku/>
        <w:wordWrap/>
        <w:overflowPunct/>
        <w:topLinePunct w:val="0"/>
        <w:autoSpaceDE/>
        <w:autoSpaceDN/>
        <w:bidi w:val="0"/>
        <w:adjustRightInd/>
        <w:snapToGrid/>
        <w:spacing w:line="560" w:lineRule="exact"/>
        <w:ind w:firstLine="620" w:firstLineChars="200"/>
        <w:jc w:val="left"/>
        <w:textAlignment w:val="auto"/>
        <w:rPr>
          <w:rFonts w:hint="default" w:ascii="仿宋_GB2312" w:hAnsi="宋体" w:eastAsia="仿宋_GB2312" w:cs="仿宋_GB2312"/>
          <w:i w:val="0"/>
          <w:iCs w:val="0"/>
          <w:caps w:val="0"/>
          <w:color w:val="auto"/>
          <w:spacing w:val="0"/>
          <w:sz w:val="31"/>
          <w:szCs w:val="31"/>
          <w:shd w:val="clear" w:fill="FFFFFF"/>
          <w:lang w:eastAsia="zh-CN"/>
        </w:rPr>
      </w:pPr>
      <w:r>
        <w:rPr>
          <w:rFonts w:hint="default" w:ascii="仿宋_GB2312" w:hAnsi="宋体" w:eastAsia="仿宋_GB2312" w:cs="仿宋_GB2312"/>
          <w:i w:val="0"/>
          <w:iCs w:val="0"/>
          <w:caps w:val="0"/>
          <w:color w:val="auto"/>
          <w:spacing w:val="0"/>
          <w:sz w:val="31"/>
          <w:szCs w:val="31"/>
          <w:shd w:val="clear" w:fill="FFFFFF"/>
          <w:lang w:eastAsia="zh-CN"/>
        </w:rPr>
        <w:t>平台建设稳步推进。按时发布政务信息，</w:t>
      </w:r>
      <w:r>
        <w:rPr>
          <w:rFonts w:hint="eastAsia" w:ascii="仿宋_GB2312" w:hAnsi="宋体" w:eastAsia="仿宋_GB2312" w:cs="仿宋_GB2312"/>
          <w:i w:val="0"/>
          <w:iCs w:val="0"/>
          <w:caps w:val="0"/>
          <w:color w:val="auto"/>
          <w:spacing w:val="0"/>
          <w:sz w:val="31"/>
          <w:szCs w:val="31"/>
          <w:shd w:val="clear" w:fill="FFFFFF"/>
          <w:lang w:val="en-US" w:eastAsia="zh-CN"/>
        </w:rPr>
        <w:t>按照</w:t>
      </w:r>
      <w:r>
        <w:rPr>
          <w:rFonts w:hint="default" w:ascii="仿宋_GB2312" w:hAnsi="宋体" w:eastAsia="仿宋_GB2312" w:cs="仿宋_GB2312"/>
          <w:i w:val="0"/>
          <w:iCs w:val="0"/>
          <w:caps w:val="0"/>
          <w:color w:val="auto"/>
          <w:spacing w:val="0"/>
          <w:sz w:val="31"/>
          <w:szCs w:val="31"/>
          <w:shd w:val="clear" w:fill="FFFFFF"/>
          <w:lang w:eastAsia="zh-CN"/>
        </w:rPr>
        <w:t>“应公开，尽公开”的原则，及时公开街道工作相关内容，并通过微信、微博等渠道广泛发布</w:t>
      </w:r>
      <w:r>
        <w:rPr>
          <w:rFonts w:hint="eastAsia" w:ascii="仿宋_GB2312" w:hAnsi="宋体" w:eastAsia="仿宋_GB2312" w:cs="仿宋_GB2312"/>
          <w:i w:val="0"/>
          <w:iCs w:val="0"/>
          <w:caps w:val="0"/>
          <w:color w:val="auto"/>
          <w:spacing w:val="0"/>
          <w:sz w:val="31"/>
          <w:szCs w:val="31"/>
          <w:shd w:val="clear" w:fill="FFFFFF"/>
          <w:lang w:eastAsia="zh-CN"/>
        </w:rPr>
        <w:t>，</w:t>
      </w:r>
      <w:r>
        <w:rPr>
          <w:rFonts w:hint="eastAsia" w:ascii="仿宋_GB2312" w:hAnsi="宋体" w:eastAsia="仿宋_GB2312" w:cs="仿宋_GB2312"/>
          <w:i w:val="0"/>
          <w:iCs w:val="0"/>
          <w:caps w:val="0"/>
          <w:color w:val="auto"/>
          <w:spacing w:val="0"/>
          <w:sz w:val="31"/>
          <w:szCs w:val="31"/>
          <w:shd w:val="clear" w:fill="FFFFFF"/>
          <w:lang w:val="en-US" w:eastAsia="zh-CN"/>
        </w:rPr>
        <w:t>便于群众知晓日常工作</w:t>
      </w:r>
      <w:r>
        <w:rPr>
          <w:rFonts w:hint="default" w:ascii="仿宋_GB2312" w:hAnsi="宋体" w:eastAsia="仿宋_GB2312" w:cs="仿宋_GB2312"/>
          <w:i w:val="0"/>
          <w:iCs w:val="0"/>
          <w:caps w:val="0"/>
          <w:color w:val="auto"/>
          <w:spacing w:val="0"/>
          <w:sz w:val="31"/>
          <w:szCs w:val="31"/>
          <w:shd w:val="clear" w:fill="FFFFFF"/>
          <w:lang w:eastAsia="zh-CN"/>
        </w:rPr>
        <w:t>。同时加强政务新媒体管理，完善“两微一端”新平台，2021年街道微博发布信息60余条，微信公众号发布信息300余条。推动政府网站和政务新媒体安全平稳运行，规范政务新媒体健康发展，全面提高政务新媒体运营质量。</w:t>
      </w:r>
    </w:p>
    <w:p>
      <w:pPr>
        <w:keepNext w:val="0"/>
        <w:keepLines w:val="0"/>
        <w:pageBreakBefore w:val="0"/>
        <w:widowControl w:val="0"/>
        <w:kinsoku/>
        <w:wordWrap/>
        <w:overflowPunct/>
        <w:topLinePunct w:val="0"/>
        <w:autoSpaceDE/>
        <w:autoSpaceDN/>
        <w:bidi w:val="0"/>
        <w:adjustRightInd/>
        <w:snapToGrid/>
        <w:spacing w:line="560" w:lineRule="exact"/>
        <w:ind w:firstLine="620" w:firstLineChars="200"/>
        <w:jc w:val="left"/>
        <w:textAlignment w:val="auto"/>
        <w:rPr>
          <w:rFonts w:hint="default" w:ascii="Times New Roman" w:hAnsi="Times New Roman" w:eastAsia="楷体_GB2312" w:cs="Times New Roman"/>
          <w:color w:val="auto"/>
          <w:sz w:val="32"/>
          <w:szCs w:val="32"/>
          <w:lang w:eastAsia="zh-CN"/>
        </w:rPr>
      </w:pPr>
      <w:r>
        <w:rPr>
          <w:rFonts w:hint="default" w:ascii="仿宋_GB2312" w:hAnsi="宋体" w:eastAsia="仿宋_GB2312" w:cs="仿宋_GB2312"/>
          <w:i w:val="0"/>
          <w:iCs w:val="0"/>
          <w:caps w:val="0"/>
          <w:color w:val="auto"/>
          <w:spacing w:val="0"/>
          <w:sz w:val="31"/>
          <w:szCs w:val="31"/>
          <w:shd w:val="clear" w:fill="FFFFFF"/>
          <w:lang w:eastAsia="zh-CN"/>
        </w:rPr>
        <w:t>2021年度我处通过以上方式与群众互动约3200余人次，极大拓宽了居民互动的渠道。</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宋体" w:eastAsia="仿宋_GB2312" w:cs="仿宋_GB2312"/>
          <w:i w:val="0"/>
          <w:iCs w:val="0"/>
          <w:caps w:val="0"/>
          <w:color w:val="auto"/>
          <w:spacing w:val="0"/>
          <w:sz w:val="31"/>
          <w:szCs w:val="31"/>
          <w:shd w:val="clear" w:fill="FFFFFF"/>
          <w:lang w:eastAsia="zh-CN"/>
        </w:rPr>
      </w:pPr>
      <w:r>
        <w:rPr>
          <w:rFonts w:hint="default" w:ascii="Times New Roman" w:hAnsi="Times New Roman" w:eastAsia="楷体_GB2312" w:cs="Times New Roman"/>
          <w:color w:val="auto"/>
          <w:sz w:val="32"/>
          <w:szCs w:val="32"/>
          <w:lang w:eastAsia="zh-CN"/>
        </w:rPr>
        <w:t>（五）监督保障情况</w:t>
      </w:r>
    </w:p>
    <w:p>
      <w:pPr>
        <w:keepNext w:val="0"/>
        <w:keepLines w:val="0"/>
        <w:pageBreakBefore w:val="0"/>
        <w:widowControl w:val="0"/>
        <w:kinsoku/>
        <w:wordWrap/>
        <w:overflowPunct/>
        <w:topLinePunct w:val="0"/>
        <w:autoSpaceDE/>
        <w:autoSpaceDN/>
        <w:bidi w:val="0"/>
        <w:adjustRightInd/>
        <w:snapToGrid/>
        <w:spacing w:line="560" w:lineRule="exact"/>
        <w:ind w:firstLine="620" w:firstLineChars="200"/>
        <w:jc w:val="left"/>
        <w:textAlignment w:val="auto"/>
        <w:rPr>
          <w:rFonts w:hint="default" w:ascii="仿宋_GB2312" w:hAnsi="宋体" w:eastAsia="仿宋_GB2312" w:cs="仿宋_GB2312"/>
          <w:i w:val="0"/>
          <w:iCs w:val="0"/>
          <w:caps w:val="0"/>
          <w:color w:val="auto"/>
          <w:spacing w:val="0"/>
          <w:sz w:val="31"/>
          <w:szCs w:val="31"/>
          <w:shd w:val="clear" w:fill="FFFFFF"/>
          <w:lang w:eastAsia="zh-CN"/>
        </w:rPr>
      </w:pPr>
      <w:r>
        <w:rPr>
          <w:rFonts w:hint="default" w:ascii="仿宋_GB2312" w:hAnsi="宋体" w:eastAsia="仿宋_GB2312" w:cs="仿宋_GB2312"/>
          <w:i w:val="0"/>
          <w:iCs w:val="0"/>
          <w:caps w:val="0"/>
          <w:color w:val="auto"/>
          <w:spacing w:val="0"/>
          <w:sz w:val="31"/>
          <w:szCs w:val="31"/>
          <w:shd w:val="clear" w:fill="FFFFFF"/>
          <w:lang w:eastAsia="zh-CN"/>
        </w:rPr>
        <w:t>我处严格按照保密规定开展信息公开工作，规定所有公开的信息均按照程序逐级审批，按照《保密法》和《条例》的要求严格审查把关。</w:t>
      </w:r>
    </w:p>
    <w:p>
      <w:pPr>
        <w:keepNext w:val="0"/>
        <w:keepLines w:val="0"/>
        <w:pageBreakBefore w:val="0"/>
        <w:widowControl w:val="0"/>
        <w:kinsoku/>
        <w:wordWrap/>
        <w:overflowPunct/>
        <w:topLinePunct w:val="0"/>
        <w:autoSpaceDE/>
        <w:autoSpaceDN/>
        <w:bidi w:val="0"/>
        <w:adjustRightInd/>
        <w:snapToGrid/>
        <w:spacing w:line="560" w:lineRule="exact"/>
        <w:ind w:firstLine="620" w:firstLineChars="200"/>
        <w:jc w:val="left"/>
        <w:textAlignment w:val="auto"/>
        <w:rPr>
          <w:rFonts w:hint="default" w:ascii="仿宋_GB2312" w:hAnsi="宋体" w:eastAsia="仿宋_GB2312" w:cs="仿宋_GB2312"/>
          <w:i w:val="0"/>
          <w:iCs w:val="0"/>
          <w:caps w:val="0"/>
          <w:color w:val="auto"/>
          <w:spacing w:val="0"/>
          <w:sz w:val="31"/>
          <w:szCs w:val="31"/>
          <w:shd w:val="clear" w:fill="FFFFFF"/>
          <w:lang w:eastAsia="zh-CN"/>
        </w:rPr>
      </w:pPr>
      <w:r>
        <w:rPr>
          <w:rFonts w:hint="default" w:ascii="仿宋_GB2312" w:hAnsi="宋体" w:eastAsia="仿宋_GB2312" w:cs="仿宋_GB2312"/>
          <w:i w:val="0"/>
          <w:iCs w:val="0"/>
          <w:caps w:val="0"/>
          <w:color w:val="auto"/>
          <w:spacing w:val="0"/>
          <w:sz w:val="31"/>
          <w:szCs w:val="31"/>
          <w:shd w:val="clear" w:fill="FFFFFF"/>
          <w:lang w:eastAsia="zh-CN"/>
        </w:rPr>
        <w:t>进一步完善政府信息管理和发布、解读回应、公众参与、考核评议等工作机制，注重社会评议环节，加强工作部署与评估反馈问题整改，提高考核实效，开展年度政务公开考评工作，积极主动接受社会监督。围绕新修订的《政府信息公开条例》认真贯彻实施，认真做好相关考核指标，促进政府信息公开日常化、制度化、规范化，2021年全年未发生因不履行政务公开义务而发生的责任追究情况。</w:t>
      </w:r>
    </w:p>
    <w:p>
      <w:pPr>
        <w:keepNext w:val="0"/>
        <w:keepLines w:val="0"/>
        <w:pageBreakBefore w:val="0"/>
        <w:widowControl w:val="0"/>
        <w:kinsoku/>
        <w:wordWrap/>
        <w:overflowPunct/>
        <w:topLinePunct w:val="0"/>
        <w:autoSpaceDE/>
        <w:autoSpaceDN/>
        <w:bidi w:val="0"/>
        <w:adjustRightInd/>
        <w:snapToGrid/>
        <w:spacing w:line="560" w:lineRule="exact"/>
        <w:ind w:firstLine="620" w:firstLineChars="200"/>
        <w:jc w:val="left"/>
        <w:textAlignment w:val="auto"/>
        <w:rPr>
          <w:rFonts w:hint="default" w:ascii="Times New Roman" w:hAnsi="Times New Roman" w:eastAsia="楷体_GB2312" w:cs="Times New Roman"/>
          <w:color w:val="auto"/>
          <w:sz w:val="32"/>
          <w:szCs w:val="32"/>
          <w:lang w:eastAsia="zh-CN"/>
        </w:rPr>
      </w:pPr>
      <w:r>
        <w:rPr>
          <w:rFonts w:hint="default" w:ascii="仿宋_GB2312" w:hAnsi="宋体" w:eastAsia="仿宋_GB2312" w:cs="仿宋_GB2312"/>
          <w:i w:val="0"/>
          <w:iCs w:val="0"/>
          <w:caps w:val="0"/>
          <w:color w:val="auto"/>
          <w:spacing w:val="0"/>
          <w:sz w:val="31"/>
          <w:szCs w:val="31"/>
          <w:shd w:val="clear" w:fill="FFFFFF"/>
          <w:lang w:eastAsia="zh-CN"/>
        </w:rPr>
        <w:t>2021年度我处未收到政府信息公开有关的投诉、举报，也无其他责任追究的情形</w:t>
      </w:r>
      <w:r>
        <w:rPr>
          <w:rFonts w:hint="default" w:ascii="Times New Roman" w:hAnsi="Times New Roman" w:eastAsia="楷体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val="en-US" w:eastAsia="zh-CN"/>
        </w:rPr>
        <w:t>二、</w:t>
      </w:r>
      <w:r>
        <w:rPr>
          <w:rFonts w:hint="eastAsia" w:ascii="黑体" w:hAnsi="黑体" w:eastAsia="黑体" w:cs="黑体"/>
          <w:color w:val="auto"/>
          <w:sz w:val="32"/>
          <w:szCs w:val="32"/>
          <w:lang w:eastAsia="zh-CN"/>
        </w:rPr>
        <w:t>主动公开政府信息情况</w:t>
      </w:r>
    </w:p>
    <w:tbl>
      <w:tblPr>
        <w:tblStyle w:val="7"/>
        <w:tblW w:w="8722" w:type="dxa"/>
        <w:jc w:val="center"/>
        <w:tblLayout w:type="fixed"/>
        <w:tblCellMar>
          <w:top w:w="0" w:type="dxa"/>
          <w:left w:w="10" w:type="dxa"/>
          <w:bottom w:w="0" w:type="dxa"/>
          <w:right w:w="10" w:type="dxa"/>
        </w:tblCellMar>
      </w:tblPr>
      <w:tblGrid>
        <w:gridCol w:w="3115"/>
        <w:gridCol w:w="2146"/>
        <w:gridCol w:w="1538"/>
        <w:gridCol w:w="1923"/>
      </w:tblGrid>
      <w:tr>
        <w:tblPrEx>
          <w:tblCellMar>
            <w:top w:w="0" w:type="dxa"/>
            <w:left w:w="10" w:type="dxa"/>
            <w:bottom w:w="0" w:type="dxa"/>
            <w:right w:w="10" w:type="dxa"/>
          </w:tblCellMar>
        </w:tblPrEx>
        <w:trPr>
          <w:trHeight w:val="496" w:hRule="exact"/>
          <w:jc w:val="center"/>
        </w:trPr>
        <w:tc>
          <w:tcPr>
            <w:gridSpan w:val="4"/>
            <w:tcBorders>
              <w:top w:val="single" w:color="auto" w:sz="4" w:space="0"/>
              <w:left w:val="single" w:color="auto" w:sz="4" w:space="0"/>
              <w:right w:val="single" w:color="auto" w:sz="4" w:space="0"/>
            </w:tcBorders>
            <w:shd w:val="clear" w:color="auto" w:fill="9CC2E5" w:themeFill="accent1" w:themeFillTint="99"/>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color w:val="auto"/>
                <w:sz w:val="22"/>
                <w:szCs w:val="22"/>
              </w:rPr>
            </w:pPr>
            <w:r>
              <w:rPr>
                <w:color w:val="auto"/>
                <w:spacing w:val="0"/>
                <w:w w:val="100"/>
                <w:position w:val="0"/>
                <w:sz w:val="22"/>
                <w:szCs w:val="22"/>
              </w:rPr>
              <w:t>第二十条第（一）项</w:t>
            </w:r>
          </w:p>
        </w:tc>
      </w:tr>
      <w:tr>
        <w:tblPrEx>
          <w:tblCellMar>
            <w:top w:w="0" w:type="dxa"/>
            <w:left w:w="10" w:type="dxa"/>
            <w:bottom w:w="0" w:type="dxa"/>
            <w:right w:w="10" w:type="dxa"/>
          </w:tblCellMar>
        </w:tblPrEx>
        <w:trPr>
          <w:trHeight w:val="486" w:hRule="exact"/>
          <w:jc w:val="center"/>
        </w:trPr>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default" w:eastAsia="宋体"/>
                <w:color w:val="auto"/>
                <w:sz w:val="22"/>
                <w:szCs w:val="22"/>
                <w:lang w:val="en-US" w:eastAsia="zh-CN"/>
              </w:rPr>
            </w:pPr>
            <w:r>
              <w:rPr>
                <w:color w:val="auto"/>
                <w:spacing w:val="0"/>
                <w:w w:val="100"/>
                <w:position w:val="0"/>
                <w:sz w:val="22"/>
                <w:szCs w:val="22"/>
              </w:rPr>
              <w:t>本年</w:t>
            </w:r>
            <w:r>
              <w:rPr>
                <w:rFonts w:hint="eastAsia"/>
                <w:color w:val="auto"/>
                <w:spacing w:val="0"/>
                <w:w w:val="100"/>
                <w:position w:val="0"/>
                <w:sz w:val="22"/>
                <w:szCs w:val="22"/>
                <w:lang w:val="en-US" w:eastAsia="zh-CN"/>
              </w:rPr>
              <w:t>制发件数</w:t>
            </w:r>
          </w:p>
        </w:tc>
        <w:tc>
          <w:tcPr>
            <w:tcW w:w="1538" w:type="dxa"/>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rFonts w:hint="default" w:eastAsia="宋体"/>
                <w:color w:val="auto"/>
                <w:sz w:val="22"/>
                <w:szCs w:val="22"/>
                <w:lang w:val="en-US" w:eastAsia="zh-CN"/>
              </w:rPr>
            </w:pPr>
            <w:r>
              <w:rPr>
                <w:color w:val="auto"/>
                <w:spacing w:val="0"/>
                <w:w w:val="100"/>
                <w:position w:val="0"/>
                <w:sz w:val="22"/>
                <w:szCs w:val="22"/>
              </w:rPr>
              <w:t>本年</w:t>
            </w:r>
            <w:r>
              <w:rPr>
                <w:rFonts w:hint="eastAsia"/>
                <w:color w:val="auto"/>
                <w:spacing w:val="0"/>
                <w:w w:val="100"/>
                <w:position w:val="0"/>
                <w:sz w:val="22"/>
                <w:szCs w:val="22"/>
                <w:lang w:val="en-US" w:eastAsia="zh-CN"/>
              </w:rPr>
              <w:t>废止件数</w:t>
            </w:r>
          </w:p>
        </w:tc>
        <w:tc>
          <w:tcPr>
            <w:tcW w:w="1923" w:type="dxa"/>
            <w:tcBorders>
              <w:top w:val="single" w:color="auto" w:sz="4" w:space="0"/>
              <w:left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rFonts w:hint="default" w:eastAsia="宋体"/>
                <w:color w:val="auto"/>
                <w:sz w:val="22"/>
                <w:szCs w:val="22"/>
                <w:lang w:val="en-US" w:eastAsia="zh-CN"/>
              </w:rPr>
            </w:pPr>
            <w:r>
              <w:rPr>
                <w:rFonts w:hint="eastAsia"/>
                <w:color w:val="auto"/>
                <w:spacing w:val="0"/>
                <w:w w:val="100"/>
                <w:position w:val="0"/>
                <w:sz w:val="22"/>
                <w:szCs w:val="22"/>
                <w:lang w:val="en-US"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规章</w:t>
            </w:r>
          </w:p>
        </w:tc>
        <w:tc>
          <w:tcPr>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1538"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1923"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规范性文件</w:t>
            </w:r>
          </w:p>
        </w:tc>
        <w:tc>
          <w:tcPr>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1538"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1923"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511" w:hRule="exact"/>
          <w:jc w:val="center"/>
        </w:trPr>
        <w:tc>
          <w:tcPr>
            <w:gridSpan w:val="4"/>
            <w:tcBorders>
              <w:top w:val="single" w:color="auto" w:sz="4" w:space="0"/>
              <w:left w:val="single" w:color="auto" w:sz="4" w:space="0"/>
              <w:right w:val="single" w:color="auto" w:sz="4" w:space="0"/>
            </w:tcBorders>
            <w:shd w:val="clear" w:color="auto" w:fill="9CC2E5" w:themeFill="accent1" w:themeFillTint="99"/>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color w:val="auto"/>
                <w:sz w:val="22"/>
                <w:szCs w:val="22"/>
              </w:rPr>
            </w:pPr>
            <w:r>
              <w:rPr>
                <w:color w:val="auto"/>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default" w:eastAsia="宋体"/>
                <w:color w:val="auto"/>
                <w:sz w:val="22"/>
                <w:szCs w:val="22"/>
                <w:lang w:val="en-US" w:eastAsia="zh-CN"/>
              </w:rPr>
            </w:pPr>
            <w:r>
              <w:rPr>
                <w:rFonts w:hint="eastAsia"/>
                <w:color w:val="auto"/>
                <w:spacing w:val="0"/>
                <w:w w:val="100"/>
                <w:position w:val="0"/>
                <w:sz w:val="22"/>
                <w:szCs w:val="22"/>
                <w:lang w:val="en-US"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61" w:hRule="exact"/>
          <w:jc w:val="center"/>
        </w:trPr>
        <w:tc>
          <w:tcPr>
            <w:gridSpan w:val="4"/>
            <w:tcBorders>
              <w:top w:val="single" w:color="auto" w:sz="4" w:space="0"/>
              <w:left w:val="single" w:color="auto" w:sz="4" w:space="0"/>
              <w:bottom w:val="single" w:color="auto" w:sz="4" w:space="0"/>
              <w:right w:val="single" w:color="auto" w:sz="4" w:space="0"/>
            </w:tcBorders>
            <w:shd w:val="clear" w:color="auto" w:fill="9CC2E5" w:themeFill="accent1" w:themeFillTint="99"/>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color w:val="auto"/>
                <w:sz w:val="22"/>
                <w:szCs w:val="22"/>
              </w:rPr>
            </w:pPr>
            <w:r>
              <w:rPr>
                <w:color w:val="auto"/>
                <w:spacing w:val="0"/>
                <w:w w:val="100"/>
                <w:position w:val="0"/>
                <w:sz w:val="22"/>
                <w:szCs w:val="22"/>
              </w:rPr>
              <w:t>第二十条第（六）项</w:t>
            </w:r>
          </w:p>
        </w:tc>
      </w:tr>
      <w:tr>
        <w:tblPrEx>
          <w:tblCellMar>
            <w:top w:w="0" w:type="dxa"/>
            <w:left w:w="10" w:type="dxa"/>
            <w:bottom w:w="0" w:type="dxa"/>
            <w:right w:w="10" w:type="dxa"/>
          </w:tblCellMar>
        </w:tblPrEx>
        <w:trPr>
          <w:trHeight w:val="46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color w:val="auto"/>
                <w:sz w:val="22"/>
                <w:szCs w:val="22"/>
              </w:rPr>
            </w:pPr>
            <w:r>
              <w:rPr>
                <w:rFonts w:hint="eastAsia"/>
                <w:color w:val="auto"/>
                <w:spacing w:val="0"/>
                <w:w w:val="100"/>
                <w:position w:val="0"/>
                <w:sz w:val="22"/>
                <w:szCs w:val="22"/>
                <w:lang w:val="en-US" w:eastAsia="zh-CN"/>
              </w:rPr>
              <w:t>本年处理决定数量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行政处罚</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bottom"/>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行政强制</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cstheme="minorEastAsia"/>
                <w:color w:val="auto"/>
                <w:sz w:val="22"/>
                <w:szCs w:val="22"/>
                <w:lang w:val="en-US" w:eastAsia="zh-CN"/>
              </w:rPr>
            </w:pPr>
          </w:p>
        </w:tc>
      </w:tr>
      <w:tr>
        <w:tblPrEx>
          <w:tblCellMar>
            <w:top w:w="0" w:type="dxa"/>
            <w:left w:w="10" w:type="dxa"/>
            <w:bottom w:w="0" w:type="dxa"/>
            <w:right w:w="10" w:type="dxa"/>
          </w:tblCellMar>
        </w:tblPrEx>
        <w:trPr>
          <w:trHeight w:val="406" w:hRule="exact"/>
          <w:jc w:val="center"/>
        </w:trPr>
        <w:tc>
          <w:tcPr>
            <w:gridSpan w:val="4"/>
            <w:tcBorders>
              <w:top w:val="single" w:color="auto" w:sz="4" w:space="0"/>
              <w:left w:val="single" w:color="auto" w:sz="4" w:space="0"/>
              <w:right w:val="single" w:color="auto" w:sz="4" w:space="0"/>
            </w:tcBorders>
            <w:shd w:val="clear" w:color="auto" w:fill="9CC2E5" w:themeFill="accent1" w:themeFillTint="99"/>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color w:val="auto"/>
                <w:sz w:val="22"/>
                <w:szCs w:val="22"/>
              </w:rPr>
            </w:pPr>
            <w:r>
              <w:rPr>
                <w:color w:val="auto"/>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eastAsia="宋体"/>
                <w:color w:val="auto"/>
                <w:sz w:val="22"/>
                <w:szCs w:val="22"/>
                <w:lang w:eastAsia="zh-CN"/>
              </w:rPr>
            </w:pPr>
            <w:r>
              <w:rPr>
                <w:rFonts w:hint="eastAsia"/>
                <w:color w:val="auto"/>
                <w:spacing w:val="0"/>
                <w:w w:val="100"/>
                <w:position w:val="0"/>
                <w:sz w:val="22"/>
                <w:szCs w:val="22"/>
                <w:lang w:val="en-US" w:eastAsia="zh-CN"/>
              </w:rPr>
              <w:t>本年收费金额</w:t>
            </w:r>
            <w:r>
              <w:rPr>
                <w:rFonts w:hint="eastAsia"/>
                <w:color w:val="auto"/>
                <w:spacing w:val="0"/>
                <w:w w:val="100"/>
                <w:position w:val="0"/>
                <w:sz w:val="22"/>
                <w:szCs w:val="22"/>
                <w:lang w:eastAsia="zh-CN"/>
              </w:rPr>
              <w:t>（</w:t>
            </w:r>
            <w:r>
              <w:rPr>
                <w:rFonts w:hint="eastAsia"/>
                <w:color w:val="auto"/>
                <w:spacing w:val="0"/>
                <w:w w:val="100"/>
                <w:position w:val="0"/>
                <w:sz w:val="22"/>
                <w:szCs w:val="22"/>
                <w:lang w:val="en-US" w:eastAsia="zh-CN"/>
              </w:rPr>
              <w:t>单位：万元</w:t>
            </w:r>
            <w:r>
              <w:rPr>
                <w:rFonts w:hint="eastAsia"/>
                <w:color w:val="auto"/>
                <w:spacing w:val="0"/>
                <w:w w:val="100"/>
                <w:position w:val="0"/>
                <w:sz w:val="22"/>
                <w:szCs w:val="22"/>
                <w:lang w:eastAsia="zh-CN"/>
              </w:rPr>
              <w:t>）</w:t>
            </w:r>
          </w:p>
        </w:tc>
      </w:tr>
      <w:tr>
        <w:tblPrEx>
          <w:tblCellMar>
            <w:top w:w="0" w:type="dxa"/>
            <w:left w:w="10" w:type="dxa"/>
            <w:bottom w:w="0" w:type="dxa"/>
            <w:right w:w="10" w:type="dxa"/>
          </w:tblCellMar>
        </w:tblPrEx>
        <w:trPr>
          <w:trHeight w:val="375"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0" w:firstLineChars="0"/>
              <w:jc w:val="left"/>
              <w:textAlignment w:val="auto"/>
              <w:rPr>
                <w:color w:val="auto"/>
                <w:sz w:val="22"/>
                <w:szCs w:val="22"/>
              </w:rPr>
            </w:pPr>
            <w:r>
              <w:rPr>
                <w:color w:val="auto"/>
                <w:spacing w:val="0"/>
                <w:w w:val="100"/>
                <w:position w:val="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heme="minorEastAsia" w:hAnsi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楷体_GB2312" w:cs="Times New Roman"/>
          <w:color w:val="auto"/>
          <w:sz w:val="32"/>
          <w:szCs w:val="32"/>
        </w:rPr>
      </w:pPr>
      <w:r>
        <w:rPr>
          <w:rFonts w:hint="eastAsia" w:ascii="黑体" w:hAnsi="黑体" w:eastAsia="黑体" w:cs="黑体"/>
          <w:color w:val="auto"/>
          <w:sz w:val="32"/>
          <w:szCs w:val="32"/>
          <w:lang w:val="en-US" w:eastAsia="zh-CN"/>
        </w:rPr>
        <w:t>三、收到和处理</w:t>
      </w:r>
      <w:r>
        <w:rPr>
          <w:rFonts w:hint="eastAsia" w:ascii="黑体" w:hAnsi="黑体" w:eastAsia="黑体" w:cs="黑体"/>
          <w:color w:val="auto"/>
          <w:sz w:val="32"/>
          <w:szCs w:val="32"/>
        </w:rPr>
        <w:t>政府信息公开申请情况</w:t>
      </w:r>
    </w:p>
    <w:tbl>
      <w:tblPr>
        <w:tblStyle w:val="7"/>
        <w:tblW w:w="8721" w:type="dxa"/>
        <w:jc w:val="center"/>
        <w:tblLayout w:type="fixed"/>
        <w:tblCellMar>
          <w:top w:w="0" w:type="dxa"/>
          <w:left w:w="10" w:type="dxa"/>
          <w:bottom w:w="0" w:type="dxa"/>
          <w:right w:w="10" w:type="dxa"/>
        </w:tblCellMar>
      </w:tblPr>
      <w:tblGrid>
        <w:gridCol w:w="919"/>
        <w:gridCol w:w="945"/>
        <w:gridCol w:w="2880"/>
        <w:gridCol w:w="521"/>
        <w:gridCol w:w="469"/>
        <w:gridCol w:w="555"/>
        <w:gridCol w:w="735"/>
        <w:gridCol w:w="720"/>
        <w:gridCol w:w="495"/>
        <w:gridCol w:w="482"/>
      </w:tblGrid>
      <w:tr>
        <w:tblPrEx>
          <w:tblCellMar>
            <w:top w:w="0" w:type="dxa"/>
            <w:left w:w="10" w:type="dxa"/>
            <w:bottom w:w="0" w:type="dxa"/>
            <w:right w:w="10" w:type="dxa"/>
          </w:tblCellMar>
        </w:tblPrEx>
        <w:trPr>
          <w:trHeight w:val="461" w:hRule="exact"/>
          <w:jc w:val="center"/>
        </w:trPr>
        <w:tc>
          <w:tcPr>
            <w:tcW w:w="4744" w:type="dxa"/>
            <w:gridSpan w:val="3"/>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eastAsia="楷体_GB2312"/>
                <w:color w:val="auto"/>
                <w:sz w:val="20"/>
                <w:szCs w:val="20"/>
                <w:lang w:eastAsia="zh-CN"/>
              </w:rPr>
            </w:pPr>
            <w:r>
              <w:rPr>
                <w:rFonts w:hint="eastAsia" w:ascii="楷体_GB2312" w:hAnsi="楷体_GB2312" w:eastAsia="楷体_GB2312" w:cs="楷体_GB2312"/>
                <w:color w:val="auto"/>
                <w:spacing w:val="0"/>
                <w:w w:val="100"/>
                <w:position w:val="0"/>
                <w:sz w:val="24"/>
                <w:szCs w:val="24"/>
                <w:lang w:val="en-US" w:eastAsia="zh-CN"/>
              </w:rPr>
              <w:t>(</w:t>
            </w:r>
            <w:r>
              <w:rPr>
                <w:rFonts w:hint="eastAsia" w:ascii="楷体_GB2312" w:hAnsi="楷体_GB2312" w:eastAsia="楷体_GB2312" w:cs="楷体_GB2312"/>
                <w:color w:val="auto"/>
                <w:spacing w:val="0"/>
                <w:w w:val="100"/>
                <w:position w:val="0"/>
                <w:sz w:val="24"/>
                <w:szCs w:val="24"/>
              </w:rPr>
              <w:t>本列数据的勾稽关系为：第一项加第二项之和， 等于第三项加第四项之和</w:t>
            </w:r>
            <w:r>
              <w:rPr>
                <w:rFonts w:hint="eastAsia" w:ascii="楷体_GB2312" w:hAnsi="楷体_GB2312" w:eastAsia="楷体_GB2312" w:cs="楷体_GB2312"/>
                <w:color w:val="auto"/>
                <w:spacing w:val="0"/>
                <w:w w:val="100"/>
                <w:position w:val="0"/>
                <w:sz w:val="24"/>
                <w:szCs w:val="24"/>
                <w:lang w:val="en-US" w:eastAsia="zh-CN"/>
              </w:rPr>
              <w:t>)</w:t>
            </w:r>
          </w:p>
        </w:tc>
        <w:tc>
          <w:tcPr>
            <w:tcW w:w="3977" w:type="dxa"/>
            <w:gridSpan w:val="7"/>
            <w:tcBorders>
              <w:top w:val="single" w:color="auto" w:sz="4" w:space="0"/>
              <w:left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申请人情况</w:t>
            </w:r>
          </w:p>
        </w:tc>
      </w:tr>
      <w:tr>
        <w:tblPrEx>
          <w:tblCellMar>
            <w:top w:w="0" w:type="dxa"/>
            <w:left w:w="10" w:type="dxa"/>
            <w:bottom w:w="0" w:type="dxa"/>
            <w:right w:w="10" w:type="dxa"/>
          </w:tblCellMar>
        </w:tblPrEx>
        <w:trPr>
          <w:trHeight w:val="361" w:hRule="exact"/>
          <w:jc w:val="center"/>
        </w:trPr>
        <w:tc>
          <w:tcPr>
            <w:tcW w:w="4744" w:type="dxa"/>
            <w:gridSpan w:val="3"/>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tcW w:w="521" w:type="dxa"/>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自然人</w:t>
            </w:r>
          </w:p>
        </w:tc>
        <w:tc>
          <w:tcPr>
            <w:tcW w:w="2974" w:type="dxa"/>
            <w:gridSpan w:val="5"/>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法人或其他组织</w:t>
            </w:r>
          </w:p>
        </w:tc>
        <w:tc>
          <w:tcPr>
            <w:tcW w:w="482" w:type="dxa"/>
            <w:vMerge w:val="restart"/>
            <w:tcBorders>
              <w:top w:val="single" w:color="auto" w:sz="4" w:space="0"/>
              <w:left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总计</w:t>
            </w:r>
          </w:p>
        </w:tc>
      </w:tr>
      <w:tr>
        <w:tblPrEx>
          <w:tblCellMar>
            <w:top w:w="0" w:type="dxa"/>
            <w:left w:w="10" w:type="dxa"/>
            <w:bottom w:w="0" w:type="dxa"/>
            <w:right w:w="10" w:type="dxa"/>
          </w:tblCellMar>
        </w:tblPrEx>
        <w:trPr>
          <w:trHeight w:val="651" w:hRule="atLeast"/>
          <w:jc w:val="center"/>
        </w:trPr>
        <w:tc>
          <w:tcPr>
            <w:tcW w:w="4744" w:type="dxa"/>
            <w:gridSpan w:val="3"/>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tcW w:w="521"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rPr>
            </w:pPr>
          </w:p>
        </w:tc>
        <w:tc>
          <w:tcPr>
            <w:tcW w:w="469"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商业 企业</w:t>
            </w:r>
          </w:p>
        </w:tc>
        <w:tc>
          <w:tcPr>
            <w:tcW w:w="555"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科研 机构</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10"/>
                <w:szCs w:val="10"/>
                <w:lang w:val="en-US" w:eastAsia="zh-CN"/>
              </w:rPr>
            </w:pPr>
            <w:r>
              <w:rPr>
                <w:rFonts w:hint="eastAsia" w:ascii="黑体" w:hAnsi="黑体" w:eastAsia="黑体" w:cs="黑体"/>
                <w:color w:val="auto"/>
                <w:spacing w:val="0"/>
                <w:w w:val="100"/>
                <w:position w:val="0"/>
                <w:sz w:val="20"/>
                <w:szCs w:val="20"/>
                <w:u w:val="none"/>
                <w:shd w:val="clear" w:color="auto" w:fill="auto"/>
                <w:lang w:val="en-US" w:eastAsia="zh-CN" w:bidi="zh-TW"/>
              </w:rPr>
              <w:t>社会公益组织</w:t>
            </w:r>
          </w:p>
        </w:tc>
        <w:tc>
          <w:tcPr>
            <w:tcW w:w="720"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法律服务机构</w:t>
            </w:r>
          </w:p>
        </w:tc>
        <w:tc>
          <w:tcPr>
            <w:tcW w:w="495"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0"/>
                <w:szCs w:val="20"/>
              </w:rPr>
            </w:pPr>
            <w:r>
              <w:rPr>
                <w:rFonts w:hint="eastAsia" w:ascii="黑体" w:hAnsi="黑体" w:eastAsia="黑体" w:cs="黑体"/>
                <w:color w:val="auto"/>
                <w:spacing w:val="0"/>
                <w:w w:val="100"/>
                <w:position w:val="0"/>
                <w:sz w:val="20"/>
                <w:szCs w:val="20"/>
              </w:rPr>
              <w:t>其他</w:t>
            </w:r>
          </w:p>
        </w:tc>
        <w:tc>
          <w:tcPr>
            <w:tcW w:w="482" w:type="dxa"/>
            <w:vMerge w:val="continue"/>
            <w:tcBorders>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rPr>
            </w:pPr>
          </w:p>
        </w:tc>
      </w:tr>
      <w:tr>
        <w:tblPrEx>
          <w:tblCellMar>
            <w:top w:w="0" w:type="dxa"/>
            <w:left w:w="10" w:type="dxa"/>
            <w:bottom w:w="0" w:type="dxa"/>
            <w:right w:w="10" w:type="dxa"/>
          </w:tblCellMar>
        </w:tblPrEx>
        <w:trPr>
          <w:trHeight w:val="451" w:hRule="exact"/>
          <w:jc w:val="center"/>
        </w:trPr>
        <w:tc>
          <w:tcPr>
            <w:tcW w:w="4744" w:type="dxa"/>
            <w:gridSpan w:val="3"/>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rPr>
              <w:t>一、本年新收政府信息公开申请数量</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51" w:hRule="exact"/>
          <w:jc w:val="center"/>
        </w:trPr>
        <w:tc>
          <w:tcPr>
            <w:tcW w:w="4744" w:type="dxa"/>
            <w:gridSpan w:val="3"/>
            <w:tcBorders>
              <w:top w:val="single" w:color="auto" w:sz="4" w:space="0"/>
              <w:left w:val="single" w:color="auto" w:sz="4" w:space="0"/>
              <w:bottom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rPr>
              <w:t>二、上年结转政府信息公开申请数量</w:t>
            </w:r>
          </w:p>
        </w:tc>
        <w:tc>
          <w:tcPr>
            <w:tcW w:w="521"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eastAsia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91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line="240" w:lineRule="auto"/>
              <w:ind w:left="0" w:leftChars="0" w:right="0" w:firstLine="0" w:firstLineChars="0"/>
              <w:jc w:val="center"/>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rPr>
              <w:t>三、本年度办理结果</w:t>
            </w:r>
          </w:p>
        </w:tc>
        <w:tc>
          <w:tcPr>
            <w:tcW w:w="3825"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rPr>
              <w:t>（一）予以公开</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682"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3825"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left"/>
              <w:textAlignment w:val="auto"/>
              <w:rPr>
                <w:rFonts w:hint="eastAsia" w:ascii="黑体" w:hAnsi="黑体" w:eastAsia="楷体_GB2312" w:cs="黑体"/>
                <w:color w:val="auto"/>
                <w:sz w:val="21"/>
                <w:szCs w:val="21"/>
                <w:lang w:val="en-US" w:eastAsia="zh-CN"/>
              </w:rPr>
            </w:pPr>
            <w:r>
              <w:rPr>
                <w:rFonts w:hint="eastAsia" w:ascii="黑体" w:hAnsi="黑体" w:eastAsia="黑体" w:cs="黑体"/>
                <w:color w:val="auto"/>
                <w:spacing w:val="0"/>
                <w:w w:val="100"/>
                <w:position w:val="0"/>
                <w:sz w:val="21"/>
                <w:szCs w:val="21"/>
              </w:rPr>
              <w:t>（二）部分公开</w:t>
            </w:r>
            <w:r>
              <w:rPr>
                <w:rFonts w:hint="eastAsia" w:ascii="黑体" w:hAnsi="黑体" w:eastAsia="黑体" w:cs="黑体"/>
                <w:color w:val="auto"/>
                <w:spacing w:val="0"/>
                <w:w w:val="100"/>
                <w:position w:val="0"/>
                <w:sz w:val="21"/>
                <w:szCs w:val="21"/>
                <w:lang w:val="en-US" w:eastAsia="zh-CN"/>
              </w:rPr>
              <w:t>(</w:t>
            </w:r>
            <w:r>
              <w:rPr>
                <w:rFonts w:hint="eastAsia" w:ascii="楷体_GB2312" w:hAnsi="楷体_GB2312" w:eastAsia="楷体_GB2312" w:cs="楷体_GB2312"/>
                <w:color w:val="auto"/>
                <w:spacing w:val="0"/>
                <w:w w:val="100"/>
                <w:position w:val="0"/>
                <w:sz w:val="21"/>
                <w:szCs w:val="21"/>
              </w:rPr>
              <w:t>区分处理的，只计这一情形，不计其他情形</w:t>
            </w:r>
            <w:r>
              <w:rPr>
                <w:rFonts w:hint="eastAsia" w:ascii="黑体" w:hAnsi="黑体" w:eastAsia="黑体" w:cs="黑体"/>
                <w:color w:val="auto"/>
                <w:spacing w:val="0"/>
                <w:w w:val="100"/>
                <w:position w:val="0"/>
                <w:sz w:val="21"/>
                <w:szCs w:val="21"/>
                <w:lang w:val="en-US" w:eastAsia="zh-CN"/>
              </w:rPr>
              <w:t>)</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945"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210" w:leftChars="0" w:right="0" w:hanging="210" w:hangingChars="10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三</w:t>
            </w: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不予公开</w:t>
            </w: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1.</w:t>
            </w:r>
            <w:r>
              <w:rPr>
                <w:rFonts w:hint="eastAsia" w:ascii="黑体" w:hAnsi="黑体" w:eastAsia="黑体" w:cs="黑体"/>
                <w:color w:val="auto"/>
                <w:spacing w:val="0"/>
                <w:w w:val="100"/>
                <w:position w:val="0"/>
                <w:sz w:val="21"/>
                <w:szCs w:val="21"/>
              </w:rPr>
              <w:t>属于国家秘密</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lang w:val="en-US"/>
              </w:rPr>
            </w:pPr>
            <w:r>
              <w:rPr>
                <w:rFonts w:hint="eastAsia" w:ascii="黑体" w:hAnsi="黑体" w:eastAsia="黑体" w:cs="黑体"/>
                <w:color w:val="auto"/>
                <w:spacing w:val="0"/>
                <w:w w:val="100"/>
                <w:position w:val="0"/>
                <w:sz w:val="21"/>
                <w:szCs w:val="21"/>
                <w:lang w:val="en-US" w:eastAsia="en-US" w:bidi="en-US"/>
              </w:rPr>
              <w:t>2</w:t>
            </w:r>
            <w:r>
              <w:rPr>
                <w:rFonts w:hint="eastAsia" w:ascii="黑体" w:hAnsi="黑体" w:eastAsia="黑体" w:cs="黑体"/>
                <w:color w:val="auto"/>
                <w:spacing w:val="0"/>
                <w:w w:val="100"/>
                <w:position w:val="0"/>
                <w:sz w:val="21"/>
                <w:szCs w:val="21"/>
                <w:lang w:val="en-US" w:eastAsia="zh-CN" w:bidi="en-US"/>
              </w:rPr>
              <w:t>.其他法律行政法规禁止公开</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3.</w:t>
            </w:r>
            <w:r>
              <w:rPr>
                <w:rFonts w:hint="eastAsia" w:ascii="黑体" w:hAnsi="黑体" w:eastAsia="黑体" w:cs="黑体"/>
                <w:color w:val="auto"/>
                <w:spacing w:val="0"/>
                <w:w w:val="100"/>
                <w:position w:val="0"/>
                <w:sz w:val="21"/>
                <w:szCs w:val="21"/>
              </w:rPr>
              <w:t>危及</w:t>
            </w:r>
            <w:r>
              <w:rPr>
                <w:rFonts w:hint="eastAsia" w:ascii="黑体" w:hAnsi="黑体" w:eastAsia="黑体" w:cs="黑体"/>
                <w:color w:val="auto"/>
                <w:spacing w:val="0"/>
                <w:w w:val="100"/>
                <w:position w:val="0"/>
                <w:sz w:val="21"/>
                <w:szCs w:val="21"/>
                <w:lang w:val="zh-CN" w:eastAsia="zh-CN" w:bidi="zh-CN"/>
              </w:rPr>
              <w:t>“三</w:t>
            </w:r>
            <w:r>
              <w:rPr>
                <w:rFonts w:hint="eastAsia" w:ascii="黑体" w:hAnsi="黑体" w:eastAsia="黑体" w:cs="黑体"/>
                <w:color w:val="auto"/>
                <w:spacing w:val="0"/>
                <w:w w:val="100"/>
                <w:position w:val="0"/>
                <w:sz w:val="21"/>
                <w:szCs w:val="21"/>
              </w:rPr>
              <w:t>安全一稳定”</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4.</w:t>
            </w:r>
            <w:r>
              <w:rPr>
                <w:rFonts w:hint="eastAsia" w:ascii="黑体" w:hAnsi="黑体" w:eastAsia="黑体" w:cs="黑体"/>
                <w:color w:val="auto"/>
                <w:spacing w:val="0"/>
                <w:w w:val="100"/>
                <w:position w:val="0"/>
                <w:sz w:val="21"/>
                <w:szCs w:val="21"/>
              </w:rPr>
              <w:t>保护第三方合法权益</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5.</w:t>
            </w:r>
            <w:r>
              <w:rPr>
                <w:rFonts w:hint="eastAsia" w:ascii="黑体" w:hAnsi="黑体" w:eastAsia="黑体" w:cs="黑体"/>
                <w:color w:val="auto"/>
                <w:spacing w:val="0"/>
                <w:w w:val="100"/>
                <w:position w:val="0"/>
                <w:sz w:val="21"/>
                <w:szCs w:val="21"/>
              </w:rPr>
              <w:t>属于三类内部事务信息</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89"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6</w:t>
            </w:r>
            <w:r>
              <w:rPr>
                <w:rFonts w:hint="eastAsia" w:ascii="黑体" w:hAnsi="黑体" w:eastAsia="黑体" w:cs="黑体"/>
                <w:color w:val="auto"/>
                <w:spacing w:val="0"/>
                <w:w w:val="100"/>
                <w:position w:val="0"/>
                <w:sz w:val="21"/>
                <w:szCs w:val="21"/>
                <w:lang w:val="en-US" w:eastAsia="zh-CN" w:bidi="en-US"/>
              </w:rPr>
              <w:t>.</w:t>
            </w:r>
            <w:r>
              <w:rPr>
                <w:rFonts w:hint="eastAsia" w:ascii="黑体" w:hAnsi="黑体" w:eastAsia="黑体" w:cs="黑体"/>
                <w:color w:val="auto"/>
                <w:spacing w:val="0"/>
                <w:w w:val="100"/>
                <w:position w:val="0"/>
                <w:sz w:val="21"/>
                <w:szCs w:val="21"/>
              </w:rPr>
              <w:t>属于四类过程性信息</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03"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7.</w:t>
            </w:r>
            <w:r>
              <w:rPr>
                <w:rFonts w:hint="eastAsia" w:ascii="黑体" w:hAnsi="黑体" w:eastAsia="黑体" w:cs="黑体"/>
                <w:color w:val="auto"/>
                <w:spacing w:val="0"/>
                <w:w w:val="100"/>
                <w:position w:val="0"/>
                <w:sz w:val="21"/>
                <w:szCs w:val="21"/>
              </w:rPr>
              <w:t>属于行政执法案卷</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8.</w:t>
            </w:r>
            <w:r>
              <w:rPr>
                <w:rFonts w:hint="eastAsia" w:ascii="黑体" w:hAnsi="黑体" w:eastAsia="黑体" w:cs="黑体"/>
                <w:color w:val="auto"/>
                <w:spacing w:val="0"/>
                <w:w w:val="100"/>
                <w:position w:val="0"/>
                <w:sz w:val="21"/>
                <w:szCs w:val="21"/>
              </w:rPr>
              <w:t>属于行政查询事项</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四</w:t>
            </w: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无法提供</w:t>
            </w: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1.</w:t>
            </w:r>
            <w:r>
              <w:rPr>
                <w:rFonts w:hint="eastAsia" w:ascii="黑体" w:hAnsi="黑体" w:eastAsia="黑体" w:cs="黑体"/>
                <w:color w:val="auto"/>
                <w:spacing w:val="0"/>
                <w:w w:val="100"/>
                <w:position w:val="0"/>
                <w:sz w:val="21"/>
                <w:szCs w:val="21"/>
              </w:rPr>
              <w:t>本机关不掌握相关政府信息</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09"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2.</w:t>
            </w:r>
            <w:r>
              <w:rPr>
                <w:rFonts w:hint="eastAsia" w:ascii="黑体" w:hAnsi="黑体" w:eastAsia="黑体" w:cs="黑体"/>
                <w:color w:val="auto"/>
                <w:spacing w:val="0"/>
                <w:w w:val="100"/>
                <w:position w:val="0"/>
                <w:sz w:val="21"/>
                <w:szCs w:val="21"/>
              </w:rPr>
              <w:t>没有现成信息需要另行制作</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3.</w:t>
            </w:r>
            <w:r>
              <w:rPr>
                <w:rFonts w:hint="eastAsia" w:ascii="黑体" w:hAnsi="黑体" w:eastAsia="黑体" w:cs="黑体"/>
                <w:color w:val="auto"/>
                <w:spacing w:val="0"/>
                <w:w w:val="100"/>
                <w:position w:val="0"/>
                <w:sz w:val="21"/>
                <w:szCs w:val="21"/>
              </w:rPr>
              <w:t>补正后申请内容仍不明确</w:t>
            </w:r>
          </w:p>
        </w:tc>
        <w:tc>
          <w:tcPr>
            <w:tcW w:w="521"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686" w:hRule="exact"/>
          <w:jc w:val="center"/>
        </w:trPr>
        <w:tc>
          <w:tcPr>
            <w:tcW w:w="919" w:type="dxa"/>
            <w:vMerge w:val="continue"/>
            <w:tcBorders>
              <w:top w:val="single" w:color="auto" w:sz="4" w:space="0"/>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五</w:t>
            </w: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不予处理</w:t>
            </w:r>
          </w:p>
        </w:tc>
        <w:tc>
          <w:tcPr>
            <w:tcW w:w="2880" w:type="dxa"/>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48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1.</w:t>
            </w:r>
            <w:r>
              <w:rPr>
                <w:rFonts w:hint="eastAsia" w:ascii="黑体" w:hAnsi="黑体" w:eastAsia="黑体" w:cs="黑体"/>
                <w:color w:val="auto"/>
                <w:spacing w:val="0"/>
                <w:w w:val="100"/>
                <w:position w:val="0"/>
                <w:sz w:val="21"/>
                <w:szCs w:val="21"/>
              </w:rPr>
              <w:t>信访举报投诉类申请</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16"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2.</w:t>
            </w:r>
            <w:r>
              <w:rPr>
                <w:rFonts w:hint="eastAsia" w:ascii="黑体" w:hAnsi="黑体" w:eastAsia="黑体" w:cs="黑体"/>
                <w:color w:val="auto"/>
                <w:spacing w:val="0"/>
                <w:w w:val="100"/>
                <w:position w:val="0"/>
                <w:sz w:val="21"/>
                <w:szCs w:val="21"/>
              </w:rPr>
              <w:t>重复申请</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3.</w:t>
            </w:r>
            <w:r>
              <w:rPr>
                <w:rFonts w:hint="eastAsia" w:ascii="黑体" w:hAnsi="黑体" w:eastAsia="黑体" w:cs="黑体"/>
                <w:color w:val="auto"/>
                <w:spacing w:val="0"/>
                <w:w w:val="100"/>
                <w:position w:val="0"/>
                <w:sz w:val="21"/>
                <w:szCs w:val="21"/>
              </w:rPr>
              <w:t>要求提供公开出版物</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46"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tcBorders>
            <w:shd w:val="clear" w:color="auto" w:fill="FFFFFF"/>
            <w:vAlign w:val="bottom"/>
          </w:tcPr>
          <w:p>
            <w:pPr>
              <w:pStyle w:val="10"/>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en-US" w:bidi="en-US"/>
              </w:rPr>
              <w:t>4.</w:t>
            </w:r>
            <w:r>
              <w:rPr>
                <w:rFonts w:hint="eastAsia" w:ascii="黑体" w:hAnsi="黑体" w:eastAsia="黑体" w:cs="黑体"/>
                <w:color w:val="auto"/>
                <w:spacing w:val="0"/>
                <w:w w:val="100"/>
                <w:position w:val="0"/>
                <w:sz w:val="21"/>
                <w:szCs w:val="21"/>
              </w:rPr>
              <w:t>无正当理由大量反复申请</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616"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tcBorders>
            <w:shd w:val="clear" w:color="auto" w:fill="FFFFFF"/>
            <w:vAlign w:val="top"/>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lang w:val="en-US" w:eastAsia="zh-CN"/>
              </w:rPr>
            </w:pPr>
            <w:r>
              <w:rPr>
                <w:rFonts w:hint="eastAsia" w:ascii="黑体" w:hAnsi="黑体" w:eastAsia="黑体" w:cs="黑体"/>
                <w:color w:val="auto"/>
                <w:spacing w:val="0"/>
                <w:w w:val="100"/>
                <w:position w:val="0"/>
                <w:sz w:val="21"/>
                <w:szCs w:val="21"/>
                <w:lang w:val="en-US" w:eastAsia="en-US" w:bidi="en-US"/>
              </w:rPr>
              <w:t>5.</w:t>
            </w:r>
            <w:r>
              <w:rPr>
                <w:rFonts w:hint="eastAsia" w:ascii="黑体" w:hAnsi="黑体" w:eastAsia="黑体" w:cs="黑体"/>
                <w:color w:val="auto"/>
                <w:spacing w:val="0"/>
                <w:w w:val="100"/>
                <w:position w:val="0"/>
                <w:sz w:val="21"/>
                <w:szCs w:val="21"/>
                <w:lang w:val="en-US" w:eastAsia="zh-CN" w:bidi="en-US"/>
              </w:rPr>
              <w:t>要求行政机关确认或重新出具已获取信息</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964"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六</w:t>
            </w: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其他处理</w:t>
            </w:r>
          </w:p>
        </w:tc>
        <w:tc>
          <w:tcPr>
            <w:tcW w:w="2880"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pacing w:val="0"/>
                <w:w w:val="100"/>
                <w:position w:val="0"/>
                <w:sz w:val="21"/>
                <w:szCs w:val="21"/>
                <w:lang w:val="en-US" w:eastAsia="zh-CN"/>
              </w:rPr>
            </w:pPr>
            <w:r>
              <w:rPr>
                <w:rFonts w:hint="eastAsia" w:ascii="黑体" w:hAnsi="黑体" w:eastAsia="黑体" w:cs="黑体"/>
                <w:color w:val="auto"/>
                <w:spacing w:val="0"/>
                <w:w w:val="100"/>
                <w:position w:val="0"/>
                <w:sz w:val="21"/>
                <w:szCs w:val="21"/>
                <w:lang w:val="en-US" w:eastAsia="zh-CN"/>
              </w:rPr>
              <w:t>1.申请人无正当理由逾期不补正、行政机关不再处理其政府信息公开申请</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934"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left"/>
              <w:textAlignment w:val="auto"/>
              <w:rPr>
                <w:rFonts w:hint="eastAsia" w:ascii="黑体" w:hAnsi="黑体" w:eastAsia="黑体" w:cs="黑体"/>
                <w:color w:val="auto"/>
                <w:spacing w:val="0"/>
                <w:w w:val="100"/>
                <w:position w:val="0"/>
                <w:sz w:val="21"/>
                <w:szCs w:val="21"/>
              </w:rPr>
            </w:pPr>
          </w:p>
        </w:tc>
        <w:tc>
          <w:tcPr>
            <w:tcW w:w="2880"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pacing w:val="0"/>
                <w:w w:val="100"/>
                <w:position w:val="0"/>
                <w:sz w:val="21"/>
                <w:szCs w:val="21"/>
                <w:lang w:val="en-US" w:eastAsia="zh-CN"/>
              </w:rPr>
            </w:pPr>
            <w:r>
              <w:rPr>
                <w:rFonts w:hint="eastAsia" w:ascii="黑体" w:hAnsi="黑体" w:eastAsia="黑体" w:cs="黑体"/>
                <w:color w:val="auto"/>
                <w:spacing w:val="0"/>
                <w:w w:val="100"/>
                <w:position w:val="0"/>
                <w:sz w:val="21"/>
                <w:szCs w:val="21"/>
                <w:lang w:val="en-US" w:eastAsia="zh-CN"/>
              </w:rPr>
              <w:t>2.申请人逾期未按收费通知要求缴纳费用、行政机关不再处理其政府信息公开申请</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auto"/>
              <w:ind w:left="0" w:leftChars="0" w:firstLine="0" w:firstLineChars="0"/>
              <w:jc w:val="center"/>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945" w:type="dxa"/>
            <w:vMerge w:val="continue"/>
            <w:tcBorders>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left"/>
              <w:textAlignment w:val="auto"/>
              <w:rPr>
                <w:rFonts w:hint="eastAsia" w:ascii="黑体" w:hAnsi="黑体" w:eastAsia="黑体" w:cs="黑体"/>
                <w:color w:val="auto"/>
                <w:sz w:val="21"/>
                <w:szCs w:val="21"/>
              </w:rPr>
            </w:pPr>
          </w:p>
        </w:tc>
        <w:tc>
          <w:tcPr>
            <w:tcW w:w="2880" w:type="dxa"/>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pacing w:val="0"/>
                <w:w w:val="100"/>
                <w:position w:val="0"/>
                <w:sz w:val="21"/>
                <w:szCs w:val="21"/>
                <w:lang w:val="en-US" w:eastAsia="zh-CN"/>
              </w:rPr>
            </w:pPr>
            <w:r>
              <w:rPr>
                <w:rFonts w:hint="eastAsia" w:ascii="黑体" w:hAnsi="黑体" w:eastAsia="黑体" w:cs="黑体"/>
                <w:color w:val="auto"/>
                <w:spacing w:val="0"/>
                <w:w w:val="100"/>
                <w:position w:val="0"/>
                <w:sz w:val="21"/>
                <w:szCs w:val="21"/>
                <w:lang w:val="en-US" w:eastAsia="zh-CN"/>
              </w:rPr>
              <w:t>3.其他</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919" w:type="dxa"/>
            <w:vMerge w:val="continue"/>
            <w:tcBorders>
              <w:left w:val="single" w:color="auto" w:sz="4" w:space="0"/>
            </w:tcBorders>
            <w:shd w:val="clear" w:color="auto" w:fill="FFFFFF"/>
            <w:textDirection w:val="tbRlV"/>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黑体" w:hAnsi="黑体" w:eastAsia="黑体" w:cs="黑体"/>
                <w:color w:val="auto"/>
                <w:sz w:val="21"/>
                <w:szCs w:val="21"/>
              </w:rPr>
            </w:pPr>
          </w:p>
        </w:tc>
        <w:tc>
          <w:tcPr>
            <w:tcW w:w="3825" w:type="dxa"/>
            <w:gridSpan w:val="2"/>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七</w:t>
            </w:r>
            <w:r>
              <w:rPr>
                <w:rFonts w:hint="eastAsia" w:ascii="黑体" w:hAnsi="黑体" w:eastAsia="黑体" w:cs="黑体"/>
                <w:color w:val="auto"/>
                <w:spacing w:val="0"/>
                <w:w w:val="100"/>
                <w:position w:val="0"/>
                <w:sz w:val="21"/>
                <w:szCs w:val="21"/>
                <w:lang w:val="en-US" w:eastAsia="zh-CN"/>
              </w:rPr>
              <w:t>)</w:t>
            </w:r>
            <w:r>
              <w:rPr>
                <w:rFonts w:hint="eastAsia" w:ascii="黑体" w:hAnsi="黑体" w:eastAsia="黑体" w:cs="黑体"/>
                <w:color w:val="auto"/>
                <w:spacing w:val="0"/>
                <w:w w:val="100"/>
                <w:position w:val="0"/>
                <w:sz w:val="21"/>
                <w:szCs w:val="21"/>
              </w:rPr>
              <w:t>总计</w:t>
            </w:r>
          </w:p>
        </w:tc>
        <w:tc>
          <w:tcPr>
            <w:tcW w:w="521"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r>
        <w:tblPrEx>
          <w:tblCellMar>
            <w:top w:w="0" w:type="dxa"/>
            <w:left w:w="10" w:type="dxa"/>
            <w:bottom w:w="0" w:type="dxa"/>
            <w:right w:w="10" w:type="dxa"/>
          </w:tblCellMar>
        </w:tblPrEx>
        <w:trPr>
          <w:trHeight w:val="466" w:hRule="exact"/>
          <w:jc w:val="center"/>
        </w:trPr>
        <w:tc>
          <w:tcPr>
            <w:tcW w:w="4744" w:type="dxa"/>
            <w:gridSpan w:val="3"/>
            <w:tcBorders>
              <w:top w:val="single" w:color="auto" w:sz="4" w:space="0"/>
              <w:left w:val="single" w:color="auto" w:sz="4" w:space="0"/>
              <w:bottom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105" w:firstLineChars="50"/>
              <w:jc w:val="left"/>
              <w:textAlignment w:val="auto"/>
              <w:rPr>
                <w:rFonts w:hint="eastAsia" w:ascii="黑体" w:hAnsi="黑体" w:eastAsia="黑体" w:cs="黑体"/>
                <w:color w:val="auto"/>
                <w:sz w:val="21"/>
                <w:szCs w:val="21"/>
              </w:rPr>
            </w:pPr>
            <w:r>
              <w:rPr>
                <w:rFonts w:hint="eastAsia" w:ascii="黑体" w:hAnsi="黑体" w:eastAsia="黑体" w:cs="黑体"/>
                <w:color w:val="auto"/>
                <w:spacing w:val="0"/>
                <w:w w:val="100"/>
                <w:position w:val="0"/>
                <w:sz w:val="21"/>
                <w:szCs w:val="21"/>
              </w:rPr>
              <w:t>四、结转下年度继续办理</w:t>
            </w:r>
          </w:p>
        </w:tc>
        <w:tc>
          <w:tcPr>
            <w:tcW w:w="521"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69"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55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3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720"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95" w:type="dxa"/>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W w:w="482"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bl>
    <w:p>
      <w:pPr>
        <w:pStyle w:val="9"/>
        <w:keepNext w:val="0"/>
        <w:keepLines w:val="0"/>
        <w:pageBreakBefore w:val="0"/>
        <w:widowControl w:val="0"/>
        <w:shd w:val="clear" w:color="auto" w:fill="auto"/>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color w:val="auto"/>
          <w:kern w:val="2"/>
          <w:sz w:val="32"/>
          <w:szCs w:val="32"/>
          <w:u w:val="none"/>
          <w:shd w:val="clear"/>
          <w:lang w:val="en-US" w:eastAsia="zh-CN" w:bidi="ar-SA"/>
        </w:rPr>
      </w:pPr>
      <w:bookmarkStart w:id="0" w:name="bookmark21"/>
      <w:r>
        <w:rPr>
          <w:rFonts w:hint="eastAsia" w:ascii="黑体" w:hAnsi="黑体" w:eastAsia="黑体" w:cs="黑体"/>
          <w:color w:val="auto"/>
          <w:kern w:val="2"/>
          <w:sz w:val="32"/>
          <w:szCs w:val="32"/>
          <w:u w:val="none"/>
          <w:shd w:val="clear"/>
          <w:lang w:val="en-US" w:eastAsia="zh-CN" w:bidi="ar-SA"/>
        </w:rPr>
        <w:t>四</w:t>
      </w:r>
      <w:bookmarkEnd w:id="0"/>
      <w:r>
        <w:rPr>
          <w:rFonts w:hint="eastAsia" w:ascii="黑体" w:hAnsi="黑体" w:eastAsia="黑体" w:cs="黑体"/>
          <w:color w:val="auto"/>
          <w:kern w:val="2"/>
          <w:sz w:val="32"/>
          <w:szCs w:val="32"/>
          <w:u w:val="none"/>
          <w:shd w:val="clear"/>
          <w:lang w:val="en-US" w:eastAsia="zh-CN" w:bidi="ar-SA"/>
        </w:rPr>
        <w:t>、政府信息公开行政复议、行政诉讼情况</w:t>
      </w:r>
    </w:p>
    <w:tbl>
      <w:tblPr>
        <w:tblStyle w:val="7"/>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rPr>
          <w:trHeight w:val="466" w:hRule="exact"/>
          <w:jc w:val="center"/>
        </w:trPr>
        <w:tc>
          <w:tcPr>
            <w:gridSpan w:val="5"/>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行政诉讼</w:t>
            </w:r>
          </w:p>
        </w:tc>
      </w:tr>
      <w:tr>
        <w:tblPrEx>
          <w:tblCellMar>
            <w:top w:w="0" w:type="dxa"/>
            <w:left w:w="10" w:type="dxa"/>
            <w:bottom w:w="0" w:type="dxa"/>
            <w:right w:w="10" w:type="dxa"/>
          </w:tblCellMar>
        </w:tblPrEx>
        <w:trPr>
          <w:trHeight w:val="691" w:hRule="exact"/>
          <w:jc w:val="center"/>
        </w:trPr>
        <w:tc>
          <w:tcPr>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其他 结果</w:t>
            </w:r>
          </w:p>
        </w:tc>
        <w:tc>
          <w:tcPr>
            <w:vMerge w:val="restart"/>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尚未 审结</w:t>
            </w:r>
          </w:p>
        </w:tc>
        <w:tc>
          <w:tcPr>
            <w:vMerge w:val="restart"/>
            <w:tcBorders>
              <w:top w:val="single" w:color="auto" w:sz="4" w:space="0"/>
              <w:left w:val="single" w:color="auto" w:sz="4" w:space="0"/>
            </w:tcBorders>
            <w:shd w:val="clear" w:color="auto" w:fill="FFFFFF"/>
            <w:textDirection w:val="tbRlV"/>
            <w:vAlign w:val="bottom"/>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line="240" w:lineRule="auto"/>
              <w:ind w:left="0" w:leftChars="0" w:right="0" w:firstLine="0" w:firstLineChars="0"/>
              <w:jc w:val="center"/>
              <w:textAlignment w:val="auto"/>
              <w:rPr>
                <w:color w:val="auto"/>
                <w:spacing w:val="0"/>
                <w:w w:val="100"/>
                <w:position w:val="0"/>
              </w:rPr>
            </w:pPr>
          </w:p>
          <w:p>
            <w:pPr>
              <w:pStyle w:val="11"/>
              <w:keepNext w:val="0"/>
              <w:keepLines w:val="0"/>
              <w:pageBreakBefore w:val="0"/>
              <w:widowControl w:val="0"/>
              <w:shd w:val="clear" w:color="auto" w:fill="auto"/>
              <w:kinsoku/>
              <w:wordWrap/>
              <w:overflowPunct/>
              <w:topLinePunct w:val="0"/>
              <w:autoSpaceDE/>
              <w:autoSpaceDN/>
              <w:bidi w:val="0"/>
              <w:adjustRightInd/>
              <w:snapToGrid/>
              <w:spacing w:before="0" w:line="480" w:lineRule="auto"/>
              <w:ind w:left="0" w:leftChars="0" w:right="0" w:firstLine="0" w:firstLineChars="0"/>
              <w:jc w:val="center"/>
              <w:textAlignment w:val="auto"/>
              <w:rPr>
                <w:color w:val="auto"/>
              </w:rPr>
            </w:pPr>
            <w:r>
              <w:rPr>
                <w:color w:val="auto"/>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复议后起诉</w:t>
            </w:r>
          </w:p>
        </w:tc>
      </w:tr>
      <w:tr>
        <w:tblPrEx>
          <w:tblCellMar>
            <w:top w:w="0" w:type="dxa"/>
            <w:left w:w="10" w:type="dxa"/>
            <w:bottom w:w="0" w:type="dxa"/>
            <w:right w:w="10" w:type="dxa"/>
          </w:tblCellMar>
        </w:tblPrEx>
        <w:trPr>
          <w:trHeight w:val="610" w:hRule="exact"/>
          <w:jc w:val="center"/>
        </w:trPr>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vMerge w:val="continue"/>
            <w:tcBorders>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vMerge w:val="continue"/>
            <w:tcBorders>
              <w:left w:val="single" w:color="auto" w:sz="4" w:space="0"/>
            </w:tcBorders>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rPr>
            </w:pP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尚未 审结</w:t>
            </w:r>
          </w:p>
        </w:tc>
        <w:tc>
          <w:tcPr>
            <w:tcBorders>
              <w:top w:val="single" w:color="auto" w:sz="4" w:space="0"/>
              <w:lef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line="480" w:lineRule="auto"/>
              <w:ind w:left="0" w:leftChars="0" w:right="0" w:firstLine="0" w:firstLineChars="0"/>
              <w:jc w:val="center"/>
              <w:textAlignment w:val="auto"/>
              <w:rPr>
                <w:color w:val="auto"/>
              </w:rPr>
            </w:pPr>
            <w:r>
              <w:rPr>
                <w:rFonts w:hint="eastAsia"/>
                <w:color w:val="auto"/>
                <w:lang w:val="en-US" w:eastAsia="zh-CN"/>
              </w:rPr>
              <w:t>总计</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10"/>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right="0" w:firstLine="0" w:firstLineChars="0"/>
              <w:jc w:val="center"/>
              <w:textAlignment w:val="auto"/>
              <w:rPr>
                <w:color w:val="auto"/>
                <w:sz w:val="20"/>
                <w:szCs w:val="20"/>
              </w:rPr>
            </w:pPr>
            <w:r>
              <w:rPr>
                <w:color w:val="auto"/>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vAlign w:val="top"/>
          </w:tcPr>
          <w:p>
            <w:pPr>
              <w:pStyle w:val="11"/>
              <w:keepNext w:val="0"/>
              <w:keepLines w:val="0"/>
              <w:pageBreakBefore w:val="0"/>
              <w:widowControl w:val="0"/>
              <w:shd w:val="clear" w:color="auto" w:fill="auto"/>
              <w:kinsoku/>
              <w:wordWrap/>
              <w:overflowPunct/>
              <w:topLinePunct w:val="0"/>
              <w:autoSpaceDE/>
              <w:autoSpaceDN/>
              <w:bidi w:val="0"/>
              <w:adjustRightInd/>
              <w:snapToGrid/>
              <w:spacing w:before="0" w:line="480" w:lineRule="auto"/>
              <w:ind w:left="0" w:leftChars="0" w:right="0" w:firstLine="0" w:firstLineChars="0"/>
              <w:jc w:val="center"/>
              <w:textAlignment w:val="auto"/>
              <w:rPr>
                <w:rFonts w:hint="eastAsia" w:eastAsia="宋体"/>
                <w:color w:val="auto"/>
                <w:lang w:val="en-US" w:eastAsia="zh-CN"/>
              </w:rPr>
            </w:pPr>
            <w:r>
              <w:rPr>
                <w:rFonts w:hint="eastAsia"/>
                <w:color w:val="auto"/>
                <w:lang w:val="en-US" w:eastAsia="zh-CN"/>
              </w:rPr>
              <w:t>总计</w:t>
            </w:r>
          </w:p>
        </w:tc>
      </w:tr>
      <w:tr>
        <w:tblPrEx>
          <w:tblCellMar>
            <w:top w:w="0" w:type="dxa"/>
            <w:left w:w="10" w:type="dxa"/>
            <w:bottom w:w="0" w:type="dxa"/>
            <w:right w:w="10" w:type="dxa"/>
          </w:tblCellMar>
        </w:tblPrEx>
        <w:trPr>
          <w:trHeight w:val="320" w:hRule="exact"/>
          <w:jc w:val="center"/>
        </w:trPr>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Theme="minorEastAsia" w:hAnsiTheme="minorEastAsia" w:eastAsiaTheme="minorEastAsia" w:cstheme="minorEastAsia"/>
                <w:color w:val="auto"/>
                <w:sz w:val="22"/>
                <w:szCs w:val="22"/>
                <w:lang w:val="en-US" w:eastAsia="zh-CN"/>
              </w:rPr>
            </w:pPr>
            <w:r>
              <w:rPr>
                <w:rFonts w:hint="eastAsia" w:asciiTheme="minorEastAsia" w:hAnsiTheme="minorEastAsia" w:cstheme="minorEastAsia"/>
                <w:color w:val="auto"/>
                <w:sz w:val="22"/>
                <w:szCs w:val="22"/>
                <w:lang w:val="en-US" w:eastAsia="zh-CN"/>
              </w:rPr>
              <w:t>0</w:t>
            </w:r>
          </w:p>
        </w:tc>
      </w:tr>
    </w:tbl>
    <w:p>
      <w:pPr>
        <w:pStyle w:val="9"/>
        <w:keepNext w:val="0"/>
        <w:keepLines w:val="0"/>
        <w:pageBreakBefore w:val="0"/>
        <w:widowControl w:val="0"/>
        <w:shd w:val="clear" w:color="auto" w:fill="auto"/>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黑体" w:hAnsi="黑体" w:eastAsia="黑体" w:cs="黑体"/>
          <w:color w:val="auto"/>
          <w:kern w:val="2"/>
          <w:sz w:val="32"/>
          <w:szCs w:val="32"/>
          <w:u w:val="none"/>
          <w:shd w:val="clear"/>
          <w:lang w:val="en-US" w:eastAsia="zh-CN" w:bidi="ar-SA"/>
        </w:rPr>
      </w:pPr>
      <w:r>
        <w:rPr>
          <w:rFonts w:hint="eastAsia" w:ascii="黑体" w:hAnsi="黑体" w:eastAsia="黑体" w:cs="黑体"/>
          <w:color w:val="auto"/>
          <w:kern w:val="2"/>
          <w:sz w:val="32"/>
          <w:szCs w:val="32"/>
          <w:u w:val="none"/>
          <w:shd w:val="clear"/>
          <w:lang w:val="en-US" w:eastAsia="zh-CN" w:bidi="ar-SA"/>
        </w:rPr>
        <w:t>五、</w:t>
      </w:r>
      <w:r>
        <w:rPr>
          <w:rFonts w:hint="default" w:ascii="黑体" w:hAnsi="黑体" w:eastAsia="黑体" w:cs="黑体"/>
          <w:color w:val="auto"/>
          <w:kern w:val="2"/>
          <w:sz w:val="32"/>
          <w:szCs w:val="32"/>
          <w:u w:val="none"/>
          <w:shd w:val="clear"/>
          <w:lang w:val="en-US" w:eastAsia="zh-CN" w:bidi="ar-SA"/>
        </w:rPr>
        <w:t>存在的主要问题及改进情况</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年度</w:t>
      </w:r>
      <w:r>
        <w:rPr>
          <w:rFonts w:hint="default" w:ascii="Times New Roman" w:hAnsi="Times New Roman" w:eastAsia="仿宋_GB2312" w:cs="Times New Roman"/>
          <w:color w:val="auto"/>
          <w:sz w:val="32"/>
          <w:szCs w:val="32"/>
        </w:rPr>
        <w:t>我处政府信息公开工作虽然取得了一定的成效，但在政府信息公开的内容和形式、工作制度、工作效率和服务意识等方面还存在</w:t>
      </w:r>
      <w:r>
        <w:rPr>
          <w:rFonts w:hint="default" w:ascii="Times New Roman" w:hAnsi="Times New Roman" w:eastAsia="仿宋_GB2312" w:cs="Times New Roman"/>
          <w:color w:val="auto"/>
          <w:sz w:val="32"/>
          <w:szCs w:val="32"/>
          <w:lang w:eastAsia="zh-CN"/>
        </w:rPr>
        <w:t>着</w:t>
      </w:r>
      <w:r>
        <w:rPr>
          <w:rFonts w:hint="default" w:ascii="Times New Roman" w:hAnsi="Times New Roman" w:eastAsia="仿宋_GB2312" w:cs="Times New Roman"/>
          <w:color w:val="auto"/>
          <w:sz w:val="32"/>
          <w:szCs w:val="32"/>
        </w:rPr>
        <w:t>不足，与人民群众的要求还不相适应。</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本年度我</w:t>
      </w:r>
      <w:r>
        <w:rPr>
          <w:rFonts w:hint="eastAsia" w:ascii="Times New Roman" w:hAnsi="Times New Roman" w:eastAsia="仿宋_GB2312" w:cs="Times New Roman"/>
          <w:color w:val="auto"/>
          <w:sz w:val="32"/>
          <w:szCs w:val="32"/>
          <w:lang w:val="en-US" w:eastAsia="zh-CN"/>
        </w:rPr>
        <w:t>处</w:t>
      </w:r>
      <w:r>
        <w:rPr>
          <w:rFonts w:hint="default" w:ascii="Times New Roman" w:hAnsi="Times New Roman" w:eastAsia="仿宋_GB2312" w:cs="Times New Roman"/>
          <w:color w:val="auto"/>
          <w:sz w:val="32"/>
          <w:szCs w:val="32"/>
        </w:rPr>
        <w:t>信息公开工作存在的主要问题集中在报送速度以及信息公开比重方面。一是信息报送的及时性还有待提高，没有做到“每日更新”</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二是工作动态信息所占比重偏大，</w:t>
      </w:r>
      <w:r>
        <w:rPr>
          <w:rFonts w:hint="eastAsia" w:ascii="Times New Roman" w:hAnsi="Times New Roman" w:eastAsia="仿宋_GB2312" w:cs="Times New Roman"/>
          <w:color w:val="auto"/>
          <w:sz w:val="32"/>
          <w:szCs w:val="32"/>
          <w:lang w:val="en-US" w:eastAsia="zh-CN"/>
        </w:rPr>
        <w:t>部分领域</w:t>
      </w:r>
      <w:r>
        <w:rPr>
          <w:rFonts w:hint="default" w:ascii="Times New Roman" w:hAnsi="Times New Roman" w:eastAsia="仿宋_GB2312" w:cs="Times New Roman"/>
          <w:color w:val="auto"/>
          <w:sz w:val="32"/>
          <w:szCs w:val="32"/>
        </w:rPr>
        <w:t>内容报送量偏少，各类信息数量所占比例不平衡。</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b w:val="0"/>
          <w:i w:val="0"/>
          <w:caps w:val="0"/>
          <w:color w:val="auto"/>
          <w:spacing w:val="0"/>
          <w:sz w:val="32"/>
          <w:szCs w:val="32"/>
          <w:shd w:val="clear" w:color="auto" w:fill="FFFFFF"/>
          <w:lang w:val="en-US" w:eastAsia="zh-CN"/>
        </w:rPr>
        <w:t>2022年</w:t>
      </w:r>
      <w:r>
        <w:rPr>
          <w:rFonts w:hint="default" w:ascii="Times New Roman" w:hAnsi="Times New Roman" w:eastAsia="仿宋_GB2312" w:cs="Times New Roman"/>
          <w:b w:val="0"/>
          <w:i w:val="0"/>
          <w:caps w:val="0"/>
          <w:color w:val="auto"/>
          <w:spacing w:val="0"/>
          <w:sz w:val="32"/>
          <w:szCs w:val="32"/>
          <w:shd w:val="clear" w:color="auto" w:fill="FFFFFF"/>
        </w:rPr>
        <w:t>，</w:t>
      </w:r>
      <w:r>
        <w:rPr>
          <w:rFonts w:hint="eastAsia" w:ascii="Times New Roman" w:hAnsi="Times New Roman" w:eastAsia="仿宋_GB2312" w:cs="Times New Roman"/>
          <w:b w:val="0"/>
          <w:i w:val="0"/>
          <w:caps w:val="0"/>
          <w:color w:val="auto"/>
          <w:spacing w:val="0"/>
          <w:sz w:val="32"/>
          <w:szCs w:val="32"/>
          <w:shd w:val="clear" w:color="auto" w:fill="FFFFFF"/>
          <w:lang w:val="en-US" w:eastAsia="zh-CN"/>
        </w:rPr>
        <w:t>我处将</w:t>
      </w:r>
      <w:r>
        <w:rPr>
          <w:rFonts w:hint="default" w:ascii="Times New Roman" w:hAnsi="Times New Roman" w:eastAsia="仿宋_GB2312" w:cs="Times New Roman"/>
          <w:b w:val="0"/>
          <w:i w:val="0"/>
          <w:caps w:val="0"/>
          <w:color w:val="auto"/>
          <w:spacing w:val="0"/>
          <w:sz w:val="32"/>
          <w:szCs w:val="32"/>
          <w:shd w:val="clear" w:color="auto" w:fill="FFFFFF"/>
          <w:lang w:val="en-US" w:eastAsia="zh-CN"/>
        </w:rPr>
        <w:t>积极对照</w:t>
      </w:r>
      <w:r>
        <w:rPr>
          <w:rFonts w:hint="default" w:ascii="Times New Roman" w:hAnsi="Times New Roman" w:eastAsia="仿宋_GB2312" w:cs="Times New Roman"/>
          <w:color w:val="auto"/>
          <w:sz w:val="32"/>
          <w:szCs w:val="32"/>
          <w:lang w:val="en-US" w:eastAsia="zh-CN"/>
        </w:rPr>
        <w:t>《威海市环翠区政务公开重点工作及责任分工方案》</w:t>
      </w:r>
      <w:r>
        <w:rPr>
          <w:rFonts w:hint="eastAsia" w:ascii="Times New Roman" w:hAnsi="Times New Roman" w:eastAsia="仿宋_GB2312" w:cs="Times New Roman"/>
          <w:color w:val="auto"/>
          <w:sz w:val="32"/>
          <w:szCs w:val="32"/>
          <w:lang w:val="en-US" w:eastAsia="zh-CN"/>
        </w:rPr>
        <w:t>、《16个试点领域基层政务公开标准目录汇编（镇街）》等文件要求，对存在的问题认真整改到位，同时做好</w:t>
      </w: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年政府信息公开工作</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b w:val="0"/>
          <w:i w:val="0"/>
          <w:caps w:val="0"/>
          <w:color w:val="auto"/>
          <w:spacing w:val="0"/>
          <w:sz w:val="32"/>
          <w:szCs w:val="32"/>
          <w:shd w:val="clear" w:color="auto" w:fill="FFFFFF"/>
        </w:rPr>
        <w:t>把政府信息公开作为常态化工作落到实处。</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kern w:val="2"/>
          <w:sz w:val="32"/>
          <w:szCs w:val="32"/>
          <w:u w:val="none"/>
          <w:shd w:val="clear" w:color="auto" w:fill="auto"/>
          <w:lang w:val="en-US" w:eastAsia="zh-CN" w:bidi="zh-TW"/>
        </w:rPr>
        <w:t>一是</w:t>
      </w:r>
      <w:r>
        <w:rPr>
          <w:rFonts w:hint="eastAsia" w:ascii="Times New Roman" w:hAnsi="Times New Roman" w:eastAsia="楷体_GB2312" w:cs="Times New Roman"/>
          <w:color w:val="auto"/>
          <w:kern w:val="2"/>
          <w:sz w:val="32"/>
          <w:szCs w:val="32"/>
          <w:u w:val="none"/>
          <w:shd w:val="clear" w:color="auto" w:fill="auto"/>
          <w:lang w:val="en-US" w:eastAsia="zh-CN" w:bidi="zh-TW"/>
        </w:rPr>
        <w:t>提升工作水平。</w:t>
      </w:r>
      <w:r>
        <w:rPr>
          <w:rFonts w:hint="default" w:ascii="Times New Roman" w:hAnsi="Times New Roman" w:eastAsia="仿宋_GB2312" w:cs="Times New Roman"/>
          <w:color w:val="auto"/>
          <w:sz w:val="32"/>
          <w:szCs w:val="32"/>
        </w:rPr>
        <w:t>对政务信息公开工作做到融会贯通</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持续做好</w:t>
      </w:r>
      <w:r>
        <w:rPr>
          <w:rFonts w:hint="default" w:ascii="Times New Roman" w:hAnsi="Times New Roman" w:eastAsia="仿宋_GB2312" w:cs="Times New Roman"/>
          <w:color w:val="auto"/>
          <w:sz w:val="32"/>
          <w:szCs w:val="32"/>
          <w:lang w:val="en-US" w:eastAsia="zh-CN"/>
        </w:rPr>
        <w:t>“政务公开体验区”建设，</w:t>
      </w:r>
      <w:r>
        <w:rPr>
          <w:rFonts w:hint="default" w:ascii="Times New Roman" w:hAnsi="Times New Roman" w:eastAsia="仿宋_GB2312" w:cs="Times New Roman"/>
          <w:b w:val="0"/>
          <w:bCs w:val="0"/>
          <w:color w:val="auto"/>
          <w:sz w:val="32"/>
          <w:szCs w:val="32"/>
          <w:lang w:val="en-US" w:eastAsia="zh-CN"/>
        </w:rPr>
        <w:t>强化责任意识，</w:t>
      </w:r>
      <w:r>
        <w:rPr>
          <w:rFonts w:hint="default" w:ascii="Times New Roman" w:hAnsi="Times New Roman" w:eastAsia="仿宋_GB2312" w:cs="Times New Roman"/>
          <w:color w:val="auto"/>
          <w:sz w:val="32"/>
          <w:szCs w:val="32"/>
          <w:lang w:val="en-US" w:eastAsia="zh-CN"/>
        </w:rPr>
        <w:t>继续</w:t>
      </w:r>
      <w:r>
        <w:rPr>
          <w:rFonts w:hint="eastAsia" w:ascii="Times New Roman" w:hAnsi="Times New Roman" w:eastAsia="仿宋_GB2312" w:cs="Times New Roman"/>
          <w:color w:val="auto"/>
          <w:sz w:val="32"/>
          <w:szCs w:val="32"/>
          <w:lang w:val="en-US" w:eastAsia="zh-CN"/>
        </w:rPr>
        <w:t>在</w:t>
      </w:r>
      <w:r>
        <w:rPr>
          <w:rFonts w:hint="default" w:ascii="Times New Roman" w:hAnsi="Times New Roman" w:eastAsia="仿宋_GB2312" w:cs="Times New Roman"/>
          <w:b w:val="0"/>
          <w:bCs w:val="0"/>
          <w:color w:val="auto"/>
          <w:sz w:val="32"/>
          <w:szCs w:val="32"/>
          <w:lang w:val="en-US" w:eastAsia="zh-CN"/>
        </w:rPr>
        <w:t>《孙家疃街道办事处试点领域基层政务公开标准目录汇编》</w:t>
      </w:r>
      <w:r>
        <w:rPr>
          <w:rFonts w:hint="eastAsia" w:ascii="Times New Roman" w:hAnsi="Times New Roman" w:eastAsia="仿宋_GB2312" w:cs="Times New Roman"/>
          <w:b w:val="0"/>
          <w:bCs w:val="0"/>
          <w:color w:val="auto"/>
          <w:sz w:val="32"/>
          <w:szCs w:val="32"/>
          <w:lang w:val="en-US" w:eastAsia="zh-CN"/>
        </w:rPr>
        <w:t>基础上不断</w:t>
      </w:r>
      <w:r>
        <w:rPr>
          <w:rFonts w:hint="default" w:ascii="Times New Roman" w:hAnsi="Times New Roman" w:eastAsia="仿宋_GB2312" w:cs="Times New Roman"/>
          <w:color w:val="auto"/>
          <w:sz w:val="32"/>
          <w:szCs w:val="32"/>
          <w:lang w:val="en-US" w:eastAsia="zh-CN"/>
        </w:rPr>
        <w:t>完善</w:t>
      </w:r>
      <w:r>
        <w:rPr>
          <w:rFonts w:hint="default" w:ascii="Times New Roman" w:hAnsi="Times New Roman" w:eastAsia="仿宋_GB2312" w:cs="Times New Roman"/>
          <w:b w:val="0"/>
          <w:bCs w:val="0"/>
          <w:color w:val="auto"/>
          <w:sz w:val="32"/>
          <w:szCs w:val="32"/>
          <w:lang w:val="en-US" w:eastAsia="zh-CN"/>
        </w:rPr>
        <w:t>，着力提升政府信息主动公开、依申请公开工作服务水平。</w:t>
      </w:r>
      <w:r>
        <w:rPr>
          <w:rFonts w:hint="default" w:ascii="Times New Roman" w:hAnsi="Times New Roman" w:eastAsia="仿宋_GB2312" w:cs="Times New Roman"/>
          <w:b w:val="0"/>
          <w:i w:val="0"/>
          <w:caps w:val="0"/>
          <w:color w:val="auto"/>
          <w:spacing w:val="0"/>
          <w:sz w:val="32"/>
          <w:szCs w:val="32"/>
          <w:shd w:val="clear" w:color="auto" w:fill="FFFFFF"/>
        </w:rPr>
        <w:t>加强政务公开业务培训，提高工作人员业务水平，督促</w:t>
      </w:r>
      <w:r>
        <w:rPr>
          <w:rFonts w:hint="eastAsia" w:ascii="Times New Roman" w:hAnsi="Times New Roman" w:eastAsia="仿宋_GB2312" w:cs="Times New Roman"/>
          <w:b w:val="0"/>
          <w:i w:val="0"/>
          <w:caps w:val="0"/>
          <w:color w:val="auto"/>
          <w:spacing w:val="0"/>
          <w:sz w:val="32"/>
          <w:szCs w:val="32"/>
          <w:shd w:val="clear" w:color="auto" w:fill="FFFFFF"/>
          <w:lang w:val="en-US" w:eastAsia="zh-CN"/>
        </w:rPr>
        <w:t>各</w:t>
      </w:r>
      <w:r>
        <w:rPr>
          <w:rFonts w:hint="default" w:ascii="Times New Roman" w:hAnsi="Times New Roman" w:eastAsia="仿宋_GB2312" w:cs="Times New Roman"/>
          <w:b w:val="0"/>
          <w:i w:val="0"/>
          <w:caps w:val="0"/>
          <w:color w:val="auto"/>
          <w:spacing w:val="0"/>
          <w:sz w:val="32"/>
          <w:szCs w:val="32"/>
          <w:shd w:val="clear" w:color="auto" w:fill="FFFFFF"/>
        </w:rPr>
        <w:t>部门及时报送便民利企和业务动态信息，不断完善政府信息公开内容。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kern w:val="2"/>
          <w:sz w:val="32"/>
          <w:szCs w:val="32"/>
          <w:u w:val="none"/>
          <w:shd w:val="clear" w:color="auto" w:fill="auto"/>
          <w:lang w:val="en-US" w:eastAsia="zh-CN" w:bidi="zh-TW"/>
        </w:rPr>
        <w:t>二是打通信息通路</w:t>
      </w:r>
      <w:r>
        <w:rPr>
          <w:rFonts w:hint="eastAsia" w:ascii="Times New Roman" w:hAnsi="Times New Roman" w:eastAsia="楷体_GB2312" w:cs="Times New Roman"/>
          <w:color w:val="auto"/>
          <w:kern w:val="2"/>
          <w:sz w:val="32"/>
          <w:szCs w:val="32"/>
          <w:u w:val="none"/>
          <w:shd w:val="clear" w:color="auto" w:fill="auto"/>
          <w:lang w:val="en-US" w:eastAsia="zh-CN" w:bidi="zh-TW"/>
        </w:rPr>
        <w:t>。</w:t>
      </w:r>
      <w:r>
        <w:rPr>
          <w:rFonts w:hint="eastAsia" w:ascii="Times New Roman" w:hAnsi="Times New Roman" w:eastAsia="仿宋_GB2312" w:cs="Times New Roman"/>
          <w:color w:val="auto"/>
          <w:sz w:val="32"/>
          <w:szCs w:val="32"/>
          <w:lang w:val="en-US" w:eastAsia="zh-CN"/>
        </w:rPr>
        <w:t>主动</w:t>
      </w:r>
      <w:r>
        <w:rPr>
          <w:rFonts w:hint="default" w:ascii="Times New Roman" w:hAnsi="Times New Roman" w:eastAsia="仿宋_GB2312" w:cs="Times New Roman"/>
          <w:color w:val="auto"/>
          <w:sz w:val="32"/>
          <w:szCs w:val="32"/>
        </w:rPr>
        <w:t>收集各科室需要对外通知公告的内容，及时发布，及时公开。在加大主动公开信息的报送量的基础上，平衡好动态工作信息和其他各类信息的数量关系，并争取当日时讯当日报送，确保信息公开的时效性。</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b w:val="0"/>
          <w:i w:val="0"/>
          <w:caps w:val="0"/>
          <w:color w:val="auto"/>
          <w:spacing w:val="0"/>
          <w:sz w:val="32"/>
          <w:szCs w:val="32"/>
          <w:shd w:val="clear" w:color="auto" w:fill="FFFFFF"/>
        </w:rPr>
      </w:pPr>
      <w:r>
        <w:rPr>
          <w:rFonts w:hint="eastAsia" w:ascii="Times New Roman" w:hAnsi="Times New Roman" w:eastAsia="楷体_GB2312" w:cs="Times New Roman"/>
          <w:b w:val="0"/>
          <w:i w:val="0"/>
          <w:caps w:val="0"/>
          <w:color w:val="auto"/>
          <w:spacing w:val="0"/>
          <w:sz w:val="32"/>
          <w:szCs w:val="32"/>
          <w:shd w:val="clear" w:color="auto" w:fill="FFFFFF"/>
          <w:lang w:val="en-US" w:eastAsia="zh-CN"/>
        </w:rPr>
        <w:t>三是</w:t>
      </w:r>
      <w:r>
        <w:rPr>
          <w:rFonts w:hint="default" w:ascii="Times New Roman" w:hAnsi="Times New Roman" w:eastAsia="楷体_GB2312" w:cs="Times New Roman"/>
          <w:b w:val="0"/>
          <w:i w:val="0"/>
          <w:caps w:val="0"/>
          <w:color w:val="auto"/>
          <w:spacing w:val="0"/>
          <w:sz w:val="32"/>
          <w:szCs w:val="32"/>
          <w:shd w:val="clear" w:color="auto" w:fill="FFFFFF"/>
          <w:lang w:eastAsia="zh-CN"/>
        </w:rPr>
        <w:t>做</w:t>
      </w:r>
      <w:r>
        <w:rPr>
          <w:rFonts w:hint="default" w:ascii="Times New Roman" w:hAnsi="Times New Roman" w:eastAsia="楷体_GB2312" w:cs="Times New Roman"/>
          <w:b w:val="0"/>
          <w:i w:val="0"/>
          <w:caps w:val="0"/>
          <w:color w:val="auto"/>
          <w:spacing w:val="0"/>
          <w:sz w:val="32"/>
          <w:szCs w:val="32"/>
          <w:shd w:val="clear" w:color="auto" w:fill="FFFFFF"/>
        </w:rPr>
        <w:t>好自查</w:t>
      </w:r>
      <w:r>
        <w:rPr>
          <w:rFonts w:hint="eastAsia" w:ascii="Times New Roman" w:hAnsi="Times New Roman" w:eastAsia="楷体_GB2312" w:cs="Times New Roman"/>
          <w:b w:val="0"/>
          <w:i w:val="0"/>
          <w:caps w:val="0"/>
          <w:color w:val="auto"/>
          <w:spacing w:val="0"/>
          <w:sz w:val="32"/>
          <w:szCs w:val="32"/>
          <w:shd w:val="clear" w:color="auto" w:fill="FFFFFF"/>
          <w:lang w:val="en-US" w:eastAsia="zh-CN"/>
        </w:rPr>
        <w:t>整改</w:t>
      </w:r>
      <w:r>
        <w:rPr>
          <w:rFonts w:hint="default" w:ascii="Times New Roman" w:hAnsi="Times New Roman" w:eastAsia="楷体_GB2312" w:cs="Times New Roman"/>
          <w:b w:val="0"/>
          <w:i w:val="0"/>
          <w:caps w:val="0"/>
          <w:color w:val="auto"/>
          <w:spacing w:val="0"/>
          <w:sz w:val="32"/>
          <w:szCs w:val="32"/>
          <w:shd w:val="clear" w:color="auto" w:fill="FFFFFF"/>
          <w:lang w:eastAsia="zh-CN"/>
        </w:rPr>
        <w:t>。</w:t>
      </w:r>
      <w:r>
        <w:rPr>
          <w:rFonts w:hint="default" w:ascii="Times New Roman" w:hAnsi="Times New Roman" w:eastAsia="仿宋_GB2312" w:cs="Times New Roman"/>
          <w:b w:val="0"/>
          <w:i w:val="0"/>
          <w:caps w:val="0"/>
          <w:color w:val="auto"/>
          <w:spacing w:val="0"/>
          <w:sz w:val="32"/>
          <w:szCs w:val="32"/>
          <w:shd w:val="clear" w:color="auto" w:fill="FFFFFF"/>
        </w:rPr>
        <w:t>定期对</w:t>
      </w:r>
      <w:r>
        <w:rPr>
          <w:rFonts w:hint="default" w:ascii="Times New Roman" w:hAnsi="Times New Roman" w:eastAsia="仿宋_GB2312" w:cs="Times New Roman"/>
          <w:b w:val="0"/>
          <w:i w:val="0"/>
          <w:caps w:val="0"/>
          <w:color w:val="auto"/>
          <w:spacing w:val="0"/>
          <w:sz w:val="32"/>
          <w:szCs w:val="32"/>
          <w:shd w:val="clear" w:color="auto" w:fill="FFFFFF"/>
          <w:lang w:val="en-US" w:eastAsia="zh-CN"/>
        </w:rPr>
        <w:t>政府</w:t>
      </w:r>
      <w:r>
        <w:rPr>
          <w:rFonts w:hint="default" w:ascii="Times New Roman" w:hAnsi="Times New Roman" w:eastAsia="仿宋_GB2312" w:cs="Times New Roman"/>
          <w:b w:val="0"/>
          <w:i w:val="0"/>
          <w:caps w:val="0"/>
          <w:color w:val="auto"/>
          <w:spacing w:val="0"/>
          <w:sz w:val="32"/>
          <w:szCs w:val="32"/>
          <w:shd w:val="clear" w:color="auto" w:fill="FFFFFF"/>
        </w:rPr>
        <w:t>网站</w:t>
      </w:r>
      <w:r>
        <w:rPr>
          <w:rFonts w:hint="default" w:ascii="Times New Roman" w:hAnsi="Times New Roman" w:eastAsia="仿宋_GB2312" w:cs="Times New Roman"/>
          <w:b w:val="0"/>
          <w:i w:val="0"/>
          <w:caps w:val="0"/>
          <w:color w:val="auto"/>
          <w:spacing w:val="0"/>
          <w:sz w:val="32"/>
          <w:szCs w:val="32"/>
          <w:shd w:val="clear" w:color="auto" w:fill="FFFFFF"/>
          <w:lang w:eastAsia="zh-CN"/>
        </w:rPr>
        <w:t>、</w:t>
      </w:r>
      <w:r>
        <w:rPr>
          <w:rFonts w:hint="default" w:ascii="Times New Roman" w:hAnsi="Times New Roman" w:eastAsia="仿宋_GB2312" w:cs="Times New Roman"/>
          <w:b w:val="0"/>
          <w:i w:val="0"/>
          <w:caps w:val="0"/>
          <w:color w:val="auto"/>
          <w:spacing w:val="0"/>
          <w:sz w:val="32"/>
          <w:szCs w:val="32"/>
          <w:shd w:val="clear" w:color="auto" w:fill="FFFFFF"/>
          <w:lang w:val="en-US" w:eastAsia="zh-CN"/>
        </w:rPr>
        <w:t>政务新媒体</w:t>
      </w:r>
      <w:r>
        <w:rPr>
          <w:rFonts w:hint="eastAsia" w:ascii="Times New Roman" w:hAnsi="Times New Roman" w:eastAsia="仿宋_GB2312" w:cs="Times New Roman"/>
          <w:b w:val="0"/>
          <w:i w:val="0"/>
          <w:caps w:val="0"/>
          <w:color w:val="auto"/>
          <w:spacing w:val="0"/>
          <w:sz w:val="32"/>
          <w:szCs w:val="32"/>
          <w:shd w:val="clear" w:color="auto" w:fill="FFFFFF"/>
          <w:lang w:val="en-US" w:eastAsia="zh-CN"/>
        </w:rPr>
        <w:t>等平台</w:t>
      </w:r>
      <w:r>
        <w:rPr>
          <w:rFonts w:hint="default" w:ascii="Times New Roman" w:hAnsi="Times New Roman" w:eastAsia="仿宋_GB2312" w:cs="Times New Roman"/>
          <w:b w:val="0"/>
          <w:i w:val="0"/>
          <w:caps w:val="0"/>
          <w:color w:val="auto"/>
          <w:spacing w:val="0"/>
          <w:sz w:val="32"/>
          <w:szCs w:val="32"/>
          <w:shd w:val="clear" w:color="auto" w:fill="FFFFFF"/>
        </w:rPr>
        <w:t>进行自查，对</w:t>
      </w:r>
      <w:r>
        <w:rPr>
          <w:rFonts w:hint="eastAsia" w:ascii="Times New Roman" w:hAnsi="Times New Roman" w:eastAsia="仿宋_GB2312" w:cs="Times New Roman"/>
          <w:b w:val="0"/>
          <w:i w:val="0"/>
          <w:caps w:val="0"/>
          <w:color w:val="auto"/>
          <w:spacing w:val="0"/>
          <w:sz w:val="32"/>
          <w:szCs w:val="32"/>
          <w:shd w:val="clear" w:color="auto" w:fill="FFFFFF"/>
          <w:lang w:val="en-US" w:eastAsia="zh-CN"/>
        </w:rPr>
        <w:t>未</w:t>
      </w:r>
      <w:r>
        <w:rPr>
          <w:rFonts w:hint="default" w:ascii="Times New Roman" w:hAnsi="Times New Roman" w:eastAsia="仿宋_GB2312" w:cs="Times New Roman"/>
          <w:b w:val="0"/>
          <w:i w:val="0"/>
          <w:caps w:val="0"/>
          <w:color w:val="auto"/>
          <w:spacing w:val="0"/>
          <w:sz w:val="32"/>
          <w:szCs w:val="32"/>
          <w:shd w:val="clear" w:color="auto" w:fill="FFFFFF"/>
        </w:rPr>
        <w:t>更新的信息即时更新、更新不足的即时补足、版面不规范齐全的即时联系调整、网站标识不规范的即时联系进行规范</w:t>
      </w:r>
      <w:r>
        <w:rPr>
          <w:rFonts w:hint="eastAsia" w:ascii="Times New Roman" w:hAnsi="Times New Roman" w:eastAsia="仿宋_GB2312" w:cs="Times New Roman"/>
          <w:b w:val="0"/>
          <w:i w:val="0"/>
          <w:caps w:val="0"/>
          <w:color w:val="auto"/>
          <w:spacing w:val="0"/>
          <w:sz w:val="32"/>
          <w:szCs w:val="32"/>
          <w:shd w:val="clear" w:color="auto" w:fill="FFFFFF"/>
          <w:lang w:eastAsia="zh-CN"/>
        </w:rPr>
        <w:t>，</w:t>
      </w:r>
      <w:r>
        <w:rPr>
          <w:rFonts w:hint="eastAsia" w:ascii="Times New Roman" w:hAnsi="Times New Roman" w:eastAsia="仿宋_GB2312" w:cs="Times New Roman"/>
          <w:color w:val="000000"/>
          <w:sz w:val="32"/>
          <w:szCs w:val="32"/>
          <w:lang w:val="en-US" w:eastAsia="zh-CN"/>
        </w:rPr>
        <w:t>做到信息生成与发布保持同步。</w:t>
      </w:r>
    </w:p>
    <w:p>
      <w:pPr>
        <w:pStyle w:val="9"/>
        <w:keepNext w:val="0"/>
        <w:keepLines w:val="0"/>
        <w:pageBreakBefore w:val="0"/>
        <w:widowControl w:val="0"/>
        <w:numPr>
          <w:ilvl w:val="0"/>
          <w:numId w:val="0"/>
        </w:numPr>
        <w:shd w:val="clear" w:color="auto" w:fill="auto"/>
        <w:tabs>
          <w:tab w:val="left" w:pos="1204"/>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color w:val="auto"/>
          <w:spacing w:val="0"/>
          <w:w w:val="100"/>
          <w:position w:val="0"/>
          <w:sz w:val="32"/>
          <w:szCs w:val="32"/>
          <w:lang w:val="en-US" w:eastAsia="zh-CN"/>
        </w:rPr>
      </w:pPr>
      <w:r>
        <w:rPr>
          <w:rFonts w:hint="eastAsia" w:ascii="Times New Roman" w:hAnsi="Times New Roman" w:eastAsia="黑体" w:cs="Times New Roman"/>
          <w:color w:val="auto"/>
          <w:spacing w:val="0"/>
          <w:w w:val="100"/>
          <w:position w:val="0"/>
          <w:sz w:val="32"/>
          <w:szCs w:val="32"/>
          <w:lang w:val="en-US" w:eastAsia="zh-CN"/>
        </w:rPr>
        <w:t>六、</w:t>
      </w:r>
      <w:r>
        <w:rPr>
          <w:rFonts w:hint="default" w:ascii="Times New Roman" w:hAnsi="Times New Roman" w:eastAsia="黑体" w:cs="Times New Roman"/>
          <w:color w:val="auto"/>
          <w:spacing w:val="0"/>
          <w:w w:val="100"/>
          <w:position w:val="0"/>
          <w:sz w:val="32"/>
          <w:szCs w:val="32"/>
        </w:rPr>
        <w:t>其他需要报告的事项</w:t>
      </w:r>
    </w:p>
    <w:p>
      <w:pPr>
        <w:pStyle w:val="9"/>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line="560" w:lineRule="exact"/>
        <w:ind w:left="0" w:leftChars="0" w:right="0" w:firstLine="640" w:firstLineChars="200"/>
        <w:jc w:val="both"/>
        <w:textAlignment w:val="auto"/>
        <w:outlineLvl w:val="9"/>
        <w:rPr>
          <w:rFonts w:hint="eastAsia" w:ascii="Times New Roman" w:hAnsi="Times New Roman" w:eastAsia="楷体_GB2312" w:cs="Times New Roman"/>
          <w:b w:val="0"/>
          <w:bCs/>
          <w:i w:val="0"/>
          <w:caps w:val="0"/>
          <w:color w:val="auto"/>
          <w:spacing w:val="0"/>
          <w:sz w:val="32"/>
          <w:szCs w:val="32"/>
          <w:shd w:val="clear" w:color="auto" w:fill="FFFFFF"/>
          <w:lang w:val="en-US" w:eastAsia="zh-CN"/>
        </w:rPr>
      </w:pPr>
      <w:r>
        <w:rPr>
          <w:rFonts w:hint="eastAsia" w:ascii="Times New Roman" w:hAnsi="Times New Roman" w:eastAsia="楷体_GB2312" w:cs="Times New Roman"/>
          <w:b w:val="0"/>
          <w:bCs/>
          <w:i w:val="0"/>
          <w:caps w:val="0"/>
          <w:color w:val="auto"/>
          <w:spacing w:val="0"/>
          <w:sz w:val="32"/>
          <w:szCs w:val="32"/>
          <w:shd w:val="clear" w:color="auto" w:fill="FFFFFF"/>
          <w:lang w:val="en-US" w:eastAsia="zh-CN"/>
        </w:rPr>
        <w:t>（一）收取信息处理费情况</w:t>
      </w:r>
    </w:p>
    <w:p>
      <w:pPr>
        <w:pStyle w:val="9"/>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line="560" w:lineRule="exact"/>
        <w:ind w:left="0" w:leftChars="0" w:right="0" w:firstLine="640" w:firstLineChars="200"/>
        <w:jc w:val="both"/>
        <w:textAlignment w:val="auto"/>
        <w:outlineLvl w:val="9"/>
        <w:rPr>
          <w:rFonts w:hint="eastAsia" w:ascii="Times New Roman" w:hAnsi="Times New Roman" w:eastAsia="仿宋_GB2312" w:cs="Times New Roman"/>
          <w:b w:val="0"/>
          <w:bCs/>
          <w:i w:val="0"/>
          <w:caps w:val="0"/>
          <w:color w:val="auto"/>
          <w:spacing w:val="0"/>
          <w:sz w:val="32"/>
          <w:szCs w:val="32"/>
          <w:shd w:val="clear" w:color="auto" w:fill="FFFFFF"/>
          <w:lang w:val="en-US" w:eastAsia="zh-CN"/>
        </w:rPr>
      </w:pP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依据《政府信息公开处理费管理办法》，2021年度我处未收取信息处理费。</w:t>
      </w:r>
    </w:p>
    <w:p>
      <w:pPr>
        <w:pStyle w:val="9"/>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line="560" w:lineRule="exact"/>
        <w:ind w:left="0" w:leftChars="0" w:right="0" w:firstLine="640" w:firstLineChars="200"/>
        <w:jc w:val="both"/>
        <w:textAlignment w:val="auto"/>
        <w:outlineLvl w:val="9"/>
        <w:rPr>
          <w:rFonts w:hint="eastAsia" w:ascii="Times New Roman" w:hAnsi="Times New Roman" w:eastAsia="楷体_GB2312" w:cs="Times New Roman"/>
          <w:b w:val="0"/>
          <w:bCs/>
          <w:i w:val="0"/>
          <w:caps w:val="0"/>
          <w:color w:val="auto"/>
          <w:spacing w:val="0"/>
          <w:sz w:val="32"/>
          <w:szCs w:val="32"/>
          <w:shd w:val="clear" w:color="auto" w:fill="FFFFFF"/>
          <w:lang w:val="en-US" w:eastAsia="zh-CN"/>
        </w:rPr>
      </w:pPr>
      <w:r>
        <w:rPr>
          <w:rFonts w:hint="eastAsia" w:ascii="Times New Roman" w:hAnsi="Times New Roman" w:eastAsia="楷体_GB2312" w:cs="Times New Roman"/>
          <w:b w:val="0"/>
          <w:bCs/>
          <w:i w:val="0"/>
          <w:caps w:val="0"/>
          <w:color w:val="auto"/>
          <w:spacing w:val="0"/>
          <w:sz w:val="32"/>
          <w:szCs w:val="32"/>
          <w:shd w:val="clear" w:color="auto" w:fill="FFFFFF"/>
          <w:lang w:eastAsia="zh-CN"/>
        </w:rPr>
        <w:t>（</w:t>
      </w:r>
      <w:r>
        <w:rPr>
          <w:rFonts w:hint="eastAsia" w:ascii="Times New Roman" w:hAnsi="Times New Roman" w:eastAsia="楷体_GB2312" w:cs="Times New Roman"/>
          <w:b w:val="0"/>
          <w:bCs/>
          <w:i w:val="0"/>
          <w:caps w:val="0"/>
          <w:color w:val="auto"/>
          <w:spacing w:val="0"/>
          <w:sz w:val="32"/>
          <w:szCs w:val="32"/>
          <w:shd w:val="clear" w:color="auto" w:fill="FFFFFF"/>
          <w:lang w:val="en-US" w:eastAsia="zh-CN"/>
        </w:rPr>
        <w:t>二</w:t>
      </w:r>
      <w:r>
        <w:rPr>
          <w:rFonts w:hint="eastAsia" w:ascii="Times New Roman" w:hAnsi="Times New Roman" w:eastAsia="楷体_GB2312" w:cs="Times New Roman"/>
          <w:b w:val="0"/>
          <w:bCs/>
          <w:i w:val="0"/>
          <w:caps w:val="0"/>
          <w:color w:val="auto"/>
          <w:spacing w:val="0"/>
          <w:sz w:val="32"/>
          <w:szCs w:val="32"/>
          <w:shd w:val="clear" w:color="auto" w:fill="FFFFFF"/>
          <w:lang w:eastAsia="zh-CN"/>
        </w:rPr>
        <w:t>）</w:t>
      </w:r>
      <w:r>
        <w:rPr>
          <w:rFonts w:hint="default" w:ascii="Times New Roman" w:hAnsi="Times New Roman" w:eastAsia="楷体_GB2312" w:cs="Times New Roman"/>
          <w:b w:val="0"/>
          <w:bCs/>
          <w:i w:val="0"/>
          <w:caps w:val="0"/>
          <w:color w:val="auto"/>
          <w:spacing w:val="0"/>
          <w:sz w:val="32"/>
          <w:szCs w:val="32"/>
          <w:shd w:val="clear" w:color="auto" w:fill="FFFFFF"/>
          <w:lang w:eastAsia="zh-CN"/>
        </w:rPr>
        <w:t>人大代表建议、政协委员提案办理结果公开</w:t>
      </w:r>
      <w:r>
        <w:rPr>
          <w:rFonts w:hint="eastAsia" w:ascii="Times New Roman" w:hAnsi="Times New Roman" w:eastAsia="楷体_GB2312" w:cs="Times New Roman"/>
          <w:b w:val="0"/>
          <w:bCs/>
          <w:i w:val="0"/>
          <w:caps w:val="0"/>
          <w:color w:val="auto"/>
          <w:spacing w:val="0"/>
          <w:sz w:val="32"/>
          <w:szCs w:val="32"/>
          <w:shd w:val="clear" w:color="auto" w:fill="FFFFFF"/>
          <w:lang w:val="en-US" w:eastAsia="zh-CN"/>
        </w:rPr>
        <w:t>情况</w:t>
      </w:r>
    </w:p>
    <w:p>
      <w:pPr>
        <w:pStyle w:val="9"/>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line="560" w:lineRule="exact"/>
        <w:ind w:left="0" w:leftChars="0" w:right="0" w:firstLine="640" w:firstLineChars="200"/>
        <w:jc w:val="both"/>
        <w:textAlignment w:val="auto"/>
        <w:outlineLvl w:val="9"/>
        <w:rPr>
          <w:rFonts w:hint="default" w:ascii="Times New Roman" w:hAnsi="Times New Roman" w:eastAsia="仿宋_GB2312" w:cs="Times New Roman"/>
          <w:b w:val="0"/>
          <w:bCs/>
          <w:i w:val="0"/>
          <w:caps w:val="0"/>
          <w:color w:val="auto"/>
          <w:spacing w:val="0"/>
          <w:sz w:val="32"/>
          <w:szCs w:val="32"/>
          <w:shd w:val="clear" w:color="auto" w:fill="FFFFFF"/>
          <w:lang w:val="en-US" w:eastAsia="zh-CN"/>
        </w:rPr>
      </w:pP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2021</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年度我处未收到政协委员提案。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eastAsia" w:ascii="Times New Roman" w:hAnsi="Times New Roman" w:eastAsia="仿宋_GB2312" w:cs="Times New Roman"/>
          <w:b w:val="0"/>
          <w:bCs/>
          <w:i w:val="0"/>
          <w:caps w:val="0"/>
          <w:color w:val="auto"/>
          <w:spacing w:val="0"/>
          <w:sz w:val="32"/>
          <w:szCs w:val="32"/>
          <w:shd w:val="clear" w:color="auto" w:fill="FFFFFF"/>
          <w:lang w:val="en-US" w:eastAsia="zh-CN"/>
        </w:rPr>
      </w:pP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2021</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年度</w:t>
      </w:r>
      <w:r>
        <w:rPr>
          <w:rFonts w:hint="default" w:ascii="Times New Roman" w:hAnsi="Times New Roman" w:eastAsia="仿宋_GB2312" w:cs="Times New Roman"/>
          <w:b w:val="0"/>
          <w:bCs/>
          <w:i w:val="0"/>
          <w:caps w:val="0"/>
          <w:color w:val="auto"/>
          <w:spacing w:val="0"/>
          <w:kern w:val="2"/>
          <w:sz w:val="32"/>
          <w:szCs w:val="32"/>
          <w:u w:val="none"/>
          <w:shd w:val="clear" w:color="auto" w:fill="FFFFFF"/>
          <w:lang w:val="en-US" w:eastAsia="zh-CN" w:bidi="zh-TW"/>
        </w:rPr>
        <w:t>我处</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未收到人大代表建议</w:t>
      </w: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outlineLvl w:val="9"/>
        <w:rPr>
          <w:rFonts w:hint="eastAsia" w:ascii="Times New Roman" w:hAnsi="Times New Roman" w:eastAsia="楷体_GB2312" w:cs="Times New Roman"/>
          <w:b w:val="0"/>
          <w:bCs/>
          <w:i w:val="0"/>
          <w:caps w:val="0"/>
          <w:color w:val="auto"/>
          <w:spacing w:val="0"/>
          <w:kern w:val="2"/>
          <w:sz w:val="32"/>
          <w:szCs w:val="32"/>
          <w:u w:val="none"/>
          <w:shd w:val="clear" w:color="auto" w:fill="FFFFFF"/>
          <w:lang w:val="en-US" w:eastAsia="zh-CN" w:bidi="zh-TW"/>
        </w:rPr>
      </w:pPr>
      <w:r>
        <w:rPr>
          <w:rFonts w:hint="eastAsia" w:ascii="Times New Roman" w:hAnsi="Times New Roman" w:eastAsia="楷体_GB2312" w:cs="Times New Roman"/>
          <w:b w:val="0"/>
          <w:bCs/>
          <w:i w:val="0"/>
          <w:caps w:val="0"/>
          <w:color w:val="auto"/>
          <w:spacing w:val="0"/>
          <w:kern w:val="2"/>
          <w:sz w:val="32"/>
          <w:szCs w:val="32"/>
          <w:u w:val="none"/>
          <w:shd w:val="clear" w:color="auto" w:fill="FFFFFF"/>
          <w:lang w:val="en-US" w:eastAsia="zh-CN" w:bidi="zh-TW"/>
        </w:rPr>
        <w:t>（三）本单位年度政务公开工作创新情况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仿宋_GB2312" w:cs="Times New Roman"/>
          <w:b w:val="0"/>
          <w:bCs/>
          <w:i w:val="0"/>
          <w:caps w:val="0"/>
          <w:color w:val="auto"/>
          <w:spacing w:val="0"/>
          <w:sz w:val="32"/>
          <w:szCs w:val="32"/>
          <w:shd w:val="clear" w:color="auto" w:fill="FFFFFF"/>
          <w:lang w:val="en-US" w:eastAsia="zh-CN"/>
        </w:rPr>
      </w:pP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2021年度</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我处</w:t>
      </w: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暂无创新工作，下一步我处将认真研究，做好政务公开创新工作。</w:t>
      </w:r>
    </w:p>
    <w:p>
      <w:pPr>
        <w:pStyle w:val="9"/>
        <w:keepNext w:val="0"/>
        <w:keepLines/>
        <w:pageBreakBefore w:val="0"/>
        <w:widowControl/>
        <w:shd w:val="clear" w:color="auto" w:fill="auto"/>
        <w:tabs>
          <w:tab w:val="left" w:pos="1204"/>
        </w:tabs>
        <w:kinsoku w:val="0"/>
        <w:wordWrap/>
        <w:overflowPunct w:val="0"/>
        <w:topLinePunct w:val="0"/>
        <w:autoSpaceDE w:val="0"/>
        <w:autoSpaceDN w:val="0"/>
        <w:bidi w:val="0"/>
        <w:adjustRightInd/>
        <w:snapToGrid/>
        <w:spacing w:line="560" w:lineRule="exact"/>
        <w:ind w:left="0" w:leftChars="0" w:right="0" w:firstLine="640" w:firstLineChars="200"/>
        <w:jc w:val="both"/>
        <w:textAlignment w:val="auto"/>
        <w:outlineLvl w:val="9"/>
        <w:rPr>
          <w:rFonts w:hint="default" w:ascii="Times New Roman" w:hAnsi="Times New Roman" w:eastAsia="楷体_GB2312" w:cs="Times New Roman"/>
          <w:b w:val="0"/>
          <w:bCs/>
          <w:i w:val="0"/>
          <w:caps w:val="0"/>
          <w:color w:val="auto"/>
          <w:spacing w:val="0"/>
          <w:sz w:val="32"/>
          <w:szCs w:val="32"/>
          <w:shd w:val="clear" w:color="auto" w:fill="FFFFFF"/>
          <w:lang w:val="en-US" w:eastAsia="zh-CN"/>
        </w:rPr>
      </w:pPr>
      <w:r>
        <w:rPr>
          <w:rFonts w:hint="default" w:ascii="Times New Roman" w:hAnsi="Times New Roman" w:eastAsia="楷体_GB2312" w:cs="Times New Roman"/>
          <w:b w:val="0"/>
          <w:bCs/>
          <w:i w:val="0"/>
          <w:caps w:val="0"/>
          <w:color w:val="auto"/>
          <w:spacing w:val="0"/>
          <w:sz w:val="32"/>
          <w:szCs w:val="32"/>
          <w:shd w:val="clear" w:color="auto" w:fill="FFFFFF"/>
          <w:lang w:val="en-US" w:eastAsia="zh-CN"/>
        </w:rPr>
        <w:t>（</w:t>
      </w:r>
      <w:r>
        <w:rPr>
          <w:rFonts w:hint="eastAsia" w:ascii="Times New Roman" w:hAnsi="Times New Roman" w:eastAsia="楷体_GB2312" w:cs="Times New Roman"/>
          <w:b w:val="0"/>
          <w:bCs/>
          <w:i w:val="0"/>
          <w:caps w:val="0"/>
          <w:color w:val="auto"/>
          <w:spacing w:val="0"/>
          <w:sz w:val="32"/>
          <w:szCs w:val="32"/>
          <w:shd w:val="clear" w:color="auto" w:fill="FFFFFF"/>
          <w:lang w:val="en-US" w:eastAsia="zh-CN"/>
        </w:rPr>
        <w:t>四</w:t>
      </w:r>
      <w:r>
        <w:rPr>
          <w:rFonts w:hint="default" w:ascii="Times New Roman" w:hAnsi="Times New Roman" w:eastAsia="楷体_GB2312" w:cs="Times New Roman"/>
          <w:b w:val="0"/>
          <w:bCs/>
          <w:i w:val="0"/>
          <w:caps w:val="0"/>
          <w:color w:val="auto"/>
          <w:spacing w:val="0"/>
          <w:sz w:val="32"/>
          <w:szCs w:val="32"/>
          <w:shd w:val="clear" w:color="auto" w:fill="FFFFFF"/>
          <w:lang w:val="en-US" w:eastAsia="zh-CN"/>
        </w:rPr>
        <w:t>）</w:t>
      </w:r>
      <w:r>
        <w:rPr>
          <w:rFonts w:hint="eastAsia" w:ascii="Times New Roman" w:hAnsi="Times New Roman" w:eastAsia="楷体_GB2312" w:cs="Times New Roman"/>
          <w:b w:val="0"/>
          <w:bCs/>
          <w:i w:val="0"/>
          <w:caps w:val="0"/>
          <w:color w:val="auto"/>
          <w:spacing w:val="0"/>
          <w:sz w:val="32"/>
          <w:szCs w:val="32"/>
          <w:shd w:val="clear" w:color="auto" w:fill="FFFFFF"/>
          <w:lang w:val="en-US" w:eastAsia="zh-CN"/>
        </w:rPr>
        <w:t>本单位落实上级年度政务公开工作要点情况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default" w:ascii="Times New Roman" w:hAnsi="Times New Roman" w:eastAsia="仿宋_GB2312" w:cs="Times New Roman"/>
          <w:b w:val="0"/>
          <w:bCs/>
          <w:i w:val="0"/>
          <w:caps w:val="0"/>
          <w:color w:val="auto"/>
          <w:spacing w:val="0"/>
          <w:sz w:val="32"/>
          <w:szCs w:val="32"/>
          <w:shd w:val="clear" w:color="auto" w:fill="FFFFFF"/>
          <w:lang w:val="en-US" w:eastAsia="zh-CN"/>
        </w:rPr>
      </w:pPr>
      <w:r>
        <w:rPr>
          <w:rFonts w:hint="eastAsia" w:ascii="Times New Roman" w:hAnsi="Times New Roman" w:eastAsia="仿宋_GB2312" w:cs="Times New Roman"/>
          <w:b/>
          <w:bCs w:val="0"/>
          <w:i w:val="0"/>
          <w:caps w:val="0"/>
          <w:color w:val="auto"/>
          <w:spacing w:val="0"/>
          <w:sz w:val="32"/>
          <w:szCs w:val="32"/>
          <w:shd w:val="clear" w:color="auto" w:fill="FFFFFF"/>
          <w:lang w:val="en-US" w:eastAsia="zh-CN"/>
        </w:rPr>
        <w:t>一是</w:t>
      </w:r>
      <w:r>
        <w:rPr>
          <w:rFonts w:hint="default" w:ascii="Times New Roman" w:hAnsi="Times New Roman" w:eastAsia="仿宋_GB2312" w:cs="Times New Roman"/>
          <w:b/>
          <w:bCs w:val="0"/>
          <w:i w:val="0"/>
          <w:caps w:val="0"/>
          <w:color w:val="auto"/>
          <w:spacing w:val="0"/>
          <w:sz w:val="32"/>
          <w:szCs w:val="32"/>
          <w:shd w:val="clear" w:color="auto" w:fill="FFFFFF"/>
          <w:lang w:val="en-US" w:eastAsia="zh-CN"/>
        </w:rPr>
        <w:t>强化组织领导和政府信息公开小组建设。</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我处高度重视政府信息公开工作，明确1名分管领导分管政府信息公开工作，由1名党政</w:t>
      </w: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办公室</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同志负责落实信息公开工作，确保政府信息公开工作的顺利开展。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b/>
          <w:bCs w:val="0"/>
          <w:i w:val="0"/>
          <w:caps w:val="0"/>
          <w:color w:val="auto"/>
          <w:spacing w:val="0"/>
          <w:sz w:val="32"/>
          <w:szCs w:val="32"/>
          <w:shd w:val="clear" w:color="auto" w:fill="FFFFFF"/>
          <w:lang w:val="en-US" w:eastAsia="zh-CN"/>
        </w:rPr>
        <w:t>二是</w:t>
      </w:r>
      <w:r>
        <w:rPr>
          <w:rFonts w:hint="default" w:ascii="Times New Roman" w:hAnsi="Times New Roman" w:eastAsia="仿宋_GB2312" w:cs="Times New Roman"/>
          <w:b/>
          <w:bCs w:val="0"/>
          <w:i w:val="0"/>
          <w:caps w:val="0"/>
          <w:color w:val="auto"/>
          <w:spacing w:val="0"/>
          <w:sz w:val="32"/>
          <w:szCs w:val="32"/>
          <w:shd w:val="clear" w:color="auto" w:fill="FFFFFF"/>
          <w:lang w:val="en-US" w:eastAsia="zh-CN"/>
        </w:rPr>
        <w:t>切实落实政府信息公开工作。</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202</w:t>
      </w:r>
      <w:r>
        <w:rPr>
          <w:rFonts w:hint="eastAsia" w:ascii="Times New Roman" w:hAnsi="Times New Roman" w:eastAsia="仿宋_GB2312" w:cs="Times New Roman"/>
          <w:b w:val="0"/>
          <w:bCs/>
          <w:i w:val="0"/>
          <w:caps w:val="0"/>
          <w:color w:val="auto"/>
          <w:spacing w:val="0"/>
          <w:sz w:val="32"/>
          <w:szCs w:val="32"/>
          <w:shd w:val="clear" w:color="auto" w:fill="FFFFFF"/>
          <w:lang w:val="en-US" w:eastAsia="zh-CN"/>
        </w:rPr>
        <w:t>1</w:t>
      </w:r>
      <w:r>
        <w:rPr>
          <w:rFonts w:hint="default" w:ascii="Times New Roman" w:hAnsi="Times New Roman" w:eastAsia="仿宋_GB2312" w:cs="Times New Roman"/>
          <w:b w:val="0"/>
          <w:bCs/>
          <w:i w:val="0"/>
          <w:caps w:val="0"/>
          <w:color w:val="auto"/>
          <w:spacing w:val="0"/>
          <w:sz w:val="32"/>
          <w:szCs w:val="32"/>
          <w:shd w:val="clear" w:color="auto" w:fill="FFFFFF"/>
          <w:lang w:val="en-US" w:eastAsia="zh-CN"/>
        </w:rPr>
        <w:t>年度我处</w:t>
      </w:r>
      <w:r>
        <w:rPr>
          <w:rFonts w:hint="default" w:ascii="Times New Roman" w:hAnsi="Times New Roman" w:eastAsia="仿宋_GB2312" w:cs="Times New Roman"/>
          <w:b w:val="0"/>
          <w:bCs/>
          <w:color w:val="auto"/>
          <w:sz w:val="32"/>
          <w:szCs w:val="32"/>
          <w:lang w:eastAsia="zh-CN"/>
        </w:rPr>
        <w:t>严格按照上级部门指示和相关文件精神完成政府信息公开工作相关任务，并遵照本单位制定的政府信息公开相关制度开展工作。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420" w:firstLineChars="200"/>
        <w:textAlignment w:val="auto"/>
        <w:rPr>
          <w:rFonts w:hint="default"/>
          <w:color w:val="auto"/>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F96E90D-F6B2-4F13-9F37-4BA205670D9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A8F18BFD-8F50-4677-9003-C30EFB65F4B0}"/>
  </w:font>
  <w:font w:name="仿宋_GB2312">
    <w:panose1 w:val="02010609030101010101"/>
    <w:charset w:val="86"/>
    <w:family w:val="modern"/>
    <w:pitch w:val="default"/>
    <w:sig w:usb0="00000001" w:usb1="080E0000" w:usb2="00000000" w:usb3="00000000" w:csb0="00040000" w:csb1="00000000"/>
    <w:embedRegular r:id="rId3" w:fontKey="{CA354907-559D-45F6-BE37-E8D156584A85}"/>
  </w:font>
  <w:font w:name="楷体_GB2312">
    <w:panose1 w:val="02010609030101010101"/>
    <w:charset w:val="86"/>
    <w:family w:val="auto"/>
    <w:pitch w:val="default"/>
    <w:sig w:usb0="00000001" w:usb1="080E0000" w:usb2="00000000" w:usb3="00000000" w:csb0="00040000" w:csb1="00000000"/>
    <w:embedRegular r:id="rId4" w:fontKey="{FEDF4B3B-D4C3-4F81-811F-AB049AE3198D}"/>
  </w:font>
  <w:font w:name="微软雅黑">
    <w:panose1 w:val="020B0503020204020204"/>
    <w:charset w:val="86"/>
    <w:family w:val="swiss"/>
    <w:pitch w:val="variable"/>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xMzNlZTNhMTZhZjE5MDJmMjA2OWFiNDU2OWQ4NWIifQ=="/>
  </w:docVars>
  <w:rsids>
    <w:rsidRoot w:val="00000000"/>
    <w:rsid w:val="00072C34"/>
    <w:rsid w:val="00150EAD"/>
    <w:rsid w:val="001D2E15"/>
    <w:rsid w:val="00871CCE"/>
    <w:rsid w:val="00E41E39"/>
    <w:rsid w:val="01101675"/>
    <w:rsid w:val="011A6164"/>
    <w:rsid w:val="021A2464"/>
    <w:rsid w:val="025D5C38"/>
    <w:rsid w:val="02A163AA"/>
    <w:rsid w:val="02C6101B"/>
    <w:rsid w:val="02D7069C"/>
    <w:rsid w:val="033749A7"/>
    <w:rsid w:val="03F30E1A"/>
    <w:rsid w:val="04FD27B0"/>
    <w:rsid w:val="05172C32"/>
    <w:rsid w:val="051A51B8"/>
    <w:rsid w:val="05D930EF"/>
    <w:rsid w:val="05E05ABA"/>
    <w:rsid w:val="06231E4A"/>
    <w:rsid w:val="06823015"/>
    <w:rsid w:val="06BD404D"/>
    <w:rsid w:val="0845254C"/>
    <w:rsid w:val="08631651"/>
    <w:rsid w:val="08A23086"/>
    <w:rsid w:val="08A71373"/>
    <w:rsid w:val="08AD41A6"/>
    <w:rsid w:val="08C472C7"/>
    <w:rsid w:val="09385C0D"/>
    <w:rsid w:val="097E5D15"/>
    <w:rsid w:val="098A166C"/>
    <w:rsid w:val="09BC5EBB"/>
    <w:rsid w:val="09C828C8"/>
    <w:rsid w:val="0AEB62EA"/>
    <w:rsid w:val="0B3577E5"/>
    <w:rsid w:val="0B865355"/>
    <w:rsid w:val="0B8F7CE0"/>
    <w:rsid w:val="0BF0572B"/>
    <w:rsid w:val="0C5B1E44"/>
    <w:rsid w:val="0C776A4C"/>
    <w:rsid w:val="0C923886"/>
    <w:rsid w:val="0CD76A2F"/>
    <w:rsid w:val="0CDB6D52"/>
    <w:rsid w:val="0CEA5470"/>
    <w:rsid w:val="0D193B67"/>
    <w:rsid w:val="0D232F82"/>
    <w:rsid w:val="0D49488C"/>
    <w:rsid w:val="0D5154EF"/>
    <w:rsid w:val="0DCB1C12"/>
    <w:rsid w:val="0EC248F6"/>
    <w:rsid w:val="0F2E7896"/>
    <w:rsid w:val="0FB12275"/>
    <w:rsid w:val="10321677"/>
    <w:rsid w:val="10961B97"/>
    <w:rsid w:val="109E0A4B"/>
    <w:rsid w:val="10FC5956"/>
    <w:rsid w:val="10FC6465"/>
    <w:rsid w:val="11673533"/>
    <w:rsid w:val="117F6ACF"/>
    <w:rsid w:val="11FC1ECD"/>
    <w:rsid w:val="12076395"/>
    <w:rsid w:val="13236687"/>
    <w:rsid w:val="13AE0EAD"/>
    <w:rsid w:val="14304CEF"/>
    <w:rsid w:val="14A81E98"/>
    <w:rsid w:val="15535CA0"/>
    <w:rsid w:val="155C6DED"/>
    <w:rsid w:val="15B52128"/>
    <w:rsid w:val="15BD1974"/>
    <w:rsid w:val="167648BB"/>
    <w:rsid w:val="16D0021F"/>
    <w:rsid w:val="16F75359"/>
    <w:rsid w:val="175437F5"/>
    <w:rsid w:val="17991F6C"/>
    <w:rsid w:val="18935164"/>
    <w:rsid w:val="18DF7E53"/>
    <w:rsid w:val="19053D5D"/>
    <w:rsid w:val="190A3EE8"/>
    <w:rsid w:val="19533231"/>
    <w:rsid w:val="19C36FE6"/>
    <w:rsid w:val="1A136006"/>
    <w:rsid w:val="1A240213"/>
    <w:rsid w:val="1A277D03"/>
    <w:rsid w:val="1A816B7A"/>
    <w:rsid w:val="1B5B5EB7"/>
    <w:rsid w:val="1B9950B8"/>
    <w:rsid w:val="1BAD5FE6"/>
    <w:rsid w:val="1C896A53"/>
    <w:rsid w:val="1CCB1D34"/>
    <w:rsid w:val="1D6372A4"/>
    <w:rsid w:val="1D9B2A89"/>
    <w:rsid w:val="1E2D1660"/>
    <w:rsid w:val="1E4748F8"/>
    <w:rsid w:val="1E5E1262"/>
    <w:rsid w:val="1E9A35ED"/>
    <w:rsid w:val="1EBC4B33"/>
    <w:rsid w:val="1EC10726"/>
    <w:rsid w:val="1EFE104C"/>
    <w:rsid w:val="1EFF124F"/>
    <w:rsid w:val="1F196728"/>
    <w:rsid w:val="1F342CAE"/>
    <w:rsid w:val="1F4270C3"/>
    <w:rsid w:val="1F4704A1"/>
    <w:rsid w:val="1FCC20CE"/>
    <w:rsid w:val="1FD51D45"/>
    <w:rsid w:val="202F346E"/>
    <w:rsid w:val="20531852"/>
    <w:rsid w:val="2072602B"/>
    <w:rsid w:val="20B322F1"/>
    <w:rsid w:val="20E41210"/>
    <w:rsid w:val="2127683B"/>
    <w:rsid w:val="216B6391"/>
    <w:rsid w:val="217C26E3"/>
    <w:rsid w:val="21AB121A"/>
    <w:rsid w:val="22721D38"/>
    <w:rsid w:val="22C72083"/>
    <w:rsid w:val="23093563"/>
    <w:rsid w:val="23164DB9"/>
    <w:rsid w:val="23264FFC"/>
    <w:rsid w:val="23563407"/>
    <w:rsid w:val="23C6233B"/>
    <w:rsid w:val="23D22A8E"/>
    <w:rsid w:val="244F40DF"/>
    <w:rsid w:val="24613E12"/>
    <w:rsid w:val="24964B95"/>
    <w:rsid w:val="25003610"/>
    <w:rsid w:val="254A2AF8"/>
    <w:rsid w:val="255C5136"/>
    <w:rsid w:val="25697422"/>
    <w:rsid w:val="25950217"/>
    <w:rsid w:val="25B82446"/>
    <w:rsid w:val="25D56865"/>
    <w:rsid w:val="25D853F0"/>
    <w:rsid w:val="264643CA"/>
    <w:rsid w:val="26797B39"/>
    <w:rsid w:val="26A12BEB"/>
    <w:rsid w:val="26D5010D"/>
    <w:rsid w:val="2702368A"/>
    <w:rsid w:val="274C0E87"/>
    <w:rsid w:val="27952750"/>
    <w:rsid w:val="27F54F9D"/>
    <w:rsid w:val="283945BE"/>
    <w:rsid w:val="28475ED6"/>
    <w:rsid w:val="28CB3F5D"/>
    <w:rsid w:val="2939710B"/>
    <w:rsid w:val="29F86FC6"/>
    <w:rsid w:val="2A083837"/>
    <w:rsid w:val="2A6C52BE"/>
    <w:rsid w:val="2A7B6971"/>
    <w:rsid w:val="2A8413B1"/>
    <w:rsid w:val="2ACB7971"/>
    <w:rsid w:val="2AD3485C"/>
    <w:rsid w:val="2ADC0696"/>
    <w:rsid w:val="2AF4778E"/>
    <w:rsid w:val="2B6351E5"/>
    <w:rsid w:val="2B647053"/>
    <w:rsid w:val="2B886128"/>
    <w:rsid w:val="2C0B6ABC"/>
    <w:rsid w:val="2C196FF0"/>
    <w:rsid w:val="2C3971FB"/>
    <w:rsid w:val="2C674C05"/>
    <w:rsid w:val="2C9A7691"/>
    <w:rsid w:val="2D0A7B76"/>
    <w:rsid w:val="2D39495D"/>
    <w:rsid w:val="2D481418"/>
    <w:rsid w:val="2D4F797B"/>
    <w:rsid w:val="2D621327"/>
    <w:rsid w:val="2D661D22"/>
    <w:rsid w:val="2D6E334F"/>
    <w:rsid w:val="2D932159"/>
    <w:rsid w:val="2DA52FC1"/>
    <w:rsid w:val="2E250FAA"/>
    <w:rsid w:val="2E291E44"/>
    <w:rsid w:val="2E6153DA"/>
    <w:rsid w:val="2E635876"/>
    <w:rsid w:val="2E9D1806"/>
    <w:rsid w:val="2F436F36"/>
    <w:rsid w:val="2F9037FD"/>
    <w:rsid w:val="2FA87DD5"/>
    <w:rsid w:val="301D32E3"/>
    <w:rsid w:val="30202F37"/>
    <w:rsid w:val="30393E95"/>
    <w:rsid w:val="303B19BB"/>
    <w:rsid w:val="30446AC1"/>
    <w:rsid w:val="30470360"/>
    <w:rsid w:val="30913CD1"/>
    <w:rsid w:val="31077AEF"/>
    <w:rsid w:val="3159659D"/>
    <w:rsid w:val="31682C84"/>
    <w:rsid w:val="318A0E4C"/>
    <w:rsid w:val="32024E86"/>
    <w:rsid w:val="32171FB4"/>
    <w:rsid w:val="325F5E35"/>
    <w:rsid w:val="32662D32"/>
    <w:rsid w:val="32933D30"/>
    <w:rsid w:val="32D560F7"/>
    <w:rsid w:val="32E74C3E"/>
    <w:rsid w:val="338052E3"/>
    <w:rsid w:val="33900270"/>
    <w:rsid w:val="34ED5335"/>
    <w:rsid w:val="35066A3B"/>
    <w:rsid w:val="350C1CE2"/>
    <w:rsid w:val="35BE4022"/>
    <w:rsid w:val="35C325AB"/>
    <w:rsid w:val="35E623C9"/>
    <w:rsid w:val="35FF348B"/>
    <w:rsid w:val="36237179"/>
    <w:rsid w:val="363E3FB3"/>
    <w:rsid w:val="368C11C2"/>
    <w:rsid w:val="3748158D"/>
    <w:rsid w:val="37F05781"/>
    <w:rsid w:val="38541A45"/>
    <w:rsid w:val="3872263A"/>
    <w:rsid w:val="39423DBA"/>
    <w:rsid w:val="394E275F"/>
    <w:rsid w:val="39F94DC1"/>
    <w:rsid w:val="3A797CAF"/>
    <w:rsid w:val="3A8673E9"/>
    <w:rsid w:val="3AB02FA5"/>
    <w:rsid w:val="3B2255C6"/>
    <w:rsid w:val="3B547DD5"/>
    <w:rsid w:val="3BCB3EA0"/>
    <w:rsid w:val="3C5938F5"/>
    <w:rsid w:val="3C877A0F"/>
    <w:rsid w:val="3CFB2BFE"/>
    <w:rsid w:val="3CFE20A0"/>
    <w:rsid w:val="3D127D20"/>
    <w:rsid w:val="3D424CD3"/>
    <w:rsid w:val="3DC322DA"/>
    <w:rsid w:val="3DD6112C"/>
    <w:rsid w:val="3E3839DE"/>
    <w:rsid w:val="3E3A14D5"/>
    <w:rsid w:val="3E5A3954"/>
    <w:rsid w:val="3F204B9E"/>
    <w:rsid w:val="3F23468E"/>
    <w:rsid w:val="3F5860E5"/>
    <w:rsid w:val="3FAC2E4F"/>
    <w:rsid w:val="402517AD"/>
    <w:rsid w:val="407F76A2"/>
    <w:rsid w:val="40980528"/>
    <w:rsid w:val="40C80BFA"/>
    <w:rsid w:val="41390199"/>
    <w:rsid w:val="423066CC"/>
    <w:rsid w:val="42CD1C24"/>
    <w:rsid w:val="42EF4FB3"/>
    <w:rsid w:val="439E42E3"/>
    <w:rsid w:val="4413082D"/>
    <w:rsid w:val="44496945"/>
    <w:rsid w:val="44894EF0"/>
    <w:rsid w:val="451231DA"/>
    <w:rsid w:val="45142943"/>
    <w:rsid w:val="451C4FB1"/>
    <w:rsid w:val="45392946"/>
    <w:rsid w:val="458C195C"/>
    <w:rsid w:val="45AF0A29"/>
    <w:rsid w:val="45B147A1"/>
    <w:rsid w:val="46D85D5E"/>
    <w:rsid w:val="46F238A1"/>
    <w:rsid w:val="47A46FBF"/>
    <w:rsid w:val="47A67C0A"/>
    <w:rsid w:val="483A61F4"/>
    <w:rsid w:val="486C0240"/>
    <w:rsid w:val="48AF20BB"/>
    <w:rsid w:val="48B620CF"/>
    <w:rsid w:val="48B7270C"/>
    <w:rsid w:val="48CB5B7A"/>
    <w:rsid w:val="48D2515B"/>
    <w:rsid w:val="492359B6"/>
    <w:rsid w:val="494D7D27"/>
    <w:rsid w:val="497C3832"/>
    <w:rsid w:val="49BC3715"/>
    <w:rsid w:val="49CD5922"/>
    <w:rsid w:val="49D53325"/>
    <w:rsid w:val="4A070097"/>
    <w:rsid w:val="4A264C7E"/>
    <w:rsid w:val="4A9C271D"/>
    <w:rsid w:val="4ADA1944"/>
    <w:rsid w:val="4AF173EE"/>
    <w:rsid w:val="4B8547A4"/>
    <w:rsid w:val="4BF57515"/>
    <w:rsid w:val="4C0F3FD0"/>
    <w:rsid w:val="4C316415"/>
    <w:rsid w:val="4C871DB8"/>
    <w:rsid w:val="4CFD651E"/>
    <w:rsid w:val="4CFE5DF2"/>
    <w:rsid w:val="4D386043"/>
    <w:rsid w:val="4D5C07F9"/>
    <w:rsid w:val="4DC808DA"/>
    <w:rsid w:val="4E097AA7"/>
    <w:rsid w:val="4E0D0DED"/>
    <w:rsid w:val="4E192EE4"/>
    <w:rsid w:val="4E6D1805"/>
    <w:rsid w:val="4E7B0982"/>
    <w:rsid w:val="4EB726FD"/>
    <w:rsid w:val="4EF37BD9"/>
    <w:rsid w:val="4F716D4F"/>
    <w:rsid w:val="4F7E3E71"/>
    <w:rsid w:val="4FAB1E17"/>
    <w:rsid w:val="4FD23C92"/>
    <w:rsid w:val="4FE319FB"/>
    <w:rsid w:val="4FEE65F2"/>
    <w:rsid w:val="50085996"/>
    <w:rsid w:val="500951DA"/>
    <w:rsid w:val="5038161B"/>
    <w:rsid w:val="504B3267"/>
    <w:rsid w:val="50D6198A"/>
    <w:rsid w:val="513E2C61"/>
    <w:rsid w:val="517C1235"/>
    <w:rsid w:val="51E541F9"/>
    <w:rsid w:val="522B77E3"/>
    <w:rsid w:val="528154FB"/>
    <w:rsid w:val="52B14033"/>
    <w:rsid w:val="52B5075F"/>
    <w:rsid w:val="52F35BA3"/>
    <w:rsid w:val="53654E1D"/>
    <w:rsid w:val="53784B50"/>
    <w:rsid w:val="5385101B"/>
    <w:rsid w:val="53BB67EC"/>
    <w:rsid w:val="53E97A14"/>
    <w:rsid w:val="544113E6"/>
    <w:rsid w:val="54492049"/>
    <w:rsid w:val="548E5734"/>
    <w:rsid w:val="549E2395"/>
    <w:rsid w:val="551560C9"/>
    <w:rsid w:val="5523289A"/>
    <w:rsid w:val="5577673F"/>
    <w:rsid w:val="55AF2380"/>
    <w:rsid w:val="55DF2C65"/>
    <w:rsid w:val="565D002E"/>
    <w:rsid w:val="56FB1D20"/>
    <w:rsid w:val="57266671"/>
    <w:rsid w:val="57942356"/>
    <w:rsid w:val="57B8376D"/>
    <w:rsid w:val="583006FD"/>
    <w:rsid w:val="58D323EF"/>
    <w:rsid w:val="592965E3"/>
    <w:rsid w:val="5961332F"/>
    <w:rsid w:val="59723DF0"/>
    <w:rsid w:val="59CD7278"/>
    <w:rsid w:val="5A1C4D49"/>
    <w:rsid w:val="5A317807"/>
    <w:rsid w:val="5A4822F3"/>
    <w:rsid w:val="5A651877"/>
    <w:rsid w:val="5A7A11AE"/>
    <w:rsid w:val="5A9D6C4B"/>
    <w:rsid w:val="5AD22D98"/>
    <w:rsid w:val="5B0311A3"/>
    <w:rsid w:val="5B0A266C"/>
    <w:rsid w:val="5B3752F1"/>
    <w:rsid w:val="5B42243F"/>
    <w:rsid w:val="5B8878FB"/>
    <w:rsid w:val="5BDB5C7C"/>
    <w:rsid w:val="5C0E0FF9"/>
    <w:rsid w:val="5CD1707F"/>
    <w:rsid w:val="5D373386"/>
    <w:rsid w:val="5D4E247E"/>
    <w:rsid w:val="5D777C27"/>
    <w:rsid w:val="5DFF1081"/>
    <w:rsid w:val="5E242DDC"/>
    <w:rsid w:val="5E39312E"/>
    <w:rsid w:val="5E4F4317"/>
    <w:rsid w:val="5EAA7B88"/>
    <w:rsid w:val="5ECB647C"/>
    <w:rsid w:val="5EE568CA"/>
    <w:rsid w:val="5EEB52C3"/>
    <w:rsid w:val="5EF37781"/>
    <w:rsid w:val="5F3759A0"/>
    <w:rsid w:val="60213E7A"/>
    <w:rsid w:val="602776E2"/>
    <w:rsid w:val="60511081"/>
    <w:rsid w:val="60E23609"/>
    <w:rsid w:val="613B7819"/>
    <w:rsid w:val="614A5118"/>
    <w:rsid w:val="62335253"/>
    <w:rsid w:val="624B617C"/>
    <w:rsid w:val="626A000E"/>
    <w:rsid w:val="63043D0B"/>
    <w:rsid w:val="63C11BFC"/>
    <w:rsid w:val="6408782B"/>
    <w:rsid w:val="64266CFB"/>
    <w:rsid w:val="643A66EE"/>
    <w:rsid w:val="648F234A"/>
    <w:rsid w:val="64E8140A"/>
    <w:rsid w:val="64F8789F"/>
    <w:rsid w:val="655D3BA6"/>
    <w:rsid w:val="65817895"/>
    <w:rsid w:val="65881026"/>
    <w:rsid w:val="65B85280"/>
    <w:rsid w:val="65BA2DA7"/>
    <w:rsid w:val="65C521B7"/>
    <w:rsid w:val="65C874D5"/>
    <w:rsid w:val="6685384D"/>
    <w:rsid w:val="66C33EDD"/>
    <w:rsid w:val="66F34A9F"/>
    <w:rsid w:val="67423054"/>
    <w:rsid w:val="679C6C08"/>
    <w:rsid w:val="67B13D35"/>
    <w:rsid w:val="67D5211A"/>
    <w:rsid w:val="67E4410B"/>
    <w:rsid w:val="686139AD"/>
    <w:rsid w:val="68B63CF9"/>
    <w:rsid w:val="691C73CA"/>
    <w:rsid w:val="69C75A92"/>
    <w:rsid w:val="69CC12FA"/>
    <w:rsid w:val="6A097ED0"/>
    <w:rsid w:val="6A1B7B8C"/>
    <w:rsid w:val="6A2353BE"/>
    <w:rsid w:val="6A303BFF"/>
    <w:rsid w:val="6A9242F2"/>
    <w:rsid w:val="6A9736B6"/>
    <w:rsid w:val="6B3C4384"/>
    <w:rsid w:val="6BF15048"/>
    <w:rsid w:val="6C44786E"/>
    <w:rsid w:val="6CF748E0"/>
    <w:rsid w:val="6D12227B"/>
    <w:rsid w:val="6E84783C"/>
    <w:rsid w:val="6ED53112"/>
    <w:rsid w:val="6ED8604B"/>
    <w:rsid w:val="6EEA28A8"/>
    <w:rsid w:val="6F4D07E7"/>
    <w:rsid w:val="6F7246F2"/>
    <w:rsid w:val="6FBD596D"/>
    <w:rsid w:val="6FD131C7"/>
    <w:rsid w:val="70002AE5"/>
    <w:rsid w:val="700C06A3"/>
    <w:rsid w:val="70266895"/>
    <w:rsid w:val="70315291"/>
    <w:rsid w:val="7047792D"/>
    <w:rsid w:val="70531E5F"/>
    <w:rsid w:val="7055204A"/>
    <w:rsid w:val="70C525FF"/>
    <w:rsid w:val="714B6FA9"/>
    <w:rsid w:val="715220E5"/>
    <w:rsid w:val="71C34D91"/>
    <w:rsid w:val="729046A6"/>
    <w:rsid w:val="7295497F"/>
    <w:rsid w:val="734737A0"/>
    <w:rsid w:val="73DD0749"/>
    <w:rsid w:val="74626AE3"/>
    <w:rsid w:val="74D3353D"/>
    <w:rsid w:val="755F74C6"/>
    <w:rsid w:val="758A4D69"/>
    <w:rsid w:val="75B50E95"/>
    <w:rsid w:val="768B23FF"/>
    <w:rsid w:val="7690790B"/>
    <w:rsid w:val="771D3195"/>
    <w:rsid w:val="78147323"/>
    <w:rsid w:val="781A2442"/>
    <w:rsid w:val="781D6387"/>
    <w:rsid w:val="785B61E3"/>
    <w:rsid w:val="7876008B"/>
    <w:rsid w:val="792C424B"/>
    <w:rsid w:val="79594081"/>
    <w:rsid w:val="7960632D"/>
    <w:rsid w:val="797F391F"/>
    <w:rsid w:val="79CA7D1A"/>
    <w:rsid w:val="7A6A66F1"/>
    <w:rsid w:val="7A85352B"/>
    <w:rsid w:val="7AF64429"/>
    <w:rsid w:val="7AF67F85"/>
    <w:rsid w:val="7B2C34B4"/>
    <w:rsid w:val="7B42766E"/>
    <w:rsid w:val="7B8051AE"/>
    <w:rsid w:val="7BBA5457"/>
    <w:rsid w:val="7BDE7397"/>
    <w:rsid w:val="7CB273AE"/>
    <w:rsid w:val="7D5D2E67"/>
    <w:rsid w:val="7D655087"/>
    <w:rsid w:val="7DE60785"/>
    <w:rsid w:val="7E3C03A5"/>
    <w:rsid w:val="7E4454AB"/>
    <w:rsid w:val="7E9C52E7"/>
    <w:rsid w:val="7ED76320"/>
    <w:rsid w:val="7F364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3">
    <w:name w:val="Body Text Indent"/>
    <w:basedOn w:val="1"/>
    <w:qFormat/>
    <w:uiPriority w:val="0"/>
    <w:pPr>
      <w:ind w:left="420" w:leftChars="200"/>
    </w:p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5">
    <w:name w:val="Body Text First Indent"/>
    <w:basedOn w:val="2"/>
    <w:qFormat/>
    <w:uiPriority w:val="0"/>
    <w:pPr>
      <w:ind w:firstLine="420" w:firstLineChars="100"/>
    </w:pPr>
  </w:style>
  <w:style w:type="paragraph" w:styleId="6">
    <w:name w:val="Body Text First Indent 2"/>
    <w:basedOn w:val="3"/>
    <w:next w:val="5"/>
    <w:qFormat/>
    <w:uiPriority w:val="0"/>
    <w:pPr>
      <w:ind w:left="0" w:leftChars="0" w:firstLine="420" w:firstLineChars="200"/>
    </w:pPr>
  </w:style>
  <w:style w:type="paragraph" w:customStyle="1" w:styleId="9">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0">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1">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1.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7152025671881"/>
          <c:y val="0.155142066884586"/>
          <c:w val="0.618531889290012"/>
          <c:h val="0.775458888609505"/>
        </c:manualLayout>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政务信息公开平台</c:v>
                </c:pt>
                <c:pt idx="1">
                  <c:v>微信公众号</c:v>
                </c:pt>
                <c:pt idx="2">
                  <c:v>官方微博</c:v>
                </c:pt>
              </c:strCache>
            </c:strRef>
          </c:cat>
          <c:val>
            <c:numRef>
              <c:f>Sheet1!$B$2:$B$5</c:f>
              <c:numCache>
                <c:formatCode>0%</c:formatCode>
                <c:ptCount val="4"/>
                <c:pt idx="0">
                  <c:v>0.08</c:v>
                </c:pt>
                <c:pt idx="1" c:formatCode="0.00%">
                  <c:v>0.462</c:v>
                </c:pt>
                <c:pt idx="2" c:formatCode="0.00%">
                  <c:v>0.456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manualLayout>
          <c:xMode val="edge"/>
          <c:yMode val="edge"/>
          <c:x val="0.0387083834737264"/>
          <c:y val="0.00754337440281619"/>
          <c:w val="0.914560770156438"/>
          <c:h val="0.083731455871259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00459674049311"/>
          <c:y val="0.25974025974026"/>
          <c:w val="0.408552723220504"/>
          <c:h val="0.692561983471074"/>
        </c:manualLayout>
      </c:layout>
      <c:pieChart>
        <c:varyColors val="1"/>
        <c:ser>
          <c:idx val="0"/>
          <c:order val="0"/>
          <c:tx>
            <c:strRef>
              <c:f>Sheet1!$B$1</c:f>
              <c:strCache>
                <c:ptCount val="1"/>
                <c:pt idx="0">
                  <c:v>系列 1</c:v>
                </c:pt>
              </c:strCache>
            </c:strRef>
          </c:tx>
          <c:spPr>
            <a:solidFill>
              <a:srgbClr val="859949"/>
            </a:solidFill>
            <a:ln w="31750">
              <a:solidFill>
                <a:schemeClr val="bg1">
                  <a:alpha val="42000"/>
                </a:schemeClr>
              </a:solidFill>
            </a:ln>
          </c:spPr>
          <c:explosion val="0"/>
          <c:dPt>
            <c:idx val="0"/>
            <c:bubble3D val="0"/>
            <c:explosion val="0"/>
            <c:spPr>
              <a:solidFill>
                <a:srgbClr val="365B7C"/>
              </a:solidFill>
              <a:ln w="31750">
                <a:solidFill>
                  <a:schemeClr val="bg1">
                    <a:alpha val="42000"/>
                  </a:schemeClr>
                </a:solidFill>
              </a:ln>
              <a:effectLst/>
            </c:spPr>
          </c:dPt>
          <c:dPt>
            <c:idx val="1"/>
            <c:bubble3D val="0"/>
            <c:spPr>
              <a:solidFill>
                <a:srgbClr val="966480"/>
              </a:solidFill>
              <a:ln w="31750">
                <a:solidFill>
                  <a:schemeClr val="bg1">
                    <a:alpha val="42000"/>
                  </a:schemeClr>
                </a:solidFill>
              </a:ln>
              <a:effectLst/>
            </c:spPr>
          </c:dPt>
          <c:dPt>
            <c:idx val="2"/>
            <c:bubble3D val="0"/>
            <c:spPr>
              <a:solidFill>
                <a:srgbClr val="D06F83"/>
              </a:solidFill>
              <a:ln w="31750">
                <a:solidFill>
                  <a:schemeClr val="bg1">
                    <a:alpha val="42000"/>
                  </a:schemeClr>
                </a:solidFill>
              </a:ln>
              <a:effectLst/>
            </c:spPr>
          </c:dPt>
          <c:dLbls>
            <c:dLbl>
              <c:idx val="0"/>
              <c:delete val="1"/>
            </c:dLbl>
            <c:dLbl>
              <c:idx val="1"/>
              <c:delete val="1"/>
            </c:dLbl>
            <c:dLbl>
              <c:idx val="2"/>
              <c:delete val="1"/>
            </c:dLbl>
            <c:numFmt formatCode="General" sourceLinked="1"/>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latin typeface="微软雅黑" panose="020B0503020204020204" pitchFamily="34" charset="-122"/>
                    <a:ea typeface="微软雅黑" panose="020B0503020204020204" pitchFamily="34" charset="-122"/>
                    <a:cs typeface="微软雅黑" panose="020B0503020204020204" pitchFamily="34" charset="-122"/>
                    <a:sym typeface="微软雅黑" panose="020B0503020204020204" pitchFamily="34" charset="-122"/>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业务管理类</c:v>
                </c:pt>
                <c:pt idx="1">
                  <c:v>社区建设类</c:v>
                </c:pt>
                <c:pt idx="2">
                  <c:v>其他信息</c:v>
                </c:pt>
              </c:strCache>
            </c:strRef>
          </c:cat>
          <c:val>
            <c:numRef>
              <c:f>Sheet1!$B$2:$B$4</c:f>
              <c:numCache>
                <c:formatCode>0.00%</c:formatCode>
                <c:ptCount val="3"/>
                <c:pt idx="0">
                  <c:v>0.275</c:v>
                </c:pt>
                <c:pt idx="1">
                  <c:v>0.314</c:v>
                </c:pt>
                <c:pt idx="2">
                  <c:v>0.409</c:v>
                </c:pt>
              </c:numCache>
            </c:numRef>
          </c:val>
        </c:ser>
        <c:ser>
          <c:idx val="1"/>
          <c:order val="1"/>
          <c:tx>
            <c:strRef>
              <c:f>Sheet1!#REF!</c:f>
              <c:strCache>
                <c:ptCount val="1"/>
                <c:pt idx="0">
                  <c:v/>
                </c:pt>
              </c:strCache>
            </c:strRef>
          </c:tx>
          <c:spPr>
            <a:solidFill>
              <a:srgbClr val="859949"/>
            </a:solidFill>
            <a:ln w="31750">
              <a:solidFill>
                <a:schemeClr val="bg1">
                  <a:alpha val="42000"/>
                </a:schemeClr>
              </a:solidFill>
            </a:ln>
          </c:spPr>
          <c:explosion val="0"/>
          <c:dPt>
            <c:idx val="0"/>
            <c:bubble3D val="0"/>
            <c:spPr>
              <a:solidFill>
                <a:srgbClr val="365B7C"/>
              </a:solidFill>
              <a:ln w="31750">
                <a:solidFill>
                  <a:schemeClr val="bg1">
                    <a:alpha val="42000"/>
                  </a:schemeClr>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65000"/>
                        <a:lumOff val="35000"/>
                      </a:schemeClr>
                    </a:solidFill>
                    <a:latin typeface="微软雅黑" panose="020B0503020204020204" pitchFamily="34" charset="-122"/>
                    <a:ea typeface="微软雅黑" panose="020B0503020204020204" pitchFamily="34" charset="-122"/>
                    <a:cs typeface="微软雅黑" panose="020B0503020204020204" pitchFamily="34" charset="-122"/>
                    <a:sym typeface="微软雅黑" panose="020B0503020204020204" pitchFamily="34" charset="-122"/>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业务管理类</c:v>
                </c:pt>
                <c:pt idx="1">
                  <c:v>社区建设类</c:v>
                </c:pt>
                <c:pt idx="2">
                  <c:v>其他信息</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rgbClr val="859949"/>
            </a:solidFill>
            <a:ln w="31750">
              <a:solidFill>
                <a:schemeClr val="bg1">
                  <a:alpha val="42000"/>
                </a:schemeClr>
              </a:solidFill>
            </a:ln>
          </c:spPr>
          <c:explosion val="0"/>
          <c:dPt>
            <c:idx val="0"/>
            <c:bubble3D val="0"/>
            <c:spPr>
              <a:solidFill>
                <a:srgbClr val="365B7C"/>
              </a:solidFill>
              <a:ln w="31750">
                <a:solidFill>
                  <a:schemeClr val="bg1">
                    <a:alpha val="42000"/>
                  </a:schemeClr>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65000"/>
                        <a:lumOff val="35000"/>
                      </a:schemeClr>
                    </a:solidFill>
                    <a:latin typeface="微软雅黑" panose="020B0503020204020204" pitchFamily="34" charset="-122"/>
                    <a:ea typeface="微软雅黑" panose="020B0503020204020204" pitchFamily="34" charset="-122"/>
                    <a:cs typeface="微软雅黑" panose="020B0503020204020204" pitchFamily="34" charset="-122"/>
                    <a:sym typeface="微软雅黑" panose="020B0503020204020204" pitchFamily="34" charset="-122"/>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业务管理类</c:v>
                </c:pt>
                <c:pt idx="1">
                  <c:v>社区建设类</c:v>
                </c:pt>
                <c:pt idx="2">
                  <c:v>其他信息</c:v>
                </c:pt>
              </c:strCache>
            </c:strRef>
          </c:cat>
          <c:val>
            <c:numRef>
              <c:f>Sheet1!#REF!</c:f>
              <c:numCache>
                <c:formatCode>General</c:formatCode>
                <c:ptCount val="1"/>
                <c:pt idx="0">
                  <c:v>1</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t"/>
      <c:layout>
        <c:manualLayout>
          <c:xMode val="edge"/>
          <c:yMode val="edge"/>
          <c:x val="0.155799373040752"/>
          <c:y val="0.0199364855328158"/>
          <c:w val="0.683385579937304"/>
          <c:h val="0.270818630910374"/>
        </c:manualLayout>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65000"/>
                  <a:lumOff val="35000"/>
                </a:schemeClr>
              </a:solidFill>
              <a:latin typeface="微软雅黑" panose="020B0503020204020204" pitchFamily="34" charset="-122"/>
              <a:ea typeface="微软雅黑" panose="020B0503020204020204" pitchFamily="34" charset="-122"/>
              <a:cs typeface="微软雅黑" panose="020B0503020204020204" pitchFamily="34" charset="-122"/>
              <a:sym typeface="微软雅黑" panose="020B0503020204020204" pitchFamily="34" charset="-122"/>
            </a:defRPr>
          </a:pPr>
        </a:p>
      </c:txPr>
    </c:legend>
    <c:plotVisOnly val="1"/>
    <c:dispBlanksAs val="gap"/>
    <c:showDLblsOverMax val="0"/>
  </c:chart>
  <c:spPr>
    <a:solidFill>
      <a:schemeClr val="bg1"/>
    </a:solidFill>
    <a:ln w="9525" cap="flat" cmpd="sng" algn="ctr">
      <a:noFill/>
      <a:round/>
    </a:ln>
    <a:effectLst>
      <a:outerShdw blurRad="63500" dist="37357" dir="2700000" sx="0" sy="0" rotWithShape="0">
        <a:scrgbClr r="0" g="0" b="0"/>
      </a:outerShdw>
    </a:effectLst>
  </c:spPr>
  <c:txPr>
    <a:bodyPr/>
    <a:lstStyle/>
    <a:p>
      <a:pPr>
        <a:defRPr lang="zh-CN">
          <a:solidFill>
            <a:schemeClr val="tx1">
              <a:lumMod val="65000"/>
              <a:lumOff val="35000"/>
            </a:schemeClr>
          </a:solidFill>
          <a:latin typeface="微软雅黑" panose="020B0503020204020204" pitchFamily="34" charset="-122"/>
          <a:ea typeface="微软雅黑" panose="020B0503020204020204" pitchFamily="34" charset="-122"/>
          <a:cs typeface="微软雅黑" panose="020B0503020204020204" pitchFamily="34" charset="-122"/>
          <a:sym typeface="微软雅黑" panose="020B0503020204020204" pitchFamily="34"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2022-01-10T05:59:00Z</dcterms:created>
  <dc:creator>LENOVO</dc:creator>
  <cp:lastModifiedBy>十方无敌梁哥</cp:lastModifiedBy>
  <cp:lastPrinted>2022-01-13T07:32:00Z</cp:lastPrinted>
  <dcterms:modified xsi:type="dcterms:W3CDTF">2023-11-29T09:21:13Z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84C7B3D0567A4E33B2598755D8AC7D40</vt:lpwstr>
  </property>
</Properties>
</file>