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line="560" w:lineRule="atLeast"/>
        <w:ind w:left="-95" w:leftChars="-85" w:hanging="83" w:hangingChars="26"/>
        <w:contextualSpacing/>
        <w:jc w:val="center"/>
        <w:rPr>
          <w:rFonts w:hint="eastAsia"/>
          <w:sz w:val="32"/>
          <w:szCs w:val="32"/>
        </w:rPr>
      </w:pPr>
    </w:p>
    <w:p>
      <w:pPr>
        <w:pStyle w:val="3"/>
        <w:spacing w:line="560" w:lineRule="atLeast"/>
        <w:ind w:left="-95" w:leftChars="-85" w:hanging="83" w:hangingChars="26"/>
        <w:contextualSpacing/>
        <w:jc w:val="center"/>
        <w:rPr>
          <w:rFonts w:hint="eastAsia"/>
          <w:sz w:val="32"/>
          <w:szCs w:val="32"/>
        </w:rPr>
      </w:pPr>
      <w:r>
        <w:rPr>
          <w:sz w:val="32"/>
          <w:szCs w:val="32"/>
        </w:rPr>
        <w:t xml:space="preserve"> </w:t>
      </w:r>
    </w:p>
    <w:p>
      <w:pPr>
        <w:spacing w:line="560" w:lineRule="atLeast"/>
        <w:ind w:right="391" w:rightChars="186" w:firstLine="358" w:firstLineChars="112"/>
        <w:contextualSpacing/>
        <w:rPr>
          <w:rFonts w:hint="eastAsia" w:eastAsia="仿宋_GB2312"/>
          <w:color w:val="000000"/>
          <w:sz w:val="32"/>
          <w:szCs w:val="32"/>
        </w:rPr>
      </w:pPr>
    </w:p>
    <w:p>
      <w:pPr>
        <w:spacing w:line="560" w:lineRule="atLeast"/>
        <w:ind w:right="391" w:rightChars="186" w:firstLine="358" w:firstLineChars="112"/>
        <w:contextualSpacing/>
        <w:rPr>
          <w:rFonts w:hint="eastAsia" w:eastAsia="仿宋_GB2312"/>
          <w:color w:val="000000"/>
          <w:sz w:val="32"/>
          <w:szCs w:val="32"/>
        </w:rPr>
      </w:pPr>
    </w:p>
    <w:p>
      <w:pPr>
        <w:spacing w:line="560" w:lineRule="atLeast"/>
        <w:ind w:right="391" w:rightChars="186" w:firstLine="358" w:firstLineChars="112"/>
        <w:contextualSpacing/>
        <w:rPr>
          <w:rFonts w:hint="eastAsia" w:eastAsia="仿宋_GB2312"/>
          <w:color w:val="000000"/>
          <w:sz w:val="32"/>
          <w:szCs w:val="32"/>
        </w:rPr>
      </w:pPr>
    </w:p>
    <w:p>
      <w:pPr>
        <w:spacing w:line="560" w:lineRule="atLeast"/>
        <w:ind w:right="391" w:rightChars="186" w:firstLine="358" w:firstLineChars="112"/>
        <w:contextualSpacing/>
        <w:rPr>
          <w:rFonts w:hint="eastAsia" w:eastAsia="仿宋_GB2312"/>
          <w:color w:val="000000"/>
          <w:sz w:val="32"/>
          <w:szCs w:val="32"/>
        </w:rPr>
      </w:pPr>
    </w:p>
    <w:p>
      <w:pPr>
        <w:spacing w:line="560" w:lineRule="atLeast"/>
        <w:ind w:right="391" w:rightChars="186"/>
        <w:contextualSpacing/>
        <w:rPr>
          <w:rFonts w:hint="eastAsia" w:eastAsia="仿宋_GB2312"/>
          <w:color w:val="000000"/>
          <w:sz w:val="32"/>
          <w:szCs w:val="32"/>
        </w:rPr>
      </w:pPr>
    </w:p>
    <w:p>
      <w:pPr>
        <w:spacing w:line="560" w:lineRule="atLeast"/>
        <w:ind w:firstLine="320" w:firstLineChars="100"/>
        <w:contextualSpacing/>
        <w:rPr>
          <w:rFonts w:hint="eastAsia" w:eastAsia="仿宋_GB2312"/>
          <w:color w:val="FF0000"/>
          <w:sz w:val="32"/>
          <w:szCs w:val="32"/>
        </w:rPr>
      </w:pPr>
      <w:r>
        <w:rPr>
          <w:rFonts w:eastAsia="仿宋_GB2312"/>
          <w:sz w:val="32"/>
          <w:szCs w:val="32"/>
        </w:rPr>
        <w:t>威环竹</w:t>
      </w:r>
      <w:r>
        <w:rPr>
          <w:rFonts w:hint="eastAsia" w:eastAsia="仿宋_GB2312"/>
          <w:sz w:val="32"/>
          <w:szCs w:val="32"/>
          <w:lang w:eastAsia="zh-CN"/>
        </w:rPr>
        <w:t>办字</w:t>
      </w:r>
      <w:r>
        <w:rPr>
          <w:rFonts w:eastAsia="仿宋_GB2312"/>
          <w:sz w:val="32"/>
          <w:szCs w:val="32"/>
        </w:rPr>
        <w:t>〔201</w:t>
      </w:r>
      <w:r>
        <w:rPr>
          <w:rFonts w:hint="eastAsia" w:eastAsia="仿宋_GB2312"/>
          <w:sz w:val="32"/>
          <w:szCs w:val="32"/>
        </w:rPr>
        <w:t>9</w:t>
      </w:r>
      <w:r>
        <w:rPr>
          <w:rFonts w:eastAsia="仿宋_GB2312"/>
          <w:sz w:val="32"/>
          <w:szCs w:val="32"/>
        </w:rPr>
        <w:t>〕</w:t>
      </w:r>
      <w:r>
        <w:rPr>
          <w:rFonts w:hint="eastAsia" w:eastAsia="仿宋_GB2312"/>
          <w:sz w:val="32"/>
          <w:szCs w:val="32"/>
          <w:lang w:val="en-US" w:eastAsia="zh-CN"/>
        </w:rPr>
        <w:t>15</w:t>
      </w:r>
      <w:r>
        <w:rPr>
          <w:rFonts w:eastAsia="仿宋_GB2312"/>
          <w:sz w:val="32"/>
          <w:szCs w:val="32"/>
        </w:rPr>
        <w:t xml:space="preserve">号             签发人: </w:t>
      </w:r>
      <w:r>
        <w:rPr>
          <w:rFonts w:hint="eastAsia" w:eastAsia="仿宋_GB2312"/>
          <w:sz w:val="32"/>
          <w:szCs w:val="32"/>
        </w:rPr>
        <w:t>张明玺</w:t>
      </w:r>
    </w:p>
    <w:p>
      <w:pPr>
        <w:spacing w:line="560" w:lineRule="atLeast"/>
        <w:contextualSpacing/>
        <w:jc w:val="center"/>
        <w:rPr>
          <w:rFonts w:eastAsia="仿宋_GB2312"/>
          <w:color w:val="FF0000"/>
          <w:sz w:val="32"/>
          <w:szCs w:val="32"/>
        </w:rPr>
      </w:pPr>
      <w:r>
        <w:rPr>
          <w:rFonts w:eastAsia="仿宋_GB2312"/>
          <w:color w:val="FF0000"/>
          <w:sz w:val="32"/>
          <w:szCs w:val="32"/>
        </w:rPr>
        <w:t xml:space="preserve">                                   </w:t>
      </w:r>
    </w:p>
    <w:p>
      <w:pPr>
        <w:snapToGrid w:val="0"/>
        <w:spacing w:line="560" w:lineRule="atLeast"/>
        <w:contextualSpacing/>
        <w:rPr>
          <w:rFonts w:hint="eastAsia" w:eastAsia="方正小标宋简体"/>
          <w:sz w:val="32"/>
          <w:szCs w:val="32"/>
        </w:rPr>
      </w:pPr>
    </w:p>
    <w:p>
      <w:pPr>
        <w:spacing w:line="580" w:lineRule="exact"/>
        <w:ind w:firstLine="440" w:firstLineChars="100"/>
        <w:jc w:val="center"/>
        <w:rPr>
          <w:rFonts w:hint="eastAsia" w:ascii="方正小标宋简体" w:hAnsi="方正小标宋简体" w:eastAsia="方正小标宋简体" w:cs="方正小标宋简体"/>
          <w:sz w:val="44"/>
          <w:szCs w:val="44"/>
        </w:rPr>
      </w:pPr>
      <w:r>
        <w:rPr>
          <w:rFonts w:hint="eastAsia" w:ascii="Times New Roman" w:hAnsi="Times New Roman" w:eastAsia="方正小标宋简体" w:cs="Times New Roman"/>
          <w:bCs/>
          <w:sz w:val="44"/>
          <w:szCs w:val="44"/>
          <w:lang w:eastAsia="zh-CN"/>
        </w:rPr>
        <w:t>竹岛街道办事处</w:t>
      </w:r>
      <w:r>
        <w:rPr>
          <w:rFonts w:hint="eastAsia" w:ascii="方正小标宋简体" w:hAnsi="方正小标宋简体" w:eastAsia="方正小标宋简体" w:cs="方正小标宋简体"/>
          <w:bCs/>
          <w:sz w:val="44"/>
          <w:szCs w:val="44"/>
        </w:rPr>
        <w:t>关于切实加强和改进企业安全生产培训及考核工作实施方案</w:t>
      </w:r>
    </w:p>
    <w:p>
      <w:pPr>
        <w:spacing w:line="580" w:lineRule="exact"/>
        <w:rPr>
          <w:rFonts w:hint="default" w:ascii="Times New Roman" w:hAnsi="Times New Roman" w:eastAsia="仿宋_GB2312" w:cs="Times New Roman"/>
          <w:sz w:val="32"/>
          <w:szCs w:val="32"/>
        </w:rPr>
      </w:pP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安全生产培训（以下简称安全培训）是提高企业从业人员安全意识和素质，确保标准作业、规范作业、安全作业的根本措施。为切实加强我区安全培训及考核工作，改进培训方式，提高培训质量，严格培训考核，按照</w:t>
      </w:r>
      <w:r>
        <w:rPr>
          <w:rFonts w:hint="eastAsia" w:ascii="Times New Roman" w:hAnsi="Times New Roman" w:eastAsia="仿宋_GB2312" w:cs="Times New Roman"/>
          <w:sz w:val="32"/>
          <w:szCs w:val="32"/>
          <w:lang w:eastAsia="zh-CN"/>
        </w:rPr>
        <w:t>环翠区</w:t>
      </w:r>
      <w:r>
        <w:rPr>
          <w:rFonts w:hint="default" w:ascii="Times New Roman" w:hAnsi="Times New Roman" w:eastAsia="仿宋_GB2312" w:cs="Times New Roman"/>
          <w:sz w:val="32"/>
          <w:szCs w:val="32"/>
        </w:rPr>
        <w:t>安委会《威海市环翠区人民政府安全生产委员会办公室关于切实加强和改进企业安全生产培训及考核工作实施方案的通知》的要求，制定如下实施方案：</w:t>
      </w: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一、总体思路</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习近平新时代中国特色社会主义思想为指导，认真贯彻落实《安全生产法》《山东省安全生产条例》和国家、省、有关安全培训考核的规定，以提升从业人员安全素质和意识为目标，以落实企业安全培训主体责任为重点，以基础建设为支撑，以信息化建设为突破口，构建安全培训内容规范化、课程优质化、方式多样化、考核网络化和监督检查日常化的培训考核管理体系，不断提升安全培训及考核的质量，全面规范从业人员安全生产行为，为</w:t>
      </w:r>
      <w:r>
        <w:rPr>
          <w:rFonts w:hint="eastAsia" w:ascii="Times New Roman" w:hAnsi="Times New Roman" w:eastAsia="仿宋_GB2312" w:cs="Times New Roman"/>
          <w:sz w:val="32"/>
          <w:szCs w:val="32"/>
          <w:lang w:eastAsia="zh-CN"/>
        </w:rPr>
        <w:t>辖区</w:t>
      </w:r>
      <w:r>
        <w:rPr>
          <w:rFonts w:hint="default" w:ascii="Times New Roman" w:hAnsi="Times New Roman" w:eastAsia="仿宋_GB2312" w:cs="Times New Roman"/>
          <w:sz w:val="32"/>
          <w:szCs w:val="32"/>
        </w:rPr>
        <w:t>安全生产形势持续稳定好转提供有力支撑。</w:t>
      </w:r>
    </w:p>
    <w:p>
      <w:pPr>
        <w:spacing w:line="580" w:lineRule="exact"/>
        <w:ind w:firstLine="636"/>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二、目标任务</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通过加强和改进安全培训及考核工作，争取3年时间实现以下目标：</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（1）危险化学品生产、经营、储存和矿山、建筑施工、金属冶炼等高危行业企业主要负责人、安全管理人员持证上岗率达到100%；</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（2）特种作业人员持证上岗率达到100%；</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（3）非高危行业企业主要负责人、安全管理人员及所有企业从业人员全员培训覆盖率和合格率达到100%；</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（4）逐步实现一般工贸行业主要负责人、安全管理人员及其他从业人员全员培训和考试网络化；</w:t>
      </w: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（5）因从业人员不安全行为导致的事故发生率明显下降。</w:t>
      </w:r>
    </w:p>
    <w:p>
      <w:pPr>
        <w:pStyle w:val="2"/>
        <w:spacing w:line="580" w:lineRule="exact"/>
        <w:ind w:firstLine="640" w:firstLineChars="200"/>
        <w:rPr>
          <w:rFonts w:hint="default" w:ascii="Times New Roman" w:hAnsi="Times New Roman" w:eastAsia="黑体" w:cs="Times New Roman"/>
          <w:snapToGrid w:val="0"/>
          <w:kern w:val="0"/>
        </w:rPr>
      </w:pPr>
      <w:r>
        <w:rPr>
          <w:rFonts w:hint="default" w:ascii="Times New Roman" w:hAnsi="Times New Roman" w:eastAsia="黑体" w:cs="Times New Roman"/>
          <w:snapToGrid w:val="0"/>
          <w:kern w:val="0"/>
        </w:rPr>
        <w:t>三、主要内容</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rPr>
        <w:t>（一）全面落实企业安全培训主体责任。</w:t>
      </w:r>
      <w:r>
        <w:rPr>
          <w:rFonts w:hint="default" w:ascii="Times New Roman" w:hAnsi="Times New Roman" w:eastAsia="仿宋_GB2312" w:cs="Times New Roman"/>
          <w:sz w:val="32"/>
          <w:szCs w:val="32"/>
        </w:rPr>
        <w:t>企业是安全培训的主体，主要负责人是安全培训的第一责任人，必须落实安全培训主体责任，确保安全培训工作落实、落地、落到位。</w:t>
      </w:r>
      <w:r>
        <w:rPr>
          <w:rFonts w:hint="default" w:ascii="Times New Roman" w:hAnsi="Times New Roman" w:eastAsia="仿宋_GB2312" w:cs="Times New Roman"/>
          <w:b/>
          <w:sz w:val="32"/>
          <w:szCs w:val="32"/>
        </w:rPr>
        <w:t>一要认真制定安全培训计划。</w:t>
      </w:r>
      <w:r>
        <w:rPr>
          <w:rFonts w:hint="default" w:ascii="Times New Roman" w:hAnsi="Times New Roman" w:eastAsia="仿宋_GB2312" w:cs="Times New Roman"/>
          <w:sz w:val="32"/>
          <w:szCs w:val="32"/>
        </w:rPr>
        <w:t>要依据《安全生产法》《山东省安全生产条例》等有关规定，由主要负责人组织制定符合本单位分层次、分类别、分岗位的年度培训计划并组织实施，确保安全培训的针对性、实效性。培训计划由主要负责人签字并存档备查。</w:t>
      </w:r>
      <w:r>
        <w:rPr>
          <w:rFonts w:hint="default" w:ascii="Times New Roman" w:hAnsi="Times New Roman" w:eastAsia="仿宋_GB2312" w:cs="Times New Roman"/>
          <w:b/>
          <w:sz w:val="32"/>
          <w:szCs w:val="32"/>
        </w:rPr>
        <w:t>二要切实保障安全培训经费。</w:t>
      </w:r>
      <w:r>
        <w:rPr>
          <w:rFonts w:hint="default" w:ascii="Times New Roman" w:hAnsi="Times New Roman" w:eastAsia="仿宋_GB2312" w:cs="Times New Roman"/>
          <w:sz w:val="32"/>
          <w:szCs w:val="32"/>
        </w:rPr>
        <w:t>企业年度安全培训计划所需经费，应从安全生产费用和职工培训经费中列支，不足部分，可按照国家有关规定从成本中列支。任何单位不得以经费不足为由影响培训计划的实施。</w:t>
      </w:r>
      <w:r>
        <w:rPr>
          <w:rFonts w:hint="default" w:ascii="Times New Roman" w:hAnsi="Times New Roman" w:eastAsia="仿宋_GB2312" w:cs="Times New Roman"/>
          <w:b/>
          <w:sz w:val="32"/>
          <w:szCs w:val="32"/>
        </w:rPr>
        <w:t>三要严格组织实施。</w:t>
      </w:r>
      <w:r>
        <w:rPr>
          <w:rFonts w:hint="default" w:ascii="Times New Roman" w:hAnsi="Times New Roman" w:eastAsia="仿宋_GB2312" w:cs="Times New Roman"/>
          <w:sz w:val="32"/>
          <w:szCs w:val="32"/>
        </w:rPr>
        <w:t>特种作业人员和企业主要负责人、安全管理人员（以下称“三项岗位”人员）要按照规定参加规定课程和学时的培训，并由相关主管部门考核发证。非高危行业企业主要负责人、安全管理人员和所有从业人员的全员培训，由企业统一组织、统一考核、统一发证，如实记录培训及考核情况并建档备查。从业人员全员培训合格证的样式，由有关主管部门统一确定、企业颁发。不具备培训能力的企业，可委托安全培训机构或具有培训能力的企业进行培训，培训机构对培训质量负责。考试合格人员要统一录入全省安全培训考核数据库。</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（二）切实提升企业安全培训水平</w:t>
      </w:r>
      <w:r>
        <w:rPr>
          <w:rFonts w:hint="default" w:ascii="Times New Roman" w:hAnsi="Times New Roman" w:eastAsia="仿宋_GB2312" w:cs="Times New Roman"/>
          <w:sz w:val="32"/>
          <w:szCs w:val="32"/>
        </w:rPr>
        <w:t>。金属冶炼、建筑施工、道路运输单位和危险物品的生产、经营、储存单位专职安全管理人员要至少具备相关专业中专以上学历或者中级以上专业技术职称、高级工以上技能等级，或者具备注册安全工程师资格。各类特种作业人员要具有初中及以上文化程度，危险化学品特种作业人员要具有高中或者相当于高中及以上文化程度。金属冶炼、危险化学品生产单位从业人员要具有初中及以上文化程度。高危企业安全生产许可证发放、延期和安全生产标准化考评时，有关主管部门要审核企业从业人员及安全培训情况。企业要严格按规定组织“三项岗位”人员参加安全培训。企业主要负责人和安全管理人员，自任职之日起6个月内，必须经安全生产监管部门对其安全生产知识和管理能力考核合格，取得考核合格证；特种作业人员必须经考试合格持操作资格证后方可上岗。对发生人员死亡事故负有责任的企业主要负责人和安全管理人员，要在事故调查处理报告批复后2个月内重新参加安全培训考试。有关主管部门要按照职责分工，定期开展本行业领域“三项岗位”人员考核合格证和操作资格证登记普查，建立信息库。金属冶炼、危险物品等高危企业要对新员工进行至少72学时的安全培训，建筑企业要对新员工进行至少32学时的安全培训，每年进行至少20学时的再培训；非高危企业新员工上岗前要经过至少24学时的安全培训，每年进行至少8学时的再培训。</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（三）提升安全培训考核管理水平。</w:t>
      </w:r>
      <w:r>
        <w:rPr>
          <w:rFonts w:hint="default" w:ascii="Times New Roman" w:hAnsi="Times New Roman" w:eastAsia="仿宋_GB2312" w:cs="Times New Roman"/>
          <w:sz w:val="32"/>
          <w:szCs w:val="32"/>
        </w:rPr>
        <w:t>积极运用互联网物联网技术，创新培训考核方式，实现考核管理标准化，提高培训考核质量和监管效能。</w:t>
      </w:r>
      <w:r>
        <w:rPr>
          <w:rFonts w:hint="default" w:ascii="Times New Roman" w:hAnsi="Times New Roman" w:eastAsia="仿宋_GB2312" w:cs="Times New Roman"/>
          <w:b/>
          <w:sz w:val="32"/>
          <w:szCs w:val="32"/>
        </w:rPr>
        <w:t>一要建立健全安全培训考核体系。</w:t>
      </w:r>
      <w:r>
        <w:rPr>
          <w:rFonts w:hint="default" w:ascii="Times New Roman" w:hAnsi="Times New Roman" w:eastAsia="仿宋_GB2312" w:cs="Times New Roman"/>
          <w:sz w:val="32"/>
          <w:szCs w:val="32"/>
        </w:rPr>
        <w:t>安全培训考核工作是有关主管部门的重要职责，要严格落实教考分离制度，形成区级政府集中培训、镇街区域培训、部门专业培训、企业主体考核的规范有序、运转高效的安全培训考核体系。</w:t>
      </w:r>
      <w:r>
        <w:rPr>
          <w:rFonts w:hint="default" w:ascii="Times New Roman" w:hAnsi="Times New Roman" w:eastAsia="仿宋_GB2312" w:cs="Times New Roman"/>
          <w:b/>
          <w:sz w:val="32"/>
          <w:szCs w:val="32"/>
        </w:rPr>
        <w:t>二要强化考核体系培训质量。</w:t>
      </w:r>
      <w:r>
        <w:rPr>
          <w:rFonts w:hint="default" w:ascii="Times New Roman" w:hAnsi="Times New Roman" w:eastAsia="仿宋_GB2312" w:cs="Times New Roman"/>
          <w:sz w:val="32"/>
          <w:szCs w:val="32"/>
        </w:rPr>
        <w:t>要将企业风险分级管控清单中有关管控措施直接作为“应知应会”内容，编入企业全员考试题库，结合风险分级管控责任的落实，分工种、分门类进行培训考核，确保员工全面了解和掌握岗位风险和控制措施，切实提高从业人员安全素质和技能。</w:t>
      </w:r>
      <w:r>
        <w:rPr>
          <w:rFonts w:hint="default" w:ascii="Times New Roman" w:hAnsi="Times New Roman" w:eastAsia="仿宋_GB2312" w:cs="Times New Roman"/>
          <w:b/>
          <w:sz w:val="32"/>
          <w:szCs w:val="32"/>
        </w:rPr>
        <w:t>三要加强与相关专业机构的合作</w:t>
      </w:r>
      <w:r>
        <w:rPr>
          <w:rFonts w:hint="default" w:ascii="Times New Roman" w:hAnsi="Times New Roman" w:eastAsia="仿宋_GB2312" w:cs="Times New Roman"/>
          <w:sz w:val="32"/>
          <w:szCs w:val="32"/>
        </w:rPr>
        <w:t>。选用安全生产理论水平高、实践经验丰富的专家组成讲师团，选择一批培训质量较好的培训机构，通过政府购买服务等方式，开展安全培训下基层进企业活动，为中小企业提供安全培训服务。推动和鼓励大型企业、培训机构与自身不具备培训能力的中小企业签订培训服务协议，帮助中小企业提高员工安全素质。</w:t>
      </w:r>
      <w:r>
        <w:rPr>
          <w:rFonts w:hint="default" w:ascii="Times New Roman" w:hAnsi="Times New Roman" w:eastAsia="仿宋_GB2312" w:cs="Times New Roman"/>
          <w:b/>
          <w:sz w:val="32"/>
          <w:szCs w:val="32"/>
        </w:rPr>
        <w:t>四要将全员安全培训情况纳入安全生产年度考核的重要内容。</w:t>
      </w:r>
      <w:r>
        <w:rPr>
          <w:rFonts w:hint="default" w:ascii="Times New Roman" w:hAnsi="Times New Roman" w:eastAsia="仿宋_GB2312" w:cs="Times New Roman"/>
          <w:sz w:val="32"/>
          <w:szCs w:val="32"/>
        </w:rPr>
        <w:t>做到定性与定量、内部考核与外部评议相结合，对全员安全培训工作开展情况、经费保障、培训成效等情况进行考核评分，成绩突出的予以表彰，对考核不及格的予以通报批评，并督促整改。要建立安全培训工作考核机制，严格奖惩，切实保障安全培训的各项工作落到实处。</w:t>
      </w:r>
    </w:p>
    <w:p>
      <w:pPr>
        <w:spacing w:line="580" w:lineRule="exact"/>
        <w:ind w:firstLine="636"/>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四、保障措施</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安全培训是实现安全风险源头防范、减少事故发生的基础性工作。各</w:t>
      </w:r>
      <w:r>
        <w:rPr>
          <w:rFonts w:hint="eastAsia" w:ascii="Times New Roman" w:hAnsi="Times New Roman" w:eastAsia="仿宋_GB2312" w:cs="Times New Roman"/>
          <w:sz w:val="32"/>
          <w:szCs w:val="32"/>
          <w:lang w:eastAsia="zh-CN"/>
        </w:rPr>
        <w:t>集体经济组织、社区、职能科室</w:t>
      </w:r>
      <w:r>
        <w:rPr>
          <w:rFonts w:hint="default" w:ascii="Times New Roman" w:hAnsi="Times New Roman" w:eastAsia="仿宋_GB2312" w:cs="Times New Roman"/>
          <w:sz w:val="32"/>
          <w:szCs w:val="32"/>
        </w:rPr>
        <w:t>要高度重视，要按照本方案的要求，周密制定本辖区、本</w:t>
      </w:r>
      <w:r>
        <w:rPr>
          <w:rFonts w:hint="eastAsia" w:ascii="Times New Roman" w:hAnsi="Times New Roman" w:eastAsia="仿宋_GB2312" w:cs="Times New Roman"/>
          <w:sz w:val="32"/>
          <w:szCs w:val="32"/>
          <w:lang w:eastAsia="zh-CN"/>
        </w:rPr>
        <w:t>行业领域</w:t>
      </w:r>
      <w:r>
        <w:rPr>
          <w:rFonts w:hint="default" w:ascii="Times New Roman" w:hAnsi="Times New Roman" w:eastAsia="仿宋_GB2312" w:cs="Times New Roman"/>
          <w:sz w:val="32"/>
          <w:szCs w:val="32"/>
        </w:rPr>
        <w:t>具体实施方案，明确时间节点和路线图，定期研究解决安全培训工作中存在的突出问题，完善各项配套措施，落实工作责任，确保安全培训各项工作真正落到实处。</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（二）广泛宣传发动。</w:t>
      </w:r>
      <w:r>
        <w:rPr>
          <w:rFonts w:hint="default" w:ascii="Times New Roman" w:hAnsi="Times New Roman" w:eastAsia="仿宋_GB2312" w:cs="Times New Roman"/>
          <w:sz w:val="32"/>
          <w:szCs w:val="32"/>
        </w:rPr>
        <w:t>要充分利用电视、报纸、门户网站等主流媒体积极推广有关主管部门加大安全培训监管力度、企业落实安全培训主体责任、培训机构提高安全培训质量的典型经验，以点带面推动工作。要广泛宣传安全培训工作的重要地位和作用，努力形成全社会更加支持安全生产工作的氛围。</w:t>
      </w:r>
    </w:p>
    <w:p>
      <w:pPr>
        <w:spacing w:line="580" w:lineRule="exact"/>
        <w:ind w:firstLine="636"/>
        <w:rPr>
          <w:rFonts w:hint="eastAsia"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rPr>
        <w:t>（三）拓宽经费保障渠道</w:t>
      </w:r>
      <w:r>
        <w:rPr>
          <w:rFonts w:hint="default" w:ascii="Times New Roman" w:hAnsi="Times New Roman" w:eastAsia="仿宋_GB2312" w:cs="Times New Roman"/>
          <w:sz w:val="32"/>
          <w:szCs w:val="32"/>
        </w:rPr>
        <w:t>。要建立以企业投入为主、社会资金为辅助的多渠道经费保障机制。要把“三项岗位”人员的考试考核经费，依照有关规定纳入财政保障范围；企业实施技术改造和项目引进要专门安排培训资金。保险机构要积极探索“安责险+安全培训”模式，由事后赔付向事前防范转变。</w:t>
      </w:r>
      <w:r>
        <w:rPr>
          <w:rFonts w:hint="eastAsia" w:ascii="Times New Roman" w:hAnsi="Times New Roman" w:eastAsia="仿宋_GB2312" w:cs="Times New Roman"/>
          <w:sz w:val="32"/>
          <w:szCs w:val="32"/>
          <w:lang w:val="en-US" w:eastAsia="zh-CN"/>
        </w:rPr>
        <w:t xml:space="preserve"> </w:t>
      </w:r>
    </w:p>
    <w:p>
      <w:pPr>
        <w:spacing w:line="580" w:lineRule="exact"/>
        <w:ind w:firstLine="636"/>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（四）严格执法检查。</w:t>
      </w:r>
      <w:r>
        <w:rPr>
          <w:rFonts w:hint="default" w:ascii="Times New Roman" w:hAnsi="Times New Roman" w:eastAsia="仿宋_GB2312" w:cs="Times New Roman"/>
          <w:sz w:val="32"/>
          <w:szCs w:val="32"/>
        </w:rPr>
        <w:t>要把安全培训执法检查纳入年度执法重点范围和重点内容，检查必查安全培训。发现企业安全培训违法违规行为，要从严处罚。要严格责任追究，凡发生死亡事故的,一律倒查企业培训责任并依法依规严肃追究企业相关责任人的责任。</w:t>
      </w:r>
    </w:p>
    <w:p>
      <w:pPr>
        <w:spacing w:line="580" w:lineRule="exact"/>
        <w:ind w:firstLine="636"/>
        <w:rPr>
          <w:rFonts w:hint="default" w:ascii="Times New Roman" w:hAnsi="Times New Roman" w:eastAsia="仿宋_GB2312" w:cs="Times New Roman"/>
          <w:sz w:val="32"/>
          <w:szCs w:val="32"/>
        </w:rPr>
      </w:pPr>
    </w:p>
    <w:p>
      <w:pPr>
        <w:spacing w:line="580" w:lineRule="exact"/>
        <w:ind w:firstLine="636"/>
        <w:rPr>
          <w:rFonts w:hint="default" w:ascii="Times New Roman" w:hAnsi="Times New Roman" w:eastAsia="仿宋_GB2312" w:cs="Times New Roman"/>
          <w:sz w:val="32"/>
          <w:szCs w:val="32"/>
        </w:rPr>
      </w:pPr>
    </w:p>
    <w:p>
      <w:pPr>
        <w:wordWrap w:val="0"/>
        <w:spacing w:line="580" w:lineRule="exact"/>
        <w:ind w:firstLine="636"/>
        <w:jc w:val="center"/>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竹岛街道办事处</w:t>
      </w:r>
    </w:p>
    <w:p>
      <w:pPr>
        <w:spacing w:line="580" w:lineRule="exact"/>
        <w:ind w:firstLine="636"/>
        <w:jc w:val="center"/>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2019年8月12日</w:t>
      </w: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ind w:firstLine="636"/>
        <w:jc w:val="right"/>
        <w:rPr>
          <w:rFonts w:hint="eastAsia" w:ascii="Times New Roman" w:hAnsi="Times New Roman" w:eastAsia="仿宋_GB2312" w:cs="Times New Roman"/>
          <w:sz w:val="32"/>
          <w:szCs w:val="32"/>
          <w:lang w:val="en-US" w:eastAsia="zh-CN"/>
        </w:rPr>
      </w:pPr>
      <w:bookmarkStart w:id="0" w:name="_GoBack"/>
      <w:bookmarkEnd w:id="0"/>
    </w:p>
    <w:p>
      <w:pPr>
        <w:spacing w:line="580" w:lineRule="exact"/>
        <w:ind w:firstLine="636"/>
        <w:jc w:val="right"/>
        <w:rPr>
          <w:rFonts w:hint="eastAsia" w:ascii="Times New Roman" w:hAnsi="Times New Roman" w:eastAsia="仿宋_GB2312" w:cs="Times New Roman"/>
          <w:sz w:val="32"/>
          <w:szCs w:val="32"/>
          <w:lang w:val="en-US" w:eastAsia="zh-CN"/>
        </w:rPr>
      </w:pPr>
    </w:p>
    <w:p>
      <w:pPr>
        <w:spacing w:line="580" w:lineRule="exact"/>
        <w:jc w:val="both"/>
        <w:rPr>
          <w:rFonts w:hint="eastAsia" w:ascii="Times New Roman" w:hAnsi="Times New Roman" w:eastAsia="仿宋_GB2312" w:cs="Times New Roman"/>
          <w:sz w:val="32"/>
          <w:szCs w:val="32"/>
          <w:lang w:val="en-US" w:eastAsia="zh-CN"/>
        </w:rPr>
      </w:pPr>
    </w:p>
    <w:p>
      <w:pPr>
        <w:spacing w:line="580" w:lineRule="exact"/>
        <w:jc w:val="both"/>
        <w:rPr>
          <w:rFonts w:hint="default" w:ascii="Times New Roman" w:hAnsi="Times New Roman" w:eastAsia="仿宋_GB2312" w:cs="Times New Roman"/>
          <w:sz w:val="32"/>
          <w:szCs w:val="32"/>
          <w:lang w:val="en-US" w:eastAsia="zh-CN"/>
        </w:rPr>
      </w:pPr>
    </w:p>
    <w:sectPr>
      <w:footerReference r:id="rId3" w:type="first"/>
      <w:pgSz w:w="11906" w:h="16838"/>
      <w:pgMar w:top="1327" w:right="1440" w:bottom="1440" w:left="1531" w:header="851" w:footer="992" w:gutter="0"/>
      <w:pgNumType w:fmt="numberInDash"/>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pP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MyZjk5ODE3NDI1NmE2ZGVjYzE0MDQxYmQ4NDBjYTUifQ=="/>
  </w:docVars>
  <w:rsids>
    <w:rsidRoot w:val="007C0632"/>
    <w:rsid w:val="00081AC4"/>
    <w:rsid w:val="0008692E"/>
    <w:rsid w:val="000A0785"/>
    <w:rsid w:val="000A3D5D"/>
    <w:rsid w:val="000C165F"/>
    <w:rsid w:val="001151EB"/>
    <w:rsid w:val="00171CA3"/>
    <w:rsid w:val="001D4753"/>
    <w:rsid w:val="00223230"/>
    <w:rsid w:val="002348AF"/>
    <w:rsid w:val="00274C94"/>
    <w:rsid w:val="002877C0"/>
    <w:rsid w:val="002B5230"/>
    <w:rsid w:val="00337495"/>
    <w:rsid w:val="004A311A"/>
    <w:rsid w:val="004A772D"/>
    <w:rsid w:val="004C5634"/>
    <w:rsid w:val="0059698D"/>
    <w:rsid w:val="00680745"/>
    <w:rsid w:val="006D12FD"/>
    <w:rsid w:val="00772366"/>
    <w:rsid w:val="007A6AD8"/>
    <w:rsid w:val="007C0632"/>
    <w:rsid w:val="00926277"/>
    <w:rsid w:val="00943459"/>
    <w:rsid w:val="00964060"/>
    <w:rsid w:val="00985963"/>
    <w:rsid w:val="00996B18"/>
    <w:rsid w:val="009B2E62"/>
    <w:rsid w:val="009E13EA"/>
    <w:rsid w:val="00A3605F"/>
    <w:rsid w:val="00A7630D"/>
    <w:rsid w:val="00B55574"/>
    <w:rsid w:val="00B96F23"/>
    <w:rsid w:val="00C15981"/>
    <w:rsid w:val="00C22CD8"/>
    <w:rsid w:val="00CA0373"/>
    <w:rsid w:val="00DA34DF"/>
    <w:rsid w:val="00DE1F25"/>
    <w:rsid w:val="00E35406"/>
    <w:rsid w:val="00EB17BB"/>
    <w:rsid w:val="00EC19E6"/>
    <w:rsid w:val="00FA6D8C"/>
    <w:rsid w:val="04C46763"/>
    <w:rsid w:val="06213D37"/>
    <w:rsid w:val="062F0C34"/>
    <w:rsid w:val="08FC3832"/>
    <w:rsid w:val="0C30366D"/>
    <w:rsid w:val="0E2725E7"/>
    <w:rsid w:val="11D4486A"/>
    <w:rsid w:val="27A43FC9"/>
    <w:rsid w:val="2E41125A"/>
    <w:rsid w:val="2E7D4BB8"/>
    <w:rsid w:val="2F7C3533"/>
    <w:rsid w:val="30046CEC"/>
    <w:rsid w:val="3632309A"/>
    <w:rsid w:val="41FE67E7"/>
    <w:rsid w:val="421A1CE6"/>
    <w:rsid w:val="427B1DAF"/>
    <w:rsid w:val="490D7CC5"/>
    <w:rsid w:val="52191713"/>
    <w:rsid w:val="56743EC1"/>
    <w:rsid w:val="5B021BD6"/>
    <w:rsid w:val="5B364ED2"/>
    <w:rsid w:val="5D34296C"/>
    <w:rsid w:val="63A3152D"/>
    <w:rsid w:val="6F572C9F"/>
    <w:rsid w:val="715701A0"/>
    <w:rsid w:val="748142AF"/>
    <w:rsid w:val="74AB5249"/>
    <w:rsid w:val="757C2995"/>
    <w:rsid w:val="7AC97E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9"/>
    <w:qFormat/>
    <w:uiPriority w:val="0"/>
    <w:pPr>
      <w:snapToGrid w:val="0"/>
      <w:spacing w:line="640" w:lineRule="exact"/>
    </w:pPr>
    <w:rPr>
      <w:rFonts w:ascii="仿宋_GB2312" w:hAnsi="Calibri" w:eastAsia="仿宋_GB2312" w:cs="Times New Roman"/>
      <w:sz w:val="32"/>
      <w:szCs w:val="32"/>
    </w:rPr>
  </w:style>
  <w:style w:type="paragraph" w:styleId="3">
    <w:name w:val="Body Text Indent"/>
    <w:basedOn w:val="1"/>
    <w:qFormat/>
    <w:uiPriority w:val="0"/>
    <w:pPr>
      <w:spacing w:after="120"/>
      <w:ind w:left="420" w:leftChars="200"/>
    </w:p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0"/>
    <w:rPr>
      <w:kern w:val="2"/>
      <w:sz w:val="18"/>
      <w:szCs w:val="18"/>
    </w:rPr>
  </w:style>
  <w:style w:type="character" w:customStyle="1" w:styleId="9">
    <w:name w:val="正文文本 Char"/>
    <w:basedOn w:val="7"/>
    <w:link w:val="2"/>
    <w:qFormat/>
    <w:uiPriority w:val="0"/>
    <w:rPr>
      <w:rFonts w:ascii="仿宋_GB2312" w:hAnsi="Calibri" w:eastAsia="仿宋_GB2312" w:cs="Times New Roman"/>
      <w:kern w:val="2"/>
      <w:sz w:val="32"/>
      <w:szCs w:val="32"/>
    </w:rPr>
  </w:style>
  <w:style w:type="paragraph" w:styleId="10">
    <w:name w:val="List Paragraph"/>
    <w:basedOn w:val="1"/>
    <w:unhideWhenUsed/>
    <w:qFormat/>
    <w:uiPriority w:val="99"/>
    <w:pPr>
      <w:ind w:firstLine="420" w:firstLineChars="200"/>
    </w:pPr>
  </w:style>
  <w:style w:type="character" w:customStyle="1" w:styleId="11">
    <w:name w:val="页脚 Char"/>
    <w:basedOn w:val="7"/>
    <w:link w:val="4"/>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Hewlett-Packard Company</Company>
  <Pages>6</Pages>
  <Words>2918</Words>
  <Characters>2943</Characters>
  <Lines>22</Lines>
  <Paragraphs>6</Paragraphs>
  <TotalTime>5</TotalTime>
  <ScaleCrop>false</ScaleCrop>
  <LinksUpToDate>false</LinksUpToDate>
  <CharactersWithSpaces>3067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2019-07-29T07:25:00Z</dcterms:created>
  <dc:creator>Administrator</dc:creator>
  <cp:lastModifiedBy>清茶</cp:lastModifiedBy>
  <cp:lastPrinted>2019-08-22T06:50:00Z</cp:lastPrinted>
  <dcterms:modified xsi:type="dcterms:W3CDTF">2022-12-14T04:06:14Z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3EF0E6EBF33C4C40AD6E0956D6DC5AA8</vt:lpwstr>
  </property>
</Properties>
</file>