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60" w:lineRule="exact"/>
        <w:jc w:val="center"/>
        <w:rPr>
          <w:rFonts w:hint="default" w:ascii="Times New Roman" w:hAnsi="Times New Roman" w:eastAsia="微软雅黑" w:cs="Times New Roman"/>
          <w:sz w:val="22"/>
          <w:szCs w:val="32"/>
        </w:rPr>
      </w:pPr>
    </w:p>
    <w:p>
      <w:pPr>
        <w:jc w:val="center"/>
        <w:rPr>
          <w:rFonts w:hint="eastAsia" w:ascii="Times New Roman" w:hAnsi="Times New Roman" w:eastAsia="仿宋_GB2312" w:cs="Times New Roman"/>
          <w:szCs w:val="32"/>
          <w:lang w:val="en-US" w:eastAsia="zh-CN"/>
        </w:rPr>
      </w:pPr>
      <w:r>
        <w:rPr>
          <w:rFonts w:hint="default" w:ascii="Times New Roman" w:hAnsi="Times New Roman" w:eastAsia="仿宋_GB2312" w:cs="Times New Roman"/>
          <w:kern w:val="0"/>
          <w:sz w:val="32"/>
          <w:lang w:eastAsia="zh-CN"/>
        </w:rPr>
        <w:t>威环政</w:t>
      </w:r>
      <w:r>
        <w:rPr>
          <w:rFonts w:hint="eastAsia" w:ascii="Times New Roman" w:hAnsi="Times New Roman" w:eastAsia="仿宋_GB2312" w:cs="Times New Roman"/>
          <w:kern w:val="0"/>
          <w:sz w:val="32"/>
          <w:lang w:eastAsia="zh-CN"/>
        </w:rPr>
        <w:t>字</w:t>
      </w: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11号</w:t>
      </w:r>
    </w:p>
    <w:p>
      <w:pPr>
        <w:spacing w:line="640" w:lineRule="exact"/>
        <w:jc w:val="center"/>
        <w:rPr>
          <w:rFonts w:hint="default" w:ascii="Times New Roman" w:hAnsi="Times New Roman" w:eastAsia="文星简小标宋" w:cs="Times New Roman"/>
          <w:spacing w:val="-4"/>
          <w:sz w:val="44"/>
          <w:szCs w:val="44"/>
        </w:rPr>
      </w:pPr>
    </w:p>
    <w:p>
      <w:pPr>
        <w:keepNext w:val="0"/>
        <w:keepLines w:val="0"/>
        <w:pageBreakBefore w:val="0"/>
        <w:widowControl/>
        <w:kinsoku/>
        <w:wordWrap/>
        <w:overflowPunct/>
        <w:topLinePunct w:val="0"/>
        <w:autoSpaceDE/>
        <w:autoSpaceDN/>
        <w:bidi w:val="0"/>
        <w:adjustRightInd/>
        <w:snapToGrid/>
        <w:spacing w:line="580" w:lineRule="exact"/>
        <w:jc w:val="both"/>
        <w:textAlignment w:val="auto"/>
        <w:rPr>
          <w:rFonts w:ascii="Times New Roman" w:hAnsi="Times New Roman" w:eastAsia="文星简小标宋"/>
          <w:b/>
          <w:bCs/>
          <w:kern w:val="0"/>
          <w:sz w:val="44"/>
          <w:szCs w:val="44"/>
        </w:rPr>
      </w:pP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0"/>
        <w:jc w:val="center"/>
        <w:textAlignment w:val="auto"/>
        <w:rPr>
          <w:rFonts w:hint="default" w:ascii="Times New Roman" w:hAnsi="Times New Roman" w:eastAsia="文星简小标宋" w:cs="文星简小标宋"/>
          <w:color w:val="auto"/>
          <w:sz w:val="44"/>
          <w:szCs w:val="24"/>
        </w:rPr>
      </w:pPr>
      <w:r>
        <w:rPr>
          <w:rFonts w:hint="default" w:ascii="Times New Roman" w:hAnsi="Times New Roman" w:eastAsia="文星简小标宋" w:cs="文星简小标宋"/>
          <w:color w:val="auto"/>
          <w:sz w:val="44"/>
          <w:szCs w:val="24"/>
        </w:rPr>
        <w:t>威海市环翠区人民政府</w:t>
      </w: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0"/>
        <w:jc w:val="center"/>
        <w:textAlignment w:val="auto"/>
        <w:rPr>
          <w:rFonts w:hint="default" w:ascii="Times New Roman" w:hAnsi="Times New Roman" w:eastAsia="文星简小标宋" w:cs="文星简小标宋"/>
          <w:color w:val="auto"/>
          <w:spacing w:val="-11"/>
          <w:sz w:val="44"/>
          <w:szCs w:val="24"/>
        </w:rPr>
      </w:pPr>
      <w:r>
        <w:rPr>
          <w:rFonts w:hint="default" w:ascii="Times New Roman" w:hAnsi="Times New Roman" w:eastAsia="文星简小标宋" w:cs="文星简小标宋"/>
          <w:color w:val="auto"/>
          <w:spacing w:val="-11"/>
          <w:sz w:val="44"/>
          <w:szCs w:val="24"/>
        </w:rPr>
        <w:t>关于印发《威海市环翠区省级慢性非传染性疾病</w:t>
      </w: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0"/>
        <w:jc w:val="center"/>
        <w:textAlignment w:val="auto"/>
        <w:rPr>
          <w:rFonts w:hint="default" w:ascii="Times New Roman" w:hAnsi="Times New Roman" w:eastAsia="文星简小标宋" w:cs="文星简小标宋"/>
          <w:color w:val="auto"/>
          <w:sz w:val="44"/>
          <w:szCs w:val="24"/>
        </w:rPr>
      </w:pPr>
      <w:r>
        <w:rPr>
          <w:rFonts w:hint="default" w:ascii="Times New Roman" w:hAnsi="Times New Roman" w:eastAsia="文星简小标宋" w:cs="文星简小标宋"/>
          <w:color w:val="auto"/>
          <w:spacing w:val="-11"/>
          <w:sz w:val="44"/>
          <w:szCs w:val="24"/>
        </w:rPr>
        <w:t>综合防控示范区复审工作实施方案</w:t>
      </w:r>
      <w:r>
        <w:rPr>
          <w:rFonts w:hint="default" w:ascii="Times New Roman" w:hAnsi="Times New Roman" w:eastAsia="文星简小标宋" w:cs="文星简小标宋"/>
          <w:color w:val="auto"/>
          <w:sz w:val="44"/>
          <w:szCs w:val="24"/>
        </w:rPr>
        <w:t>》的通知</w:t>
      </w: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0"/>
        <w:jc w:val="both"/>
        <w:textAlignment w:val="auto"/>
        <w:rPr>
          <w:rFonts w:hint="default" w:ascii="Times New Roman" w:hAnsi="Times New Roman" w:eastAsia="文星简小标宋" w:cs="文星简小标宋"/>
          <w:color w:val="auto"/>
          <w:sz w:val="59"/>
          <w:szCs w:val="24"/>
        </w:rPr>
      </w:pP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0"/>
        <w:jc w:val="both"/>
        <w:textAlignment w:val="auto"/>
        <w:rPr>
          <w:rFonts w:hint="eastAsia" w:ascii="Times New Roman" w:hAnsi="Times New Roman" w:eastAsia="仿宋_GB2312"/>
          <w:color w:val="auto"/>
          <w:kern w:val="2"/>
          <w:sz w:val="32"/>
          <w:szCs w:val="24"/>
        </w:rPr>
      </w:pPr>
      <w:r>
        <w:rPr>
          <w:rFonts w:hint="eastAsia" w:ascii="Times New Roman" w:hAnsi="Times New Roman" w:eastAsia="仿宋_GB2312"/>
          <w:color w:val="auto"/>
          <w:kern w:val="2"/>
          <w:sz w:val="32"/>
          <w:szCs w:val="24"/>
        </w:rPr>
        <w:t>各镇政府、街道办事处，里口山管理服务中心，区政府各部门、单位：</w:t>
      </w: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642" w:firstLineChars="200"/>
        <w:jc w:val="both"/>
        <w:textAlignment w:val="auto"/>
        <w:rPr>
          <w:rFonts w:hint="eastAsia" w:ascii="Times New Roman" w:hAnsi="Times New Roman" w:eastAsia="仿宋_GB2312"/>
          <w:color w:val="auto"/>
          <w:kern w:val="2"/>
          <w:sz w:val="32"/>
          <w:szCs w:val="24"/>
        </w:rPr>
      </w:pPr>
      <w:r>
        <w:rPr>
          <w:rFonts w:hint="eastAsia" w:ascii="Times New Roman" w:hAnsi="Times New Roman" w:eastAsia="仿宋_GB2312"/>
          <w:color w:val="auto"/>
          <w:kern w:val="2"/>
          <w:sz w:val="32"/>
          <w:szCs w:val="24"/>
          <w:lang w:eastAsia="zh-CN"/>
        </w:rPr>
        <w:t>现将</w:t>
      </w:r>
      <w:r>
        <w:rPr>
          <w:rFonts w:hint="eastAsia" w:ascii="Times New Roman" w:hAnsi="Times New Roman" w:eastAsia="仿宋_GB2312"/>
          <w:color w:val="auto"/>
          <w:kern w:val="2"/>
          <w:sz w:val="32"/>
          <w:szCs w:val="24"/>
        </w:rPr>
        <w:t>《威海市环翠区省级慢性非传染性疾病综合防控示范区复审工作实施方案》印发给你们，请认真组织实施。</w:t>
      </w: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642" w:firstLineChars="200"/>
        <w:jc w:val="both"/>
        <w:textAlignment w:val="auto"/>
        <w:rPr>
          <w:rFonts w:hint="eastAsia" w:ascii="Times New Roman" w:hAnsi="Times New Roman" w:eastAsia="仿宋_GB2312"/>
          <w:b/>
          <w:bCs/>
          <w:color w:val="auto"/>
          <w:kern w:val="2"/>
          <w:sz w:val="32"/>
          <w:szCs w:val="24"/>
        </w:rPr>
      </w:pPr>
    </w:p>
    <w:p>
      <w:pPr>
        <w:pStyle w:val="7"/>
        <w:keepNext w:val="0"/>
        <w:keepLines w:val="0"/>
        <w:pageBreakBefore w:val="0"/>
        <w:widowControl w:val="0"/>
        <w:kinsoku/>
        <w:wordWrap/>
        <w:overflowPunct w:val="0"/>
        <w:topLinePunct w:val="0"/>
        <w:autoSpaceDE/>
        <w:autoSpaceDN/>
        <w:bidi w:val="0"/>
        <w:adjustRightInd/>
        <w:snapToGrid/>
        <w:spacing w:before="0" w:line="560" w:lineRule="exact"/>
        <w:ind w:left="0" w:firstLine="642" w:firstLineChars="200"/>
        <w:jc w:val="both"/>
        <w:textAlignment w:val="auto"/>
        <w:rPr>
          <w:rFonts w:hint="eastAsia" w:ascii="Times New Roman" w:hAnsi="Times New Roman" w:eastAsia="仿宋_GB2312"/>
          <w:b/>
          <w:bCs/>
          <w:color w:val="auto"/>
          <w:kern w:val="2"/>
          <w:sz w:val="32"/>
          <w:szCs w:val="24"/>
        </w:rPr>
      </w:pPr>
    </w:p>
    <w:p>
      <w:pPr>
        <w:pStyle w:val="7"/>
        <w:keepNext w:val="0"/>
        <w:keepLines w:val="0"/>
        <w:pageBreakBefore w:val="0"/>
        <w:widowControl w:val="0"/>
        <w:kinsoku/>
        <w:wordWrap w:val="0"/>
        <w:overflowPunct w:val="0"/>
        <w:topLinePunct w:val="0"/>
        <w:autoSpaceDE/>
        <w:autoSpaceDN/>
        <w:bidi w:val="0"/>
        <w:adjustRightInd/>
        <w:snapToGrid/>
        <w:spacing w:before="0" w:line="560" w:lineRule="exact"/>
        <w:ind w:left="0" w:leftChars="0" w:firstLine="0" w:firstLineChars="0"/>
        <w:jc w:val="right"/>
        <w:textAlignment w:val="auto"/>
        <w:rPr>
          <w:rFonts w:hint="default" w:ascii="Times New Roman" w:hAnsi="Times New Roman" w:eastAsia="仿宋_GB2312"/>
          <w:color w:val="auto"/>
          <w:kern w:val="2"/>
          <w:sz w:val="32"/>
          <w:szCs w:val="24"/>
          <w:lang w:val="en-US" w:eastAsia="zh-CN"/>
        </w:rPr>
      </w:pPr>
      <w:r>
        <w:rPr>
          <w:rFonts w:hint="eastAsia" w:ascii="Times New Roman" w:hAnsi="Times New Roman" w:eastAsia="仿宋_GB2312"/>
          <w:color w:val="auto"/>
          <w:kern w:val="2"/>
          <w:sz w:val="32"/>
          <w:szCs w:val="24"/>
        </w:rPr>
        <w:t>威海市环翠区人民政府</w:t>
      </w:r>
      <w:r>
        <w:rPr>
          <w:rFonts w:hint="eastAsia" w:ascii="Times New Roman" w:hAnsi="Times New Roman" w:eastAsia="仿宋_GB2312"/>
          <w:color w:val="auto"/>
          <w:kern w:val="2"/>
          <w:sz w:val="32"/>
          <w:szCs w:val="24"/>
          <w:lang w:val="en-US" w:eastAsia="zh-CN"/>
        </w:rPr>
        <w:t xml:space="preserve">    </w:t>
      </w:r>
    </w:p>
    <w:p>
      <w:pPr>
        <w:pStyle w:val="7"/>
        <w:keepNext w:val="0"/>
        <w:keepLines w:val="0"/>
        <w:pageBreakBefore w:val="0"/>
        <w:widowControl w:val="0"/>
        <w:kinsoku/>
        <w:wordWrap w:val="0"/>
        <w:overflowPunct w:val="0"/>
        <w:topLinePunct w:val="0"/>
        <w:autoSpaceDE/>
        <w:autoSpaceDN/>
        <w:bidi w:val="0"/>
        <w:adjustRightInd/>
        <w:snapToGrid/>
        <w:spacing w:before="0" w:line="560" w:lineRule="exact"/>
        <w:ind w:left="0" w:leftChars="0" w:firstLine="0" w:firstLineChars="0"/>
        <w:jc w:val="right"/>
        <w:textAlignment w:val="auto"/>
        <w:rPr>
          <w:rFonts w:hint="default" w:ascii="Times New Roman" w:hAnsi="Times New Roman" w:eastAsia="仿宋_GB2312"/>
          <w:color w:val="auto"/>
          <w:kern w:val="2"/>
          <w:sz w:val="32"/>
          <w:szCs w:val="24"/>
          <w:lang w:val="en-US" w:eastAsia="zh-CN"/>
        </w:rPr>
      </w:pPr>
      <w:r>
        <w:rPr>
          <w:rFonts w:hint="eastAsia" w:ascii="Times New Roman" w:hAnsi="Times New Roman" w:eastAsia="仿宋_GB2312"/>
          <w:color w:val="auto"/>
          <w:kern w:val="2"/>
          <w:sz w:val="32"/>
          <w:szCs w:val="24"/>
        </w:rPr>
        <w:t>202</w:t>
      </w:r>
      <w:r>
        <w:rPr>
          <w:rFonts w:hint="eastAsia" w:ascii="Times New Roman" w:hAnsi="Times New Roman" w:eastAsia="仿宋_GB2312"/>
          <w:color w:val="auto"/>
          <w:kern w:val="2"/>
          <w:sz w:val="32"/>
          <w:szCs w:val="24"/>
          <w:lang w:val="en-US" w:eastAsia="zh-CN"/>
        </w:rPr>
        <w:t>4</w:t>
      </w:r>
      <w:r>
        <w:rPr>
          <w:rFonts w:hint="eastAsia" w:ascii="Times New Roman" w:hAnsi="Times New Roman" w:eastAsia="仿宋_GB2312"/>
          <w:color w:val="auto"/>
          <w:kern w:val="2"/>
          <w:sz w:val="32"/>
          <w:szCs w:val="24"/>
        </w:rPr>
        <w:t>年</w:t>
      </w:r>
      <w:r>
        <w:rPr>
          <w:rFonts w:hint="eastAsia" w:ascii="Times New Roman" w:hAnsi="Times New Roman" w:eastAsia="仿宋_GB2312"/>
          <w:color w:val="auto"/>
          <w:kern w:val="2"/>
          <w:sz w:val="32"/>
          <w:szCs w:val="24"/>
          <w:lang w:val="en-US" w:eastAsia="zh-CN"/>
        </w:rPr>
        <w:t>4</w:t>
      </w:r>
      <w:r>
        <w:rPr>
          <w:rFonts w:hint="eastAsia" w:ascii="Times New Roman" w:hAnsi="Times New Roman" w:eastAsia="仿宋_GB2312"/>
          <w:color w:val="auto"/>
          <w:kern w:val="2"/>
          <w:sz w:val="32"/>
          <w:szCs w:val="24"/>
        </w:rPr>
        <w:t>月</w:t>
      </w:r>
      <w:r>
        <w:rPr>
          <w:rFonts w:hint="eastAsia" w:ascii="Times New Roman" w:hAnsi="Times New Roman" w:eastAsia="仿宋_GB2312"/>
          <w:color w:val="auto"/>
          <w:kern w:val="2"/>
          <w:sz w:val="32"/>
          <w:szCs w:val="24"/>
          <w:lang w:val="en-US" w:eastAsia="zh-CN"/>
        </w:rPr>
        <w:t>30</w:t>
      </w:r>
      <w:r>
        <w:rPr>
          <w:rFonts w:hint="eastAsia" w:ascii="Times New Roman" w:hAnsi="Times New Roman" w:eastAsia="仿宋_GB2312"/>
          <w:color w:val="auto"/>
          <w:kern w:val="2"/>
          <w:sz w:val="32"/>
          <w:szCs w:val="24"/>
        </w:rPr>
        <w:t>日</w:t>
      </w:r>
      <w:r>
        <w:rPr>
          <w:rFonts w:hint="eastAsia" w:ascii="Times New Roman" w:hAnsi="Times New Roman" w:eastAsia="仿宋_GB2312"/>
          <w:color w:val="auto"/>
          <w:kern w:val="2"/>
          <w:sz w:val="32"/>
          <w:szCs w:val="24"/>
          <w:lang w:val="en-US" w:eastAsia="zh-CN"/>
        </w:rPr>
        <w:t xml:space="preserve">      </w:t>
      </w:r>
    </w:p>
    <w:p>
      <w:pPr>
        <w:keepNext w:val="0"/>
        <w:keepLines w:val="0"/>
        <w:pageBreakBefore w:val="0"/>
        <w:widowControl w:val="0"/>
        <w:kinsoku/>
        <w:wordWrap/>
        <w:overflowPunct/>
        <w:topLinePunct w:val="0"/>
        <w:autoSpaceDE/>
        <w:autoSpaceDN/>
        <w:bidi w:val="0"/>
        <w:spacing w:line="520" w:lineRule="exact"/>
        <w:ind w:firstLine="642" w:firstLineChars="200"/>
        <w:textAlignment w:val="auto"/>
        <w:rPr>
          <w:rFonts w:hint="eastAsia" w:ascii="Times New Roman" w:hAnsi="Times New Roman" w:eastAsia="仿宋_GB2312" w:cs="仿宋_GB2312"/>
          <w:color w:val="auto"/>
          <w:kern w:val="0"/>
          <w:sz w:val="32"/>
          <w:szCs w:val="32"/>
          <w:highlight w:val="none"/>
          <w:u w:val="none"/>
          <w:lang w:eastAsia="zh-CN"/>
        </w:rPr>
      </w:pPr>
      <w:r>
        <w:rPr>
          <w:rFonts w:hint="eastAsia" w:ascii="Times New Roman" w:hAnsi="Times New Roman" w:eastAsia="仿宋_GB2312" w:cs="仿宋_GB2312"/>
          <w:color w:val="auto"/>
          <w:kern w:val="0"/>
          <w:sz w:val="32"/>
          <w:szCs w:val="32"/>
          <w:highlight w:val="none"/>
          <w:u w:val="none"/>
          <w:lang w:eastAsia="zh-CN"/>
        </w:rPr>
        <w:t>（此件公开发布）</w:t>
      </w: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eastAsia" w:ascii="Times New Roman" w:hAnsi="Times New Roman" w:eastAsia="方正小标宋简体" w:cs="Times New Roman"/>
          <w:color w:val="auto"/>
          <w:sz w:val="44"/>
          <w:szCs w:val="44"/>
          <w:lang w:eastAsia="zh-CN"/>
        </w:rPr>
      </w:pPr>
    </w:p>
    <w:p>
      <w:pPr>
        <w:pStyle w:val="2"/>
        <w:rPr>
          <w:rFonts w:hint="eastAsia"/>
          <w:lang w:eastAsia="zh-CN"/>
        </w:rPr>
      </w:pP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eastAsia" w:ascii="Times New Roman" w:hAnsi="Times New Roman" w:eastAsia="方正小标宋简体" w:cs="Times New Roman"/>
          <w:color w:val="auto"/>
          <w:sz w:val="44"/>
          <w:szCs w:val="44"/>
          <w:lang w:eastAsia="zh-CN"/>
        </w:rPr>
      </w:pP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default" w:ascii="Times New Roman" w:hAnsi="Times New Roman" w:eastAsia="方正小标宋简体" w:cs="Times New Roman"/>
          <w:color w:val="auto"/>
          <w:sz w:val="44"/>
          <w:szCs w:val="44"/>
        </w:rPr>
      </w:pPr>
      <w:r>
        <w:rPr>
          <w:rFonts w:hint="eastAsia" w:ascii="Times New Roman" w:hAnsi="Times New Roman" w:eastAsia="方正小标宋简体" w:cs="Times New Roman"/>
          <w:color w:val="auto"/>
          <w:sz w:val="44"/>
          <w:szCs w:val="44"/>
          <w:lang w:eastAsia="zh-CN"/>
        </w:rPr>
        <w:t>威海市</w:t>
      </w:r>
      <w:r>
        <w:rPr>
          <w:rFonts w:hint="default" w:ascii="Times New Roman" w:hAnsi="Times New Roman" w:eastAsia="方正小标宋简体" w:cs="Times New Roman"/>
          <w:color w:val="auto"/>
          <w:sz w:val="44"/>
          <w:szCs w:val="44"/>
          <w:lang w:eastAsia="zh-CN"/>
        </w:rPr>
        <w:t>环翠</w:t>
      </w:r>
      <w:r>
        <w:rPr>
          <w:rFonts w:hint="default" w:ascii="Times New Roman" w:hAnsi="Times New Roman" w:eastAsia="方正小标宋简体" w:cs="Times New Roman"/>
          <w:color w:val="auto"/>
          <w:sz w:val="44"/>
          <w:szCs w:val="44"/>
        </w:rPr>
        <w:t>区</w:t>
      </w:r>
      <w:r>
        <w:rPr>
          <w:rFonts w:hint="default" w:ascii="Times New Roman" w:hAnsi="Times New Roman" w:eastAsia="方正小标宋简体" w:cs="Times New Roman"/>
          <w:color w:val="auto"/>
          <w:sz w:val="44"/>
          <w:szCs w:val="44"/>
          <w:lang w:eastAsia="zh-CN"/>
        </w:rPr>
        <w:t>省级</w:t>
      </w:r>
      <w:r>
        <w:rPr>
          <w:rFonts w:hint="default" w:ascii="Times New Roman" w:hAnsi="Times New Roman" w:eastAsia="方正小标宋简体" w:cs="Times New Roman"/>
          <w:color w:val="auto"/>
          <w:sz w:val="44"/>
          <w:szCs w:val="44"/>
        </w:rPr>
        <w:t>慢性</w:t>
      </w:r>
      <w:r>
        <w:rPr>
          <w:rFonts w:hint="default" w:ascii="Times New Roman" w:hAnsi="Times New Roman" w:eastAsia="方正小标宋简体" w:cs="Times New Roman"/>
          <w:color w:val="auto"/>
          <w:sz w:val="44"/>
          <w:szCs w:val="44"/>
          <w:lang w:eastAsia="zh-CN"/>
        </w:rPr>
        <w:t>非传染性疾病</w:t>
      </w:r>
      <w:r>
        <w:rPr>
          <w:rFonts w:hint="default" w:ascii="Times New Roman" w:hAnsi="Times New Roman" w:eastAsia="方正小标宋简体" w:cs="Times New Roman"/>
          <w:color w:val="auto"/>
          <w:sz w:val="44"/>
          <w:szCs w:val="44"/>
        </w:rPr>
        <w:t>综合</w:t>
      </w:r>
    </w:p>
    <w:p>
      <w:pPr>
        <w:keepNext w:val="0"/>
        <w:keepLines w:val="0"/>
        <w:pageBreakBefore w:val="0"/>
        <w:widowControl w:val="0"/>
        <w:kinsoku/>
        <w:wordWrap/>
        <w:overflowPunct w:val="0"/>
        <w:topLinePunct w:val="0"/>
        <w:autoSpaceDE/>
        <w:autoSpaceDN/>
        <w:bidi w:val="0"/>
        <w:adjustRightInd/>
        <w:snapToGrid/>
        <w:spacing w:line="600" w:lineRule="exact"/>
        <w:ind w:left="0" w:leftChars="0"/>
        <w:jc w:val="center"/>
        <w:textAlignment w:val="auto"/>
        <w:rPr>
          <w:rFonts w:hint="eastAsia" w:ascii="Times New Roman" w:hAnsi="Times New Roman" w:eastAsia="方正小标宋简体" w:cs="Times New Roman"/>
          <w:color w:val="auto"/>
          <w:sz w:val="44"/>
          <w:szCs w:val="44"/>
          <w:highlight w:val="none"/>
          <w:lang w:val="en-US" w:eastAsia="zh-CN"/>
        </w:rPr>
      </w:pPr>
      <w:r>
        <w:rPr>
          <w:rFonts w:hint="default" w:ascii="Times New Roman" w:hAnsi="Times New Roman" w:eastAsia="方正小标宋简体" w:cs="Times New Roman"/>
          <w:color w:val="auto"/>
          <w:sz w:val="44"/>
          <w:szCs w:val="44"/>
        </w:rPr>
        <w:t>防控示范区</w:t>
      </w:r>
      <w:r>
        <w:rPr>
          <w:rFonts w:hint="eastAsia" w:ascii="Times New Roman" w:hAnsi="Times New Roman" w:eastAsia="方正小标宋简体" w:cs="Times New Roman"/>
          <w:color w:val="auto"/>
          <w:sz w:val="44"/>
          <w:szCs w:val="44"/>
          <w:highlight w:val="none"/>
          <w:lang w:eastAsia="zh-CN"/>
        </w:rPr>
        <w:t>复审</w:t>
      </w:r>
      <w:r>
        <w:rPr>
          <w:rFonts w:hint="default" w:ascii="Times New Roman" w:hAnsi="Times New Roman" w:eastAsia="方正小标宋简体" w:cs="Times New Roman"/>
          <w:color w:val="auto"/>
          <w:sz w:val="44"/>
          <w:szCs w:val="44"/>
          <w:highlight w:val="none"/>
        </w:rPr>
        <w:t>工作实施方案</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0"/>
        <w:jc w:val="both"/>
        <w:textAlignment w:val="auto"/>
        <w:rPr>
          <w:rFonts w:hint="default" w:ascii="Times New Roman" w:hAnsi="Times New Roman" w:eastAsia="仿宋_GB2312" w:cs="Times New Roman"/>
          <w:color w:val="auto"/>
          <w:sz w:val="32"/>
          <w:szCs w:val="32"/>
          <w:highlight w:val="none"/>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1"/>
        <w:jc w:val="both"/>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highlight w:val="none"/>
        </w:rPr>
        <w:t>为进一步贯彻落实</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预防为主、防治结合</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的卫生工作方针</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深入推进健康</w:t>
      </w:r>
      <w:r>
        <w:rPr>
          <w:rFonts w:hint="default" w:ascii="Times New Roman" w:hAnsi="Times New Roman" w:eastAsia="仿宋_GB2312" w:cs="Times New Roman"/>
          <w:color w:val="auto"/>
          <w:sz w:val="32"/>
          <w:szCs w:val="32"/>
          <w:highlight w:val="none"/>
          <w:lang w:eastAsia="zh-CN"/>
        </w:rPr>
        <w:t>环翠</w:t>
      </w:r>
      <w:r>
        <w:rPr>
          <w:rFonts w:hint="default" w:ascii="Times New Roman" w:hAnsi="Times New Roman" w:eastAsia="仿宋_GB2312" w:cs="Times New Roman"/>
          <w:color w:val="auto"/>
          <w:sz w:val="32"/>
          <w:szCs w:val="32"/>
          <w:highlight w:val="none"/>
        </w:rPr>
        <w:t>建设，</w:t>
      </w:r>
      <w:r>
        <w:rPr>
          <w:rFonts w:hint="eastAsia" w:ascii="Times New Roman" w:hAnsi="Times New Roman" w:eastAsia="仿宋_GB2312" w:cs="Times New Roman"/>
          <w:color w:val="auto"/>
          <w:sz w:val="32"/>
          <w:szCs w:val="32"/>
          <w:highlight w:val="none"/>
          <w:lang w:eastAsia="zh-CN"/>
        </w:rPr>
        <w:t>加快</w:t>
      </w:r>
      <w:r>
        <w:rPr>
          <w:rFonts w:hint="eastAsia" w:ascii="Times New Roman" w:hAnsi="Times New Roman" w:eastAsia="仿宋_GB2312" w:cs="Times New Roman"/>
          <w:color w:val="auto"/>
          <w:sz w:val="32"/>
          <w:szCs w:val="32"/>
          <w:highlight w:val="none"/>
          <w:lang w:val="en-US" w:eastAsia="zh-CN"/>
        </w:rPr>
        <w:t>推进</w:t>
      </w:r>
      <w:r>
        <w:rPr>
          <w:rFonts w:hint="default" w:ascii="Times New Roman" w:hAnsi="Times New Roman" w:eastAsia="仿宋_GB2312" w:cs="Times New Roman"/>
          <w:color w:val="auto"/>
          <w:sz w:val="32"/>
          <w:szCs w:val="32"/>
          <w:highlight w:val="none"/>
        </w:rPr>
        <w:t>我区</w:t>
      </w:r>
      <w:r>
        <w:rPr>
          <w:rFonts w:hint="default" w:ascii="Times New Roman" w:hAnsi="Times New Roman" w:eastAsia="仿宋_GB2312" w:cs="Times New Roman"/>
          <w:color w:val="auto"/>
          <w:sz w:val="32"/>
          <w:szCs w:val="32"/>
          <w:highlight w:val="none"/>
          <w:lang w:eastAsia="zh-CN"/>
        </w:rPr>
        <w:t>省</w:t>
      </w:r>
      <w:r>
        <w:rPr>
          <w:rFonts w:hint="default" w:ascii="Times New Roman" w:hAnsi="Times New Roman" w:eastAsia="仿宋_GB2312" w:cs="Times New Roman"/>
          <w:color w:val="auto"/>
          <w:sz w:val="32"/>
          <w:szCs w:val="32"/>
          <w:highlight w:val="none"/>
        </w:rPr>
        <w:t>级慢性</w:t>
      </w:r>
      <w:r>
        <w:rPr>
          <w:rFonts w:hint="eastAsia" w:ascii="Times New Roman" w:hAnsi="Times New Roman" w:eastAsia="仿宋_GB2312" w:cs="Times New Roman"/>
          <w:color w:val="auto"/>
          <w:sz w:val="32"/>
          <w:szCs w:val="32"/>
          <w:highlight w:val="none"/>
          <w:lang w:val="en-US" w:eastAsia="zh-CN"/>
        </w:rPr>
        <w:t>非传染性疾</w:t>
      </w:r>
      <w:r>
        <w:rPr>
          <w:rFonts w:hint="default" w:ascii="Times New Roman" w:hAnsi="Times New Roman" w:eastAsia="仿宋_GB2312" w:cs="Times New Roman"/>
          <w:color w:val="auto"/>
          <w:sz w:val="32"/>
          <w:szCs w:val="32"/>
          <w:highlight w:val="none"/>
        </w:rPr>
        <w:t>病综合防控示范区</w:t>
      </w:r>
      <w:r>
        <w:rPr>
          <w:rFonts w:hint="eastAsia" w:ascii="Times New Roman" w:hAnsi="Times New Roman" w:eastAsia="仿宋_GB2312" w:cs="Times New Roman"/>
          <w:color w:val="auto"/>
          <w:sz w:val="32"/>
          <w:szCs w:val="32"/>
          <w:highlight w:val="none"/>
          <w:lang w:eastAsia="zh-CN"/>
        </w:rPr>
        <w:t>复审工作，</w:t>
      </w:r>
      <w:r>
        <w:rPr>
          <w:rFonts w:hint="default" w:ascii="Times New Roman" w:hAnsi="Times New Roman" w:eastAsia="仿宋_GB2312" w:cs="Times New Roman"/>
          <w:color w:val="auto"/>
          <w:sz w:val="32"/>
          <w:szCs w:val="32"/>
          <w:highlight w:val="none"/>
        </w:rPr>
        <w:t>按照《健康中国行动（</w:t>
      </w:r>
      <w:r>
        <w:rPr>
          <w:rFonts w:hint="default" w:ascii="Times New Roman" w:hAnsi="Times New Roman" w:eastAsia="仿宋_GB2312" w:cs="Times New Roman"/>
          <w:color w:val="auto"/>
          <w:sz w:val="32"/>
          <w:szCs w:val="32"/>
        </w:rPr>
        <w:t>2019</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2030年）》《</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健康中国2030</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规划纲要》《山东省人民政府办公厅关于印发山东省防治慢性病中长期规划</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2017</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2025年</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的通知》（鲁政办〔2017〕82号）《山东省慢性非传染性疾病综合防控示范区建设管理办法（2019版）的通知》（鲁卫疾控字〔2019〕10号）文件</w:t>
      </w:r>
      <w:r>
        <w:rPr>
          <w:rFonts w:hint="default" w:ascii="Times New Roman" w:hAnsi="Times New Roman" w:eastAsia="仿宋_GB2312" w:cs="Times New Roman"/>
          <w:color w:val="auto"/>
          <w:sz w:val="32"/>
          <w:szCs w:val="32"/>
          <w:lang w:eastAsia="zh-CN"/>
        </w:rPr>
        <w:t>要求</w:t>
      </w:r>
      <w:r>
        <w:rPr>
          <w:rFonts w:hint="default" w:ascii="Times New Roman" w:hAnsi="Times New Roman" w:eastAsia="仿宋_GB2312" w:cs="Times New Roman"/>
          <w:color w:val="auto"/>
          <w:sz w:val="32"/>
          <w:szCs w:val="32"/>
        </w:rPr>
        <w:t>，结合我区实际制定本方案。</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0"/>
        <w:jc w:val="both"/>
        <w:textAlignment w:val="auto"/>
        <w:outlineLvl w:val="2"/>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一、指导思想</w:t>
      </w:r>
    </w:p>
    <w:p>
      <w:pPr>
        <w:pStyle w:val="2"/>
        <w:keepNext w:val="0"/>
        <w:keepLines w:val="0"/>
        <w:pageBreakBefore w:val="0"/>
        <w:widowControl w:val="0"/>
        <w:kinsoku/>
        <w:wordWrap/>
        <w:overflowPunct w:val="0"/>
        <w:topLinePunct w:val="0"/>
        <w:autoSpaceDE/>
        <w:autoSpaceDN/>
        <w:bidi w:val="0"/>
        <w:adjustRightInd/>
        <w:snapToGrid/>
        <w:spacing w:beforeAutospacing="0" w:after="0" w:afterAutospacing="0" w:line="600" w:lineRule="exact"/>
        <w:ind w:left="0" w:leftChars="0" w:firstLine="642" w:firstLineChars="200"/>
        <w:jc w:val="both"/>
        <w:textAlignment w:val="auto"/>
        <w:rPr>
          <w:rFonts w:hint="default" w:ascii="Times New Roman" w:hAnsi="Times New Roman"/>
          <w:color w:val="auto"/>
          <w:highlight w:val="none"/>
          <w:lang w:val="en-US" w:eastAsia="zh-CN"/>
        </w:rPr>
      </w:pPr>
      <w:r>
        <w:rPr>
          <w:rFonts w:hint="default" w:ascii="Times New Roman" w:hAnsi="Times New Roman" w:eastAsia="仿宋_GB2312" w:cs="Times New Roman"/>
          <w:color w:val="auto"/>
          <w:kern w:val="2"/>
          <w:sz w:val="32"/>
          <w:szCs w:val="32"/>
          <w:highlight w:val="none"/>
          <w:lang w:val="en-US" w:eastAsia="zh-CN" w:bidi="ar-SA"/>
        </w:rPr>
        <w:t>以党的</w:t>
      </w:r>
      <w:r>
        <w:rPr>
          <w:rFonts w:hint="eastAsia" w:ascii="Times New Roman" w:hAnsi="Times New Roman" w:eastAsia="仿宋_GB2312" w:cs="Times New Roman"/>
          <w:color w:val="auto"/>
          <w:kern w:val="2"/>
          <w:sz w:val="32"/>
          <w:szCs w:val="32"/>
          <w:highlight w:val="none"/>
          <w:lang w:val="en-US" w:eastAsia="zh-CN" w:bidi="ar-SA"/>
        </w:rPr>
        <w:t>二十</w:t>
      </w:r>
      <w:r>
        <w:rPr>
          <w:rFonts w:hint="default" w:ascii="Times New Roman" w:hAnsi="Times New Roman" w:eastAsia="仿宋_GB2312" w:cs="Times New Roman"/>
          <w:color w:val="auto"/>
          <w:kern w:val="2"/>
          <w:sz w:val="32"/>
          <w:szCs w:val="32"/>
          <w:highlight w:val="none"/>
          <w:lang w:val="en-US" w:eastAsia="zh-CN" w:bidi="ar-SA"/>
        </w:rPr>
        <w:t>大精神为统领，按照</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政府主导、部门协作、社会动员、全民参与</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的原则，以</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健康政策的制定、健康城市的建设、健康环境的形成、健康素养的提高</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为根本保证，把人的健康和全面发展作为制定各类公共政策的核心理念，大力营造健康就是生产力、创造力、发展力的良好社会氛围，提高全民健康素养与生命质量，为建设</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健康</w:t>
      </w:r>
      <w:r>
        <w:rPr>
          <w:rFonts w:hint="eastAsia" w:ascii="Times New Roman" w:hAnsi="Times New Roman" w:eastAsia="仿宋_GB2312" w:cs="Times New Roman"/>
          <w:color w:val="auto"/>
          <w:kern w:val="2"/>
          <w:sz w:val="32"/>
          <w:szCs w:val="32"/>
          <w:highlight w:val="none"/>
          <w:lang w:val="en-US" w:eastAsia="zh-CN" w:bidi="ar-SA"/>
        </w:rPr>
        <w:t>环翠”</w:t>
      </w:r>
      <w:r>
        <w:rPr>
          <w:rFonts w:hint="default" w:ascii="Times New Roman" w:hAnsi="Times New Roman" w:eastAsia="仿宋_GB2312" w:cs="Times New Roman"/>
          <w:color w:val="auto"/>
          <w:kern w:val="2"/>
          <w:sz w:val="32"/>
          <w:szCs w:val="32"/>
          <w:highlight w:val="none"/>
          <w:lang w:val="en-US" w:eastAsia="zh-CN" w:bidi="ar-SA"/>
        </w:rPr>
        <w:t>奠定坚实基础。</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0"/>
        <w:jc w:val="both"/>
        <w:textAlignment w:val="auto"/>
        <w:outlineLvl w:val="2"/>
        <w:rPr>
          <w:rFonts w:hint="default"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lang w:val="en-US" w:eastAsia="zh-CN"/>
        </w:rPr>
        <w:t>二</w:t>
      </w:r>
      <w:r>
        <w:rPr>
          <w:rFonts w:hint="default" w:ascii="Times New Roman" w:hAnsi="Times New Roman" w:eastAsia="黑体" w:cs="Times New Roman"/>
          <w:color w:val="auto"/>
          <w:sz w:val="32"/>
          <w:szCs w:val="32"/>
        </w:rPr>
        <w:t>、主要任务</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eastAsia" w:ascii="Times New Roman" w:hAnsi="Times New Roman" w:eastAsia="楷体_GB2312" w:cs="楷体_GB2312"/>
          <w:color w:val="auto"/>
          <w:sz w:val="32"/>
          <w:szCs w:val="32"/>
          <w:highlight w:val="none"/>
        </w:rPr>
      </w:pPr>
      <w:r>
        <w:rPr>
          <w:rFonts w:hint="default" w:ascii="Times New Roman" w:hAnsi="Times New Roman" w:eastAsia="仿宋_GB2312" w:cs="Times New Roman"/>
          <w:color w:val="auto"/>
          <w:sz w:val="32"/>
          <w:szCs w:val="32"/>
        </w:rPr>
        <w:t>（一）深入开展全民健康生活方式及</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一评二控</w:t>
      </w:r>
      <w:r>
        <w:rPr>
          <w:rFonts w:hint="default" w:ascii="Times New Roman" w:hAnsi="Times New Roman" w:eastAsia="仿宋_GB2312" w:cs="Times New Roman"/>
          <w:color w:val="auto"/>
          <w:sz w:val="32"/>
          <w:szCs w:val="32"/>
        </w:rPr>
        <w:t>三减</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健</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专项行动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建设</w:t>
      </w:r>
      <w:r>
        <w:rPr>
          <w:rFonts w:hint="default" w:ascii="Times New Roman" w:hAnsi="Times New Roman" w:eastAsia="仿宋_GB2312" w:cs="Times New Roman"/>
          <w:color w:val="auto"/>
          <w:sz w:val="32"/>
          <w:szCs w:val="32"/>
          <w:highlight w:val="none"/>
        </w:rPr>
        <w:t>健康</w:t>
      </w:r>
      <w:r>
        <w:rPr>
          <w:rFonts w:hint="default" w:ascii="Times New Roman" w:hAnsi="Times New Roman" w:eastAsia="仿宋_GB2312" w:cs="Times New Roman"/>
          <w:color w:val="auto"/>
          <w:sz w:val="32"/>
          <w:szCs w:val="32"/>
          <w:highlight w:val="none"/>
          <w:lang w:eastAsia="zh-CN"/>
        </w:rPr>
        <w:t>家庭、</w:t>
      </w:r>
      <w:r>
        <w:rPr>
          <w:rFonts w:hint="default" w:ascii="Times New Roman" w:hAnsi="Times New Roman" w:eastAsia="仿宋_GB2312" w:cs="Times New Roman"/>
          <w:color w:val="auto"/>
          <w:sz w:val="32"/>
          <w:szCs w:val="32"/>
          <w:highlight w:val="none"/>
        </w:rPr>
        <w:t>社</w:t>
      </w:r>
      <w:r>
        <w:rPr>
          <w:rFonts w:hint="default" w:ascii="Times New Roman" w:hAnsi="Times New Roman" w:eastAsia="仿宋_GB2312" w:cs="Times New Roman"/>
          <w:color w:val="auto"/>
          <w:sz w:val="32"/>
          <w:szCs w:val="32"/>
        </w:rPr>
        <w:t>区</w:t>
      </w:r>
      <w:r>
        <w:rPr>
          <w:rFonts w:hint="default" w:ascii="Times New Roman" w:hAnsi="Times New Roman" w:eastAsia="仿宋_GB2312" w:cs="Times New Roman"/>
          <w:color w:val="auto"/>
          <w:sz w:val="32"/>
          <w:szCs w:val="32"/>
          <w:lang w:eastAsia="zh-CN"/>
        </w:rPr>
        <w:t>（村）</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企业、机关（单位）、医院、</w:t>
      </w:r>
      <w:r>
        <w:rPr>
          <w:rFonts w:hint="default" w:ascii="Times New Roman" w:hAnsi="Times New Roman" w:eastAsia="仿宋_GB2312" w:cs="Times New Roman"/>
          <w:color w:val="auto"/>
          <w:sz w:val="32"/>
          <w:szCs w:val="32"/>
        </w:rPr>
        <w:t>学校、餐厅</w:t>
      </w:r>
      <w:r>
        <w:rPr>
          <w:rFonts w:hint="default" w:ascii="Times New Roman" w:hAnsi="Times New Roman" w:eastAsia="仿宋_GB2312" w:cs="Times New Roman"/>
          <w:color w:val="auto"/>
          <w:sz w:val="32"/>
          <w:szCs w:val="32"/>
          <w:lang w:eastAsia="zh-CN"/>
        </w:rPr>
        <w:t>（食堂）</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市场（超市、商场）、</w:t>
      </w:r>
      <w:r>
        <w:rPr>
          <w:rFonts w:hint="default" w:ascii="Times New Roman" w:hAnsi="Times New Roman" w:eastAsia="仿宋_GB2312" w:cs="Times New Roman"/>
          <w:color w:val="auto"/>
          <w:sz w:val="32"/>
          <w:szCs w:val="32"/>
        </w:rPr>
        <w:t>主题公园、步道等</w:t>
      </w:r>
      <w:r>
        <w:rPr>
          <w:rFonts w:hint="default" w:ascii="Times New Roman" w:hAnsi="Times New Roman" w:eastAsia="仿宋_GB2312" w:cs="Times New Roman"/>
          <w:color w:val="auto"/>
          <w:sz w:val="32"/>
          <w:szCs w:val="32"/>
          <w:lang w:eastAsia="zh-CN"/>
        </w:rPr>
        <w:t>健康细胞</w:t>
      </w:r>
      <w:r>
        <w:rPr>
          <w:rFonts w:hint="default" w:ascii="Times New Roman" w:hAnsi="Times New Roman" w:eastAsia="仿宋_GB2312" w:cs="Times New Roman"/>
          <w:color w:val="auto"/>
          <w:sz w:val="32"/>
          <w:szCs w:val="32"/>
        </w:rPr>
        <w:t>。镇卫生院、社区卫生服务中心等设有自助式健康检测点。</w:t>
      </w:r>
      <w:r>
        <w:rPr>
          <w:rFonts w:hint="eastAsia" w:ascii="Times New Roman" w:hAnsi="Times New Roman" w:eastAsia="楷体_GB2312" w:cs="楷体_GB2312"/>
          <w:color w:val="auto"/>
          <w:sz w:val="32"/>
          <w:szCs w:val="32"/>
        </w:rPr>
        <w:t>（责任单位：</w:t>
      </w:r>
      <w:r>
        <w:rPr>
          <w:rFonts w:hint="default" w:ascii="Times New Roman" w:hAnsi="Times New Roman" w:eastAsia="楷体_GB2312" w:cs="楷体_GB2312"/>
          <w:color w:val="auto"/>
          <w:sz w:val="32"/>
          <w:szCs w:val="32"/>
        </w:rPr>
        <w:t>区委区直</w:t>
      </w:r>
      <w:r>
        <w:rPr>
          <w:rFonts w:hint="eastAsia" w:ascii="Times New Roman" w:hAnsi="Times New Roman" w:eastAsia="楷体_GB2312" w:cs="楷体_GB2312"/>
          <w:color w:val="auto"/>
          <w:sz w:val="32"/>
          <w:szCs w:val="32"/>
        </w:rPr>
        <w:t>机关工委、区妇联、区</w:t>
      </w:r>
      <w:r>
        <w:rPr>
          <w:rFonts w:hint="default" w:ascii="Times New Roman" w:hAnsi="Times New Roman" w:eastAsia="楷体_GB2312" w:cs="楷体_GB2312"/>
          <w:color w:val="auto"/>
          <w:sz w:val="32"/>
          <w:szCs w:val="32"/>
        </w:rPr>
        <w:t>教育和体育</w:t>
      </w:r>
      <w:r>
        <w:rPr>
          <w:rFonts w:hint="eastAsia" w:ascii="Times New Roman" w:hAnsi="Times New Roman" w:eastAsia="楷体_GB2312" w:cs="楷体_GB2312"/>
          <w:color w:val="auto"/>
          <w:sz w:val="32"/>
          <w:szCs w:val="32"/>
        </w:rPr>
        <w:t>局、区工业和信息化局、区商务局、区卫生健康局、区市场</w:t>
      </w:r>
      <w:r>
        <w:rPr>
          <w:rFonts w:hint="eastAsia" w:ascii="Times New Roman" w:hAnsi="Times New Roman" w:eastAsia="楷体_GB2312" w:cs="楷体_GB2312"/>
          <w:color w:val="auto"/>
          <w:sz w:val="32"/>
          <w:szCs w:val="32"/>
          <w:lang w:eastAsia="zh-CN"/>
        </w:rPr>
        <w:t>监督管理</w:t>
      </w:r>
      <w:r>
        <w:rPr>
          <w:rFonts w:hint="eastAsia" w:ascii="Times New Roman" w:hAnsi="Times New Roman" w:eastAsia="楷体_GB2312" w:cs="楷体_GB2312"/>
          <w:color w:val="auto"/>
          <w:sz w:val="32"/>
          <w:szCs w:val="32"/>
        </w:rPr>
        <w:t>局、区市政园林服务中心</w:t>
      </w:r>
      <w:r>
        <w:rPr>
          <w:rFonts w:hint="eastAsia" w:ascii="Times New Roman" w:hAnsi="Times New Roman" w:eastAsia="楷体_GB2312" w:cs="楷体_GB2312"/>
          <w:color w:val="auto"/>
          <w:sz w:val="32"/>
          <w:szCs w:val="32"/>
          <w:highlight w:val="none"/>
        </w:rPr>
        <w:t>，</w:t>
      </w:r>
      <w:r>
        <w:rPr>
          <w:rFonts w:hint="eastAsia" w:ascii="Times New Roman" w:hAnsi="Times New Roman" w:eastAsia="楷体_GB2312" w:cs="楷体_GB2312"/>
          <w:color w:val="auto"/>
          <w:sz w:val="32"/>
          <w:szCs w:val="32"/>
          <w:highlight w:val="none"/>
          <w:lang w:eastAsia="zh-CN"/>
        </w:rPr>
        <w:t>里口山管理服务中心，</w:t>
      </w:r>
      <w:r>
        <w:rPr>
          <w:rFonts w:hint="eastAsia" w:ascii="Times New Roman" w:hAnsi="Times New Roman" w:eastAsia="楷体_GB2312" w:cs="楷体_GB2312"/>
          <w:color w:val="auto"/>
          <w:sz w:val="32"/>
          <w:szCs w:val="32"/>
          <w:highlight w:val="none"/>
        </w:rPr>
        <w:t>各镇政府、街道办事处</w:t>
      </w: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rPr>
        <w:t>区疾控中心</w:t>
      </w:r>
      <w:r>
        <w:rPr>
          <w:rFonts w:hint="eastAsia" w:ascii="Times New Roman" w:hAnsi="Times New Roman" w:eastAsia="楷体_GB2312" w:cs="楷体_GB2312"/>
          <w:color w:val="auto"/>
          <w:sz w:val="32"/>
          <w:szCs w:val="32"/>
          <w:highlight w:val="none"/>
        </w:rPr>
        <w:t>）</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highlight w:val="none"/>
        </w:rPr>
        <w:t>（二）积极开展全民健身活动，建设村（社区）1</w:t>
      </w:r>
      <w:r>
        <w:rPr>
          <w:rFonts w:hint="eastAsia" w:ascii="Times New Roman" w:hAnsi="Times New Roman" w:eastAsia="仿宋_GB2312" w:cs="Times New Roman"/>
          <w:color w:val="auto"/>
          <w:sz w:val="32"/>
          <w:szCs w:val="32"/>
          <w:highlight w:val="none"/>
          <w:lang w:val="en-US" w:eastAsia="zh-CN"/>
        </w:rPr>
        <w:t>0</w:t>
      </w:r>
      <w:r>
        <w:rPr>
          <w:rFonts w:hint="default" w:ascii="Times New Roman" w:hAnsi="Times New Roman" w:eastAsia="仿宋_GB2312" w:cs="Times New Roman"/>
          <w:color w:val="auto"/>
          <w:sz w:val="32"/>
          <w:szCs w:val="32"/>
          <w:highlight w:val="none"/>
        </w:rPr>
        <w:t>分钟健身圈，推动公共体育设施建设，推动辖区公共体育场地设施和符合开放条件的企事业单位、学校体育场地设施向社会开放。机关、企事业单位组织开展工间健身、健步走、运动会等活动，在校学生确保每天锻炼一小时。</w:t>
      </w:r>
      <w:r>
        <w:rPr>
          <w:rFonts w:hint="default" w:ascii="Times New Roman" w:hAnsi="Times New Roman" w:eastAsia="楷体_GB2312" w:cs="楷体_GB2312"/>
          <w:color w:val="auto"/>
          <w:sz w:val="32"/>
          <w:szCs w:val="32"/>
        </w:rPr>
        <w:t>（责任单位：</w:t>
      </w:r>
      <w:r>
        <w:rPr>
          <w:rFonts w:hint="eastAsia" w:ascii="Times New Roman" w:hAnsi="Times New Roman" w:eastAsia="楷体_GB2312" w:cs="楷体_GB2312"/>
          <w:color w:val="auto"/>
          <w:sz w:val="32"/>
          <w:szCs w:val="32"/>
          <w:lang w:eastAsia="zh-CN"/>
        </w:rPr>
        <w:t>区委区直机关工委</w:t>
      </w:r>
      <w:r>
        <w:rPr>
          <w:rFonts w:hint="default" w:ascii="Times New Roman" w:hAnsi="Times New Roman" w:eastAsia="楷体_GB2312" w:cs="楷体_GB2312"/>
          <w:color w:val="auto"/>
          <w:sz w:val="32"/>
          <w:szCs w:val="32"/>
        </w:rPr>
        <w:t>、区总工会</w:t>
      </w:r>
      <w:r>
        <w:rPr>
          <w:rFonts w:hint="eastAsia" w:ascii="Times New Roman" w:hAnsi="Times New Roman" w:eastAsia="楷体_GB2312" w:cs="楷体_GB2312"/>
          <w:color w:val="auto"/>
          <w:sz w:val="32"/>
          <w:szCs w:val="32"/>
          <w:lang w:eastAsia="zh-CN"/>
        </w:rPr>
        <w:t>、</w:t>
      </w:r>
      <w:r>
        <w:rPr>
          <w:rFonts w:hint="eastAsia" w:ascii="Times New Roman" w:hAnsi="Times New Roman" w:eastAsia="楷体_GB2312" w:cs="楷体_GB2312"/>
          <w:color w:val="auto"/>
          <w:sz w:val="32"/>
          <w:szCs w:val="32"/>
        </w:rPr>
        <w:t>区</w:t>
      </w:r>
      <w:r>
        <w:rPr>
          <w:rFonts w:hint="default" w:ascii="Times New Roman" w:hAnsi="Times New Roman" w:eastAsia="楷体_GB2312" w:cs="楷体_GB2312"/>
          <w:color w:val="auto"/>
          <w:sz w:val="32"/>
          <w:szCs w:val="32"/>
        </w:rPr>
        <w:t>教育和体育</w:t>
      </w:r>
      <w:r>
        <w:rPr>
          <w:rFonts w:hint="eastAsia" w:ascii="Times New Roman" w:hAnsi="Times New Roman" w:eastAsia="楷体_GB2312" w:cs="楷体_GB2312"/>
          <w:color w:val="auto"/>
          <w:sz w:val="32"/>
          <w:szCs w:val="32"/>
        </w:rPr>
        <w:t>局</w:t>
      </w:r>
      <w:r>
        <w:rPr>
          <w:rFonts w:hint="default" w:ascii="Times New Roman" w:hAnsi="Times New Roman" w:eastAsia="楷体_GB2312" w:cs="楷体_GB2312"/>
          <w:color w:val="auto"/>
          <w:sz w:val="32"/>
          <w:szCs w:val="32"/>
        </w:rPr>
        <w:t>，</w:t>
      </w:r>
      <w:r>
        <w:rPr>
          <w:rFonts w:hint="default" w:ascii="Times New Roman" w:hAnsi="Times New Roman" w:eastAsia="楷体_GB2312" w:cs="楷体_GB2312"/>
          <w:color w:val="auto"/>
          <w:sz w:val="32"/>
          <w:szCs w:val="32"/>
          <w:lang w:eastAsia="zh-CN"/>
        </w:rPr>
        <w:t>里口山管理服务中心，</w:t>
      </w:r>
      <w:r>
        <w:rPr>
          <w:rFonts w:hint="default" w:ascii="Times New Roman" w:hAnsi="Times New Roman" w:eastAsia="楷体_GB2312" w:cs="楷体_GB2312"/>
          <w:color w:val="auto"/>
          <w:sz w:val="32"/>
          <w:szCs w:val="32"/>
        </w:rPr>
        <w:t>各镇政府、街道办事处）</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highlight w:val="none"/>
        </w:rPr>
      </w:pPr>
      <w:r>
        <w:rPr>
          <w:rFonts w:hint="default" w:ascii="Times New Roman" w:hAnsi="Times New Roman" w:eastAsia="仿宋_GB2312" w:cs="Times New Roman"/>
          <w:color w:val="auto"/>
          <w:sz w:val="32"/>
          <w:szCs w:val="32"/>
          <w:highlight w:val="none"/>
        </w:rPr>
        <w:t>（三）开展烟草危害控制，辖区无烟草广告，公共场所、工作场所的室内区域全面禁止吸烟。提供戒烟门诊、咨询等服务，提高戒烟干预能力。</w:t>
      </w:r>
      <w:r>
        <w:rPr>
          <w:rFonts w:hint="default" w:ascii="Times New Roman" w:hAnsi="Times New Roman" w:eastAsia="楷体_GB2312" w:cs="楷体_GB2312"/>
          <w:color w:val="auto"/>
          <w:sz w:val="32"/>
          <w:szCs w:val="32"/>
        </w:rPr>
        <w:t>（责任单位</w:t>
      </w:r>
      <w:r>
        <w:rPr>
          <w:rFonts w:hint="default" w:ascii="Times New Roman" w:hAnsi="Times New Roman" w:eastAsia="楷体_GB2312" w:cs="楷体_GB2312"/>
          <w:color w:val="auto"/>
          <w:sz w:val="32"/>
          <w:szCs w:val="32"/>
          <w:highlight w:val="none"/>
        </w:rPr>
        <w:t>：区委区直</w:t>
      </w:r>
      <w:r>
        <w:rPr>
          <w:rFonts w:hint="eastAsia" w:ascii="Times New Roman" w:hAnsi="Times New Roman" w:eastAsia="楷体_GB2312" w:cs="楷体_GB2312"/>
          <w:color w:val="auto"/>
          <w:sz w:val="32"/>
          <w:szCs w:val="32"/>
          <w:highlight w:val="none"/>
        </w:rPr>
        <w:t>机关工委</w:t>
      </w:r>
      <w:r>
        <w:rPr>
          <w:rFonts w:hint="default" w:ascii="Times New Roman" w:hAnsi="Times New Roman" w:eastAsia="楷体_GB2312" w:cs="楷体_GB2312"/>
          <w:color w:val="auto"/>
          <w:sz w:val="32"/>
          <w:szCs w:val="32"/>
          <w:highlight w:val="none"/>
        </w:rPr>
        <w:t>、区商务局、区卫生健康局、</w:t>
      </w:r>
      <w:r>
        <w:rPr>
          <w:rFonts w:hint="eastAsia" w:ascii="Times New Roman" w:hAnsi="Times New Roman" w:eastAsia="楷体_GB2312" w:cs="楷体_GB2312"/>
          <w:color w:val="auto"/>
          <w:sz w:val="32"/>
          <w:szCs w:val="32"/>
          <w:highlight w:val="none"/>
          <w:lang w:val="en-US" w:eastAsia="zh-CN"/>
        </w:rPr>
        <w:t>区市场监督管理局</w:t>
      </w:r>
      <w:r>
        <w:rPr>
          <w:rFonts w:hint="default" w:ascii="Times New Roman" w:hAnsi="Times New Roman" w:eastAsia="楷体_GB2312" w:cs="楷体_GB2312"/>
          <w:color w:val="auto"/>
          <w:sz w:val="32"/>
          <w:szCs w:val="32"/>
          <w:highlight w:val="none"/>
        </w:rPr>
        <w:t>，</w:t>
      </w:r>
      <w:r>
        <w:rPr>
          <w:rFonts w:hint="default" w:ascii="Times New Roman" w:hAnsi="Times New Roman" w:eastAsia="楷体_GB2312" w:cs="楷体_GB2312"/>
          <w:color w:val="auto"/>
          <w:sz w:val="32"/>
          <w:szCs w:val="32"/>
          <w:highlight w:val="none"/>
          <w:lang w:eastAsia="zh-CN"/>
        </w:rPr>
        <w:t>里口山管理服务中心，</w:t>
      </w:r>
      <w:r>
        <w:rPr>
          <w:rFonts w:hint="default" w:ascii="Times New Roman" w:hAnsi="Times New Roman" w:eastAsia="楷体_GB2312" w:cs="楷体_GB2312"/>
          <w:color w:val="auto"/>
          <w:sz w:val="32"/>
          <w:szCs w:val="32"/>
          <w:highlight w:val="none"/>
        </w:rPr>
        <w:t>各镇政府、街道办事处</w:t>
      </w:r>
      <w:r>
        <w:rPr>
          <w:rFonts w:hint="eastAsia" w:ascii="Times New Roman" w:hAnsi="Times New Roman" w:eastAsia="楷体_GB2312" w:cs="楷体_GB2312"/>
          <w:color w:val="auto"/>
          <w:sz w:val="32"/>
          <w:szCs w:val="32"/>
          <w:highlight w:val="none"/>
          <w:lang w:val="en-US" w:eastAsia="zh-CN"/>
        </w:rPr>
        <w:t>，</w:t>
      </w:r>
      <w:r>
        <w:rPr>
          <w:rFonts w:hint="default" w:ascii="Times New Roman" w:hAnsi="Times New Roman" w:eastAsia="楷体_GB2312" w:cs="楷体_GB2312"/>
          <w:color w:val="auto"/>
          <w:sz w:val="32"/>
          <w:szCs w:val="32"/>
          <w:highlight w:val="none"/>
        </w:rPr>
        <w:t>区疾控中心）</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highlight w:val="none"/>
        </w:rPr>
        <w:t>（四）</w:t>
      </w:r>
      <w:r>
        <w:rPr>
          <w:rFonts w:hint="default" w:ascii="Times New Roman" w:hAnsi="Times New Roman" w:eastAsia="仿宋_GB2312" w:cs="Times New Roman"/>
          <w:color w:val="auto"/>
          <w:sz w:val="32"/>
          <w:szCs w:val="32"/>
          <w:highlight w:val="none"/>
          <w:lang w:eastAsia="zh-CN"/>
        </w:rPr>
        <w:t>普及健康教育，</w:t>
      </w:r>
      <w:r>
        <w:rPr>
          <w:rFonts w:hint="default" w:ascii="Times New Roman" w:hAnsi="Times New Roman" w:eastAsia="仿宋_GB2312" w:cs="Times New Roman"/>
          <w:color w:val="auto"/>
          <w:sz w:val="32"/>
          <w:szCs w:val="32"/>
          <w:highlight w:val="none"/>
        </w:rPr>
        <w:t>公共场所设有慢性病防控公益宣传广告，各村（社区）设有健康教育活动室，向村（居）民提供慢性病防控科普读物。学校、幼儿园普遍开展营养均衡、健康体重、口腔保健、视力保护等健康行为方式教育。</w:t>
      </w:r>
      <w:r>
        <w:rPr>
          <w:rFonts w:hint="default" w:ascii="Times New Roman" w:hAnsi="Times New Roman" w:eastAsia="楷体_GB2312" w:cs="楷体_GB2312"/>
          <w:color w:val="auto"/>
          <w:sz w:val="32"/>
          <w:szCs w:val="32"/>
        </w:rPr>
        <w:t>（责任单位：区委宣传部、区融媒体中心、</w:t>
      </w:r>
      <w:r>
        <w:rPr>
          <w:rFonts w:hint="eastAsia" w:ascii="Times New Roman" w:hAnsi="Times New Roman" w:eastAsia="楷体_GB2312" w:cs="楷体_GB2312"/>
          <w:color w:val="auto"/>
          <w:sz w:val="32"/>
          <w:szCs w:val="32"/>
        </w:rPr>
        <w:t>区</w:t>
      </w:r>
      <w:r>
        <w:rPr>
          <w:rFonts w:hint="default" w:ascii="Times New Roman" w:hAnsi="Times New Roman" w:eastAsia="楷体_GB2312" w:cs="楷体_GB2312"/>
          <w:color w:val="auto"/>
          <w:sz w:val="32"/>
          <w:szCs w:val="32"/>
        </w:rPr>
        <w:t>教育和体育</w:t>
      </w:r>
      <w:r>
        <w:rPr>
          <w:rFonts w:hint="eastAsia" w:ascii="Times New Roman" w:hAnsi="Times New Roman" w:eastAsia="楷体_GB2312" w:cs="楷体_GB2312"/>
          <w:color w:val="auto"/>
          <w:sz w:val="32"/>
          <w:szCs w:val="32"/>
        </w:rPr>
        <w:t>局</w:t>
      </w:r>
      <w:r>
        <w:rPr>
          <w:rFonts w:hint="default" w:ascii="Times New Roman" w:hAnsi="Times New Roman" w:eastAsia="楷体_GB2312" w:cs="楷体_GB2312"/>
          <w:color w:val="auto"/>
          <w:sz w:val="32"/>
          <w:szCs w:val="32"/>
        </w:rPr>
        <w:t>、区卫生健康局，</w:t>
      </w:r>
      <w:r>
        <w:rPr>
          <w:rFonts w:hint="default" w:ascii="Times New Roman" w:hAnsi="Times New Roman" w:eastAsia="楷体_GB2312" w:cs="楷体_GB2312"/>
          <w:color w:val="auto"/>
          <w:sz w:val="32"/>
          <w:szCs w:val="32"/>
          <w:lang w:eastAsia="zh-CN"/>
        </w:rPr>
        <w:t>里口山管理服务中心，</w:t>
      </w:r>
      <w:r>
        <w:rPr>
          <w:rFonts w:hint="default" w:ascii="Times New Roman" w:hAnsi="Times New Roman" w:eastAsia="楷体_GB2312" w:cs="楷体_GB2312"/>
          <w:color w:val="auto"/>
          <w:sz w:val="32"/>
          <w:szCs w:val="32"/>
        </w:rPr>
        <w:t>各镇政府、街道办事处</w:t>
      </w:r>
      <w:r>
        <w:rPr>
          <w:rFonts w:hint="eastAsia" w:ascii="Times New Roman" w:hAnsi="Times New Roman" w:eastAsia="楷体_GB2312" w:cs="楷体_GB2312"/>
          <w:color w:val="auto"/>
          <w:sz w:val="32"/>
          <w:szCs w:val="32"/>
          <w:lang w:eastAsia="zh-CN"/>
        </w:rPr>
        <w:t>，</w:t>
      </w:r>
      <w:r>
        <w:rPr>
          <w:rFonts w:hint="default" w:ascii="Times New Roman" w:hAnsi="Times New Roman" w:eastAsia="楷体_GB2312" w:cs="楷体_GB2312"/>
          <w:color w:val="auto"/>
          <w:sz w:val="32"/>
          <w:szCs w:val="32"/>
        </w:rPr>
        <w:t>区疾控中心）</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highlight w:val="none"/>
        </w:rPr>
        <w:t>（五）</w:t>
      </w:r>
      <w:r>
        <w:rPr>
          <w:rFonts w:hint="default" w:ascii="Times New Roman" w:hAnsi="Times New Roman" w:eastAsia="仿宋_GB2312" w:cs="Times New Roman"/>
          <w:color w:val="auto"/>
          <w:sz w:val="32"/>
          <w:szCs w:val="32"/>
          <w:highlight w:val="none"/>
          <w:lang w:eastAsia="zh-CN"/>
        </w:rPr>
        <w:t>推广健康自我管理，</w:t>
      </w:r>
      <w:r>
        <w:rPr>
          <w:rFonts w:hint="default" w:ascii="Times New Roman" w:hAnsi="Times New Roman" w:eastAsia="仿宋_GB2312" w:cs="Times New Roman"/>
          <w:color w:val="auto"/>
          <w:sz w:val="32"/>
          <w:szCs w:val="32"/>
          <w:highlight w:val="none"/>
        </w:rPr>
        <w:t>建立自我为主、人际互助、社会支持、政府指导的健康管理模式。发挥群众组织在健康教育与健康促进、健康管理和健康服务等方面的积极作用，以增强群众自我保健意识为切入点，培育健康指导员和志愿者，开展社区慢性病自我健康管理。</w:t>
      </w:r>
      <w:r>
        <w:rPr>
          <w:rFonts w:hint="default" w:ascii="Times New Roman" w:hAnsi="Times New Roman" w:eastAsia="楷体_GB2312" w:cs="楷体_GB2312"/>
          <w:color w:val="auto"/>
          <w:sz w:val="32"/>
          <w:szCs w:val="32"/>
        </w:rPr>
        <w:t>（责任单位：区卫生健康局，</w:t>
      </w:r>
      <w:r>
        <w:rPr>
          <w:rFonts w:hint="default" w:ascii="Times New Roman" w:hAnsi="Times New Roman" w:eastAsia="楷体_GB2312" w:cs="楷体_GB2312"/>
          <w:color w:val="auto"/>
          <w:sz w:val="32"/>
          <w:szCs w:val="32"/>
          <w:lang w:eastAsia="zh-CN"/>
        </w:rPr>
        <w:t>里口山管理服务中心，</w:t>
      </w:r>
      <w:r>
        <w:rPr>
          <w:rFonts w:hint="default" w:ascii="Times New Roman" w:hAnsi="Times New Roman" w:eastAsia="楷体_GB2312" w:cs="楷体_GB2312"/>
          <w:color w:val="auto"/>
          <w:sz w:val="32"/>
          <w:szCs w:val="32"/>
        </w:rPr>
        <w:t>各镇政府、街道办事处</w:t>
      </w:r>
      <w:r>
        <w:rPr>
          <w:rFonts w:hint="eastAsia" w:ascii="Times New Roman" w:hAnsi="Times New Roman" w:eastAsia="楷体_GB2312" w:cs="楷体_GB2312"/>
          <w:color w:val="auto"/>
          <w:sz w:val="32"/>
          <w:szCs w:val="32"/>
          <w:lang w:eastAsia="zh-CN"/>
        </w:rPr>
        <w:t>，</w:t>
      </w:r>
      <w:r>
        <w:rPr>
          <w:rFonts w:hint="default" w:ascii="Times New Roman" w:hAnsi="Times New Roman" w:eastAsia="楷体_GB2312" w:cs="楷体_GB2312"/>
          <w:color w:val="auto"/>
          <w:sz w:val="32"/>
          <w:szCs w:val="32"/>
        </w:rPr>
        <w:t>区疾控中心）</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highlight w:val="none"/>
        </w:rPr>
        <w:t>（六）</w:t>
      </w:r>
      <w:r>
        <w:rPr>
          <w:rFonts w:hint="eastAsia" w:ascii="Times New Roman" w:hAnsi="Times New Roman" w:eastAsia="仿宋_GB2312" w:cs="Times New Roman"/>
          <w:color w:val="auto"/>
          <w:sz w:val="32"/>
          <w:szCs w:val="32"/>
          <w:highlight w:val="none"/>
          <w:lang w:val="en-US" w:eastAsia="zh-CN"/>
        </w:rPr>
        <w:t>完善健康管理制度，建立</w:t>
      </w:r>
      <w:r>
        <w:rPr>
          <w:rFonts w:hint="default" w:ascii="Times New Roman" w:hAnsi="Times New Roman" w:eastAsia="仿宋_GB2312" w:cs="Times New Roman"/>
          <w:color w:val="auto"/>
          <w:sz w:val="32"/>
          <w:szCs w:val="32"/>
          <w:highlight w:val="none"/>
        </w:rPr>
        <w:t>规范的学生</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老年人等重点人群健康体检制度。机关企事业单位定期组织职工体检</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结合基本公共卫生服务项目分类进行健康危险因素干预、高危人群和患者管理，提供慢性病预防、风险评估、跟踪随访、干预指导为</w:t>
      </w:r>
      <w:r>
        <w:rPr>
          <w:rFonts w:hint="default" w:ascii="Times New Roman" w:hAnsi="Times New Roman" w:eastAsia="仿宋_GB2312" w:cs="Times New Roman"/>
          <w:color w:val="auto"/>
          <w:sz w:val="32"/>
          <w:szCs w:val="32"/>
        </w:rPr>
        <w:t>一体的健康管理服务。</w:t>
      </w:r>
      <w:r>
        <w:rPr>
          <w:rFonts w:hint="default" w:ascii="Times New Roman" w:hAnsi="Times New Roman" w:eastAsia="楷体_GB2312" w:cs="楷体_GB2312"/>
          <w:color w:val="auto"/>
          <w:sz w:val="32"/>
          <w:szCs w:val="32"/>
        </w:rPr>
        <w:t>（责任单位：区总工会、</w:t>
      </w:r>
      <w:r>
        <w:rPr>
          <w:rFonts w:hint="eastAsia" w:ascii="Times New Roman" w:hAnsi="Times New Roman" w:eastAsia="楷体_GB2312" w:cs="楷体_GB2312"/>
          <w:color w:val="auto"/>
          <w:sz w:val="32"/>
          <w:szCs w:val="32"/>
        </w:rPr>
        <w:t>区</w:t>
      </w:r>
      <w:r>
        <w:rPr>
          <w:rFonts w:hint="default" w:ascii="Times New Roman" w:hAnsi="Times New Roman" w:eastAsia="楷体_GB2312" w:cs="楷体_GB2312"/>
          <w:color w:val="auto"/>
          <w:sz w:val="32"/>
          <w:szCs w:val="32"/>
        </w:rPr>
        <w:t>教育和体育</w:t>
      </w:r>
      <w:r>
        <w:rPr>
          <w:rFonts w:hint="eastAsia" w:ascii="Times New Roman" w:hAnsi="Times New Roman" w:eastAsia="楷体_GB2312" w:cs="楷体_GB2312"/>
          <w:color w:val="auto"/>
          <w:sz w:val="32"/>
          <w:szCs w:val="32"/>
        </w:rPr>
        <w:t>局</w:t>
      </w:r>
      <w:r>
        <w:rPr>
          <w:rFonts w:hint="default" w:ascii="Times New Roman" w:hAnsi="Times New Roman" w:eastAsia="楷体_GB2312" w:cs="楷体_GB2312"/>
          <w:color w:val="auto"/>
          <w:sz w:val="32"/>
          <w:szCs w:val="32"/>
        </w:rPr>
        <w:t>、区卫生健康局、区疾控中心）</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rPr>
        <w:t>（七）</w:t>
      </w:r>
      <w:r>
        <w:rPr>
          <w:rFonts w:hint="default" w:ascii="Times New Roman" w:hAnsi="Times New Roman" w:eastAsia="仿宋_GB2312" w:cs="Times New Roman"/>
          <w:color w:val="auto"/>
          <w:sz w:val="32"/>
          <w:szCs w:val="32"/>
          <w:lang w:eastAsia="zh-CN"/>
        </w:rPr>
        <w:t>推动高危人群早期干预，</w:t>
      </w:r>
      <w:r>
        <w:rPr>
          <w:rFonts w:hint="default" w:ascii="Times New Roman" w:hAnsi="Times New Roman" w:eastAsia="仿宋_GB2312" w:cs="Times New Roman"/>
          <w:color w:val="auto"/>
          <w:sz w:val="32"/>
          <w:szCs w:val="32"/>
        </w:rPr>
        <w:t>辖区内各级各类医疗机构全面实施</w:t>
      </w:r>
      <w:r>
        <w:rPr>
          <w:rFonts w:hint="default" w:ascii="Times New Roman" w:hAnsi="Times New Roman" w:eastAsia="仿宋_GB2312" w:cs="Times New Roman"/>
          <w:color w:val="auto"/>
          <w:sz w:val="32"/>
          <w:szCs w:val="32"/>
          <w:lang w:val="en-US" w:eastAsia="zh-CN"/>
        </w:rPr>
        <w:t>18</w:t>
      </w:r>
      <w:r>
        <w:rPr>
          <w:rFonts w:hint="default" w:ascii="Times New Roman" w:hAnsi="Times New Roman" w:eastAsia="仿宋_GB2312" w:cs="Times New Roman"/>
          <w:color w:val="auto"/>
          <w:sz w:val="32"/>
          <w:szCs w:val="32"/>
        </w:rPr>
        <w:t>岁以上人群首诊测血压，发现患者及时纳入基本公共卫生服务管理，对高危人群提供干预指导。</w:t>
      </w:r>
      <w:r>
        <w:rPr>
          <w:rFonts w:hint="default" w:ascii="Times New Roman" w:hAnsi="Times New Roman" w:eastAsia="楷体_GB2312" w:cs="楷体_GB2312"/>
          <w:color w:val="auto"/>
          <w:sz w:val="32"/>
          <w:szCs w:val="32"/>
        </w:rPr>
        <w:t>（责任单位：区卫生健康局）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rPr>
        <w:t>（八）</w:t>
      </w:r>
      <w:r>
        <w:rPr>
          <w:rFonts w:hint="default" w:ascii="Times New Roman" w:hAnsi="Times New Roman" w:eastAsia="仿宋_GB2312" w:cs="Times New Roman"/>
          <w:color w:val="auto"/>
          <w:sz w:val="32"/>
          <w:szCs w:val="32"/>
          <w:lang w:eastAsia="zh-CN"/>
        </w:rPr>
        <w:t>推广早诊早治，</w:t>
      </w:r>
      <w:r>
        <w:rPr>
          <w:rFonts w:hint="default" w:ascii="Times New Roman" w:hAnsi="Times New Roman" w:eastAsia="仿宋_GB2312" w:cs="Times New Roman"/>
          <w:color w:val="auto"/>
          <w:sz w:val="32"/>
          <w:szCs w:val="32"/>
        </w:rPr>
        <w:t>应用推广成熟的适宜技术，开展心脑血管疾病、重点癌症、糖尿病、慢性阻塞性肺疾病等重大慢性病的筛查和早期诊断。针对儿童等口腔疾病高风险人群，推广窝沟封闭、局部用氟等口腔预防适宜技术。</w:t>
      </w:r>
      <w:r>
        <w:rPr>
          <w:rFonts w:hint="default" w:ascii="Times New Roman" w:hAnsi="Times New Roman" w:eastAsia="楷体_GB2312" w:cs="楷体_GB2312"/>
          <w:color w:val="auto"/>
          <w:sz w:val="32"/>
          <w:szCs w:val="32"/>
        </w:rPr>
        <w:t>（责任单位：区卫生健康局）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rPr>
        <w:t>（九）</w:t>
      </w:r>
      <w:r>
        <w:rPr>
          <w:rFonts w:hint="default" w:ascii="Times New Roman" w:hAnsi="Times New Roman" w:eastAsia="仿宋_GB2312" w:cs="Times New Roman"/>
          <w:color w:val="auto"/>
          <w:sz w:val="32"/>
          <w:szCs w:val="32"/>
          <w:lang w:eastAsia="zh-CN"/>
        </w:rPr>
        <w:t>完善分级诊疗，</w:t>
      </w:r>
      <w:r>
        <w:rPr>
          <w:rFonts w:hint="default" w:ascii="Times New Roman" w:hAnsi="Times New Roman" w:eastAsia="仿宋_GB2312" w:cs="Times New Roman"/>
          <w:color w:val="auto"/>
          <w:sz w:val="32"/>
          <w:szCs w:val="32"/>
        </w:rPr>
        <w:t>开展基层首诊</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双向转诊、急慢分治、上下联动的慢性病分级诊疗服务。推进家庭医生签约服务，由二级以上医院医师与基层医疗卫生机构医务人员组成签约医生团队，负责提供约定的基本医疗</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公共卫生和健康管理服务，辖区签约服务覆盖率明显高于全省平均水平。</w:t>
      </w:r>
      <w:r>
        <w:rPr>
          <w:rFonts w:hint="default" w:ascii="Times New Roman" w:hAnsi="Times New Roman" w:eastAsia="楷体_GB2312" w:cs="楷体_GB2312"/>
          <w:color w:val="auto"/>
          <w:sz w:val="32"/>
          <w:szCs w:val="32"/>
        </w:rPr>
        <w:t>（责任单位：区卫生健康局）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eastAsia" w:ascii="Times New Roman" w:hAnsi="Times New Roman" w:eastAsia="楷体_GB2312" w:cs="楷体_GB2312"/>
          <w:color w:val="auto"/>
          <w:sz w:val="32"/>
          <w:szCs w:val="32"/>
          <w:lang w:eastAsia="zh-CN"/>
        </w:rPr>
      </w:pPr>
      <w:r>
        <w:rPr>
          <w:rFonts w:hint="default" w:ascii="Times New Roman" w:hAnsi="Times New Roman" w:eastAsia="仿宋_GB2312" w:cs="Times New Roman"/>
          <w:color w:val="auto"/>
          <w:sz w:val="32"/>
          <w:szCs w:val="32"/>
        </w:rPr>
        <w:t>（十）</w:t>
      </w:r>
      <w:r>
        <w:rPr>
          <w:rFonts w:hint="default" w:ascii="Times New Roman" w:hAnsi="Times New Roman" w:eastAsia="仿宋_GB2312" w:cs="Times New Roman"/>
          <w:color w:val="auto"/>
          <w:sz w:val="32"/>
          <w:szCs w:val="32"/>
          <w:lang w:eastAsia="zh-CN"/>
        </w:rPr>
        <w:t>构建慢性病管理信息化，</w:t>
      </w:r>
      <w:r>
        <w:rPr>
          <w:rFonts w:hint="default" w:ascii="Times New Roman" w:hAnsi="Times New Roman" w:eastAsia="仿宋_GB2312" w:cs="Times New Roman"/>
          <w:color w:val="auto"/>
          <w:sz w:val="32"/>
          <w:szCs w:val="32"/>
        </w:rPr>
        <w:t>建立区域医疗卫生信息平台，实现专业公共卫生机构</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二级及以上医院和基层医疗卫生机构之间公共卫生服务、诊疗信息互联互通，推动电子健康档案和电子病历的连续记录和信息共享。应用</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互联网+</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、健康大数据为签约服务的慢性病患者提供便捷、高效的健康管理和诊疗服务。</w:t>
      </w:r>
      <w:r>
        <w:rPr>
          <w:rFonts w:hint="default" w:ascii="Times New Roman" w:hAnsi="Times New Roman" w:eastAsia="楷体_GB2312" w:cs="楷体_GB2312"/>
          <w:color w:val="auto"/>
          <w:sz w:val="32"/>
          <w:szCs w:val="32"/>
        </w:rPr>
        <w:t>（责任单位：区卫生健康局）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rPr>
        <w:t>（十一）发挥中医药特色优势</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在社区卫生服务中心建有中医综合服务区，传播中医药养生保健知识，加强中医适宜技术推广，发挥中医药在慢性病预防、保健、诊疗、康复中的作用。</w:t>
      </w:r>
      <w:r>
        <w:rPr>
          <w:rFonts w:hint="default" w:ascii="Times New Roman" w:hAnsi="Times New Roman" w:eastAsia="楷体_GB2312" w:cs="楷体_GB2312"/>
          <w:color w:val="auto"/>
          <w:sz w:val="32"/>
          <w:szCs w:val="32"/>
        </w:rPr>
        <w:t>（责任单位</w:t>
      </w:r>
      <w:r>
        <w:rPr>
          <w:rFonts w:hint="eastAsia" w:ascii="Times New Roman" w:hAnsi="Times New Roman" w:eastAsia="楷体_GB2312" w:cs="楷体_GB2312"/>
          <w:color w:val="auto"/>
          <w:sz w:val="32"/>
          <w:szCs w:val="32"/>
          <w:lang w:eastAsia="zh-CN"/>
        </w:rPr>
        <w:t>：</w:t>
      </w:r>
      <w:r>
        <w:rPr>
          <w:rFonts w:hint="default" w:ascii="Times New Roman" w:hAnsi="Times New Roman" w:eastAsia="楷体_GB2312" w:cs="楷体_GB2312"/>
          <w:color w:val="auto"/>
          <w:sz w:val="32"/>
          <w:szCs w:val="32"/>
        </w:rPr>
        <w:t>区卫生健康局）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rPr>
        <w:t>（十二）</w:t>
      </w:r>
      <w:r>
        <w:rPr>
          <w:rFonts w:hint="default" w:ascii="Times New Roman" w:hAnsi="Times New Roman" w:eastAsia="仿宋_GB2312" w:cs="Times New Roman"/>
          <w:color w:val="auto"/>
          <w:sz w:val="32"/>
          <w:szCs w:val="32"/>
          <w:lang w:eastAsia="zh-CN"/>
        </w:rPr>
        <w:t>健全慢性病医疗保障，</w:t>
      </w:r>
      <w:r>
        <w:rPr>
          <w:rFonts w:hint="default" w:ascii="Times New Roman" w:hAnsi="Times New Roman" w:eastAsia="仿宋_GB2312" w:cs="Times New Roman"/>
          <w:color w:val="auto"/>
          <w:sz w:val="32"/>
          <w:szCs w:val="32"/>
        </w:rPr>
        <w:t>做好基本医疗保险、城乡居民大病保险和医疗救助重大疾病保障的衔接，提高签约患者的医疗保障水平和残疾人、流动人口、低收入等人群医疗救助水平。基层医疗卫生机构优先配备使用基本药物，按省级卫生健康行政部门规定和要求，从医保药品报销目录中配备使用一定数量或比例的药品，满足患者用药需求。</w:t>
      </w:r>
      <w:r>
        <w:rPr>
          <w:rFonts w:hint="default" w:ascii="Times New Roman" w:hAnsi="Times New Roman" w:eastAsia="楷体_GB2312" w:cs="楷体_GB2312"/>
          <w:color w:val="auto"/>
          <w:sz w:val="32"/>
          <w:szCs w:val="32"/>
        </w:rPr>
        <w:t>（责任单位：区卫生健康局、区</w:t>
      </w:r>
      <w:r>
        <w:rPr>
          <w:rFonts w:hint="eastAsia" w:ascii="Times New Roman" w:hAnsi="Times New Roman" w:eastAsia="楷体_GB2312" w:cs="楷体_GB2312"/>
          <w:color w:val="auto"/>
          <w:sz w:val="32"/>
          <w:szCs w:val="32"/>
          <w:lang w:eastAsia="zh-CN"/>
        </w:rPr>
        <w:t>医疗保障</w:t>
      </w:r>
      <w:r>
        <w:rPr>
          <w:rFonts w:hint="default" w:ascii="Times New Roman" w:hAnsi="Times New Roman" w:eastAsia="楷体_GB2312" w:cs="楷体_GB2312"/>
          <w:color w:val="auto"/>
          <w:sz w:val="32"/>
          <w:szCs w:val="32"/>
        </w:rPr>
        <w:t>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楷体_GB2312" w:cs="楷体_GB2312"/>
          <w:color w:val="auto"/>
          <w:sz w:val="32"/>
          <w:szCs w:val="32"/>
        </w:rPr>
      </w:pPr>
      <w:r>
        <w:rPr>
          <w:rFonts w:hint="default" w:ascii="Times New Roman" w:hAnsi="Times New Roman" w:eastAsia="仿宋_GB2312" w:cs="Times New Roman"/>
          <w:color w:val="auto"/>
          <w:sz w:val="32"/>
          <w:szCs w:val="32"/>
        </w:rPr>
        <w:t>（十三）推动医养结合，为老年人提供健康管理服务，促进慢性病全程防治管理服务同居家养老、社区养老、机构养老紧密结合。</w:t>
      </w:r>
      <w:r>
        <w:rPr>
          <w:rFonts w:hint="default" w:ascii="Times New Roman" w:hAnsi="Times New Roman" w:eastAsia="楷体_GB2312" w:cs="楷体_GB2312"/>
          <w:color w:val="auto"/>
          <w:sz w:val="32"/>
          <w:szCs w:val="32"/>
        </w:rPr>
        <w:t>（责任单位：区民政局、区卫生健康局）</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rPr>
        <w:t>（十四）</w:t>
      </w:r>
      <w:r>
        <w:rPr>
          <w:rFonts w:hint="default" w:ascii="Times New Roman" w:hAnsi="Times New Roman" w:eastAsia="仿宋_GB2312" w:cs="Times New Roman"/>
          <w:color w:val="auto"/>
          <w:sz w:val="32"/>
          <w:szCs w:val="32"/>
          <w:lang w:eastAsia="zh-CN"/>
        </w:rPr>
        <w:t>加强健康信息监测，</w:t>
      </w:r>
      <w:r>
        <w:rPr>
          <w:rFonts w:hint="default" w:ascii="Times New Roman" w:hAnsi="Times New Roman" w:eastAsia="仿宋_GB2312" w:cs="Times New Roman"/>
          <w:color w:val="auto"/>
          <w:sz w:val="32"/>
          <w:szCs w:val="32"/>
        </w:rPr>
        <w:t>利用省、</w:t>
      </w:r>
      <w:r>
        <w:rPr>
          <w:rFonts w:hint="default" w:ascii="Times New Roman" w:hAnsi="Times New Roman" w:eastAsia="仿宋_GB2312" w:cs="Times New Roman"/>
          <w:color w:val="auto"/>
          <w:sz w:val="32"/>
          <w:szCs w:val="32"/>
          <w:lang w:eastAsia="zh-CN"/>
        </w:rPr>
        <w:t>市、区</w:t>
      </w:r>
      <w:r>
        <w:rPr>
          <w:rFonts w:hint="default" w:ascii="Times New Roman" w:hAnsi="Times New Roman" w:eastAsia="仿宋_GB2312" w:cs="Times New Roman"/>
          <w:color w:val="auto"/>
          <w:sz w:val="32"/>
          <w:szCs w:val="32"/>
        </w:rPr>
        <w:t>三级人口健康信息和疾病预防控制信息管理系统</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规范开展覆盖辖区全人群的死因监测和心脑血管疾病</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恶性肿瘤等慢性病及相关危险因素监测，掌握辖区重点慢性病状况、影响因素和疾病负担，实现慢性病管理信息化。每5年开展一次慢性病防控社会因素调查，发布人群慢性病防控有关健康信息。</w:t>
      </w:r>
      <w:r>
        <w:rPr>
          <w:rFonts w:hint="default" w:ascii="Times New Roman" w:hAnsi="Times New Roman" w:eastAsia="楷体_GB2312" w:cs="楷体_GB2312"/>
          <w:color w:val="auto"/>
          <w:sz w:val="32"/>
          <w:szCs w:val="32"/>
        </w:rPr>
        <w:t>（责任单位：区卫生健康局、</w:t>
      </w:r>
      <w:r>
        <w:rPr>
          <w:rFonts w:hint="default" w:ascii="Times New Roman" w:hAnsi="Times New Roman" w:eastAsia="楷体_GB2312" w:cs="楷体_GB2312"/>
          <w:color w:val="auto"/>
          <w:sz w:val="32"/>
          <w:szCs w:val="32"/>
          <w:lang w:eastAsia="zh-CN"/>
        </w:rPr>
        <w:t>里口山管理服务中心，</w:t>
      </w:r>
      <w:r>
        <w:rPr>
          <w:rFonts w:hint="default" w:ascii="Times New Roman" w:hAnsi="Times New Roman" w:eastAsia="楷体_GB2312" w:cs="楷体_GB2312"/>
          <w:color w:val="auto"/>
          <w:sz w:val="32"/>
          <w:szCs w:val="32"/>
        </w:rPr>
        <w:t>各镇政府、街道办事处</w:t>
      </w:r>
      <w:r>
        <w:rPr>
          <w:rFonts w:hint="eastAsia" w:ascii="Times New Roman" w:hAnsi="Times New Roman" w:eastAsia="楷体_GB2312" w:cs="楷体_GB2312"/>
          <w:color w:val="auto"/>
          <w:sz w:val="32"/>
          <w:szCs w:val="32"/>
          <w:lang w:eastAsia="zh-CN"/>
        </w:rPr>
        <w:t>，</w:t>
      </w:r>
      <w:r>
        <w:rPr>
          <w:rFonts w:hint="default" w:ascii="Times New Roman" w:hAnsi="Times New Roman" w:eastAsia="楷体_GB2312" w:cs="楷体_GB2312"/>
          <w:color w:val="auto"/>
          <w:sz w:val="32"/>
          <w:szCs w:val="32"/>
        </w:rPr>
        <w:t>区疾控中心）</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eastAsia" w:ascii="Times New Roman" w:hAnsi="Times New Roman" w:eastAsia="仿宋_GB2312" w:cs="Times New Roman"/>
          <w:color w:val="auto"/>
          <w:sz w:val="32"/>
          <w:szCs w:val="32"/>
          <w:highlight w:val="none"/>
          <w:lang w:eastAsia="zh-CN"/>
        </w:rPr>
      </w:pPr>
      <w:r>
        <w:rPr>
          <w:rFonts w:hint="default" w:ascii="Times New Roman" w:hAnsi="Times New Roman" w:eastAsia="仿宋_GB2312" w:cs="Times New Roman"/>
          <w:color w:val="auto"/>
          <w:sz w:val="32"/>
          <w:szCs w:val="32"/>
          <w:highlight w:val="none"/>
        </w:rPr>
        <w:t>（十五）</w:t>
      </w:r>
      <w:r>
        <w:rPr>
          <w:rFonts w:hint="default" w:ascii="Times New Roman" w:hAnsi="Times New Roman" w:eastAsia="仿宋_GB2312" w:cs="Times New Roman"/>
          <w:color w:val="auto"/>
          <w:sz w:val="32"/>
          <w:szCs w:val="32"/>
          <w:highlight w:val="none"/>
          <w:lang w:eastAsia="zh-CN"/>
        </w:rPr>
        <w:t>推动工作创新与经验推广，</w:t>
      </w:r>
      <w:r>
        <w:rPr>
          <w:rFonts w:hint="default" w:ascii="Times New Roman" w:hAnsi="Times New Roman" w:eastAsia="仿宋_GB2312" w:cs="Times New Roman"/>
          <w:color w:val="auto"/>
          <w:sz w:val="32"/>
          <w:szCs w:val="32"/>
          <w:highlight w:val="none"/>
        </w:rPr>
        <w:t>慢性病综合防</w:t>
      </w:r>
      <w:r>
        <w:rPr>
          <w:rFonts w:hint="default" w:ascii="Times New Roman" w:hAnsi="Times New Roman" w:eastAsia="仿宋_GB2312" w:cs="Times New Roman"/>
          <w:color w:val="auto"/>
          <w:sz w:val="32"/>
          <w:szCs w:val="32"/>
        </w:rPr>
        <w:t>控工作与我区社会、文化等建设和公共服务、公共产品供给相结合，鼓励政策、机制创新，开展具有地方特色的慢性病综合防控工作，总结推广慢性病防控工作模式和经验做法。</w:t>
      </w:r>
      <w:r>
        <w:rPr>
          <w:rFonts w:hint="eastAsia" w:ascii="Times New Roman" w:hAnsi="Times New Roman" w:eastAsia="仿宋_GB2312" w:cs="Times New Roman"/>
          <w:color w:val="auto"/>
          <w:sz w:val="32"/>
          <w:szCs w:val="32"/>
          <w:lang w:eastAsia="zh-CN"/>
        </w:rPr>
        <w:t>（</w:t>
      </w:r>
      <w:r>
        <w:rPr>
          <w:rFonts w:hint="default" w:ascii="Times New Roman" w:hAnsi="Times New Roman" w:eastAsia="楷体_GB2312" w:cs="楷体_GB2312"/>
          <w:color w:val="auto"/>
          <w:sz w:val="32"/>
          <w:szCs w:val="32"/>
        </w:rPr>
        <w:t>责任单位：</w:t>
      </w:r>
      <w:r>
        <w:rPr>
          <w:rFonts w:hint="eastAsia" w:ascii="Times New Roman" w:hAnsi="Times New Roman" w:eastAsia="楷体_GB2312" w:cs="楷体_GB2312"/>
          <w:color w:val="auto"/>
          <w:sz w:val="32"/>
          <w:szCs w:val="32"/>
          <w:lang w:val="en-US" w:eastAsia="zh-CN"/>
        </w:rPr>
        <w:t>领导小组各成</w:t>
      </w:r>
      <w:r>
        <w:rPr>
          <w:rFonts w:hint="eastAsia" w:ascii="Times New Roman" w:hAnsi="Times New Roman" w:eastAsia="楷体_GB2312" w:cs="楷体_GB2312"/>
          <w:color w:val="auto"/>
          <w:sz w:val="32"/>
          <w:szCs w:val="32"/>
          <w:highlight w:val="none"/>
          <w:lang w:val="en-US" w:eastAsia="zh-CN"/>
        </w:rPr>
        <w:t>员单位</w:t>
      </w:r>
      <w:r>
        <w:rPr>
          <w:rFonts w:hint="eastAsia" w:ascii="Times New Roman" w:hAnsi="Times New Roman" w:eastAsia="仿宋_GB2312" w:cs="Times New Roman"/>
          <w:color w:val="auto"/>
          <w:sz w:val="32"/>
          <w:szCs w:val="32"/>
          <w:highlight w:val="none"/>
          <w:lang w:eastAsia="zh-CN"/>
        </w:rPr>
        <w:t>）</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2" w:firstLineChars="200"/>
        <w:jc w:val="both"/>
        <w:textAlignment w:val="auto"/>
        <w:rPr>
          <w:rFonts w:hint="default" w:ascii="Times New Roman" w:hAnsi="Times New Roman" w:eastAsia="黑体" w:cs="Times New Roman"/>
          <w:color w:val="auto"/>
          <w:sz w:val="32"/>
          <w:szCs w:val="32"/>
          <w:highlight w:val="none"/>
        </w:rPr>
      </w:pPr>
      <w:r>
        <w:rPr>
          <w:rFonts w:hint="eastAsia" w:ascii="Times New Roman" w:hAnsi="Times New Roman" w:eastAsia="黑体" w:cs="Times New Roman"/>
          <w:color w:val="auto"/>
          <w:sz w:val="32"/>
          <w:szCs w:val="32"/>
          <w:highlight w:val="none"/>
          <w:lang w:val="en-US" w:eastAsia="zh-CN"/>
        </w:rPr>
        <w:t>三、</w:t>
      </w:r>
      <w:r>
        <w:rPr>
          <w:rFonts w:hint="default" w:ascii="Times New Roman" w:hAnsi="Times New Roman" w:eastAsia="黑体" w:cs="Times New Roman"/>
          <w:color w:val="auto"/>
          <w:sz w:val="32"/>
          <w:szCs w:val="32"/>
          <w:highlight w:val="none"/>
        </w:rPr>
        <w:t>工作步骤</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（一）安排部署阶段（2024年</w:t>
      </w:r>
      <w:r>
        <w:rPr>
          <w:rFonts w:hint="eastAsia" w:ascii="Times New Roman" w:hAnsi="Times New Roman" w:eastAsia="楷体_GB2312" w:cs="Times New Roman"/>
          <w:color w:val="auto"/>
          <w:sz w:val="32"/>
          <w:szCs w:val="32"/>
          <w:highlight w:val="none"/>
          <w:lang w:val="en-US" w:eastAsia="zh-CN"/>
        </w:rPr>
        <w:t>4</w:t>
      </w:r>
      <w:r>
        <w:rPr>
          <w:rFonts w:hint="default" w:ascii="Times New Roman" w:hAnsi="Times New Roman" w:eastAsia="楷体_GB2312" w:cs="Times New Roman"/>
          <w:color w:val="auto"/>
          <w:sz w:val="32"/>
          <w:szCs w:val="32"/>
          <w:highlight w:val="none"/>
          <w:lang w:val="en-US" w:eastAsia="zh-CN"/>
        </w:rPr>
        <w:t>月</w:t>
      </w:r>
      <w:r>
        <w:rPr>
          <w:rFonts w:hint="eastAsia" w:ascii="Times New Roman" w:hAnsi="Times New Roman" w:eastAsia="楷体_GB2312" w:cs="Times New Roman"/>
          <w:color w:val="auto"/>
          <w:sz w:val="32"/>
          <w:szCs w:val="32"/>
          <w:highlight w:val="none"/>
          <w:lang w:val="en-US" w:eastAsia="zh-CN"/>
        </w:rPr>
        <w:t>15</w:t>
      </w:r>
      <w:r>
        <w:rPr>
          <w:rFonts w:hint="default" w:ascii="Times New Roman" w:hAnsi="Times New Roman" w:eastAsia="楷体_GB2312" w:cs="Times New Roman"/>
          <w:color w:val="auto"/>
          <w:sz w:val="32"/>
          <w:szCs w:val="32"/>
          <w:highlight w:val="none"/>
          <w:lang w:val="en-US" w:eastAsia="zh-CN"/>
        </w:rPr>
        <w:t>日</w:t>
      </w:r>
      <w:r>
        <w:rPr>
          <w:rFonts w:hint="eastAsia" w:ascii="Times New Roman" w:hAnsi="Times New Roman" w:eastAsia="楷体_GB2312" w:cs="Times New Roman"/>
          <w:color w:val="auto"/>
          <w:sz w:val="32"/>
          <w:szCs w:val="32"/>
          <w:highlight w:val="none"/>
          <w:lang w:val="en-US" w:eastAsia="zh-CN"/>
        </w:rPr>
        <w:t>—4</w:t>
      </w:r>
      <w:r>
        <w:rPr>
          <w:rFonts w:hint="default" w:ascii="Times New Roman" w:hAnsi="Times New Roman" w:eastAsia="楷体_GB2312" w:cs="Times New Roman"/>
          <w:color w:val="auto"/>
          <w:sz w:val="32"/>
          <w:szCs w:val="32"/>
          <w:highlight w:val="none"/>
          <w:lang w:val="en-US" w:eastAsia="zh-CN"/>
        </w:rPr>
        <w:t>月</w:t>
      </w:r>
      <w:r>
        <w:rPr>
          <w:rFonts w:hint="eastAsia" w:ascii="Times New Roman" w:hAnsi="Times New Roman" w:eastAsia="楷体_GB2312" w:cs="Times New Roman"/>
          <w:color w:val="auto"/>
          <w:sz w:val="32"/>
          <w:szCs w:val="32"/>
          <w:highlight w:val="none"/>
          <w:lang w:val="en-US" w:eastAsia="zh-CN"/>
        </w:rPr>
        <w:t>30</w:t>
      </w:r>
      <w:r>
        <w:rPr>
          <w:rFonts w:hint="default" w:ascii="Times New Roman" w:hAnsi="Times New Roman" w:eastAsia="楷体_GB2312" w:cs="Times New Roman"/>
          <w:color w:val="auto"/>
          <w:sz w:val="32"/>
          <w:szCs w:val="32"/>
          <w:highlight w:val="none"/>
          <w:lang w:val="en-US" w:eastAsia="zh-CN"/>
        </w:rPr>
        <w:t>日）。</w:t>
      </w:r>
      <w:r>
        <w:rPr>
          <w:rFonts w:hint="default" w:ascii="Times New Roman" w:hAnsi="Times New Roman" w:eastAsia="仿宋_GB2312" w:cs="Times New Roman"/>
          <w:color w:val="auto"/>
          <w:sz w:val="32"/>
          <w:szCs w:val="32"/>
          <w:highlight w:val="none"/>
          <w:lang w:val="en-US" w:eastAsia="zh-CN"/>
        </w:rPr>
        <w:t>成立</w:t>
      </w:r>
      <w:r>
        <w:rPr>
          <w:rFonts w:hint="default" w:ascii="Times New Roman" w:hAnsi="Times New Roman" w:eastAsia="仿宋_GB2312" w:cs="Times New Roman"/>
          <w:color w:val="auto"/>
          <w:sz w:val="32"/>
          <w:szCs w:val="32"/>
          <w:highlight w:val="none"/>
          <w:lang w:eastAsia="zh-CN"/>
        </w:rPr>
        <w:t>环翠区</w:t>
      </w:r>
      <w:r>
        <w:rPr>
          <w:rFonts w:hint="default" w:ascii="Times New Roman" w:hAnsi="Times New Roman" w:eastAsia="仿宋_GB2312" w:cs="Times New Roman"/>
          <w:color w:val="auto"/>
          <w:sz w:val="32"/>
          <w:szCs w:val="32"/>
          <w:highlight w:val="none"/>
          <w:lang w:val="en-US" w:eastAsia="zh-CN"/>
        </w:rPr>
        <w:t>省级慢性非传染性疾病综合防控示范</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lang w:val="en-US" w:eastAsia="zh-CN"/>
        </w:rPr>
        <w:t>复审工作领导小组（见附件1）及办公室，制定实施方案，明确职责任务。召开全</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lang w:val="en-US" w:eastAsia="zh-CN"/>
        </w:rPr>
        <w:t>复审工作会议，全面安排部署复审工作。各镇</w:t>
      </w:r>
      <w:r>
        <w:rPr>
          <w:rFonts w:hint="eastAsia" w:ascii="Times New Roman" w:hAnsi="Times New Roman" w:eastAsia="仿宋_GB2312" w:cs="Times New Roman"/>
          <w:color w:val="auto"/>
          <w:sz w:val="32"/>
          <w:szCs w:val="32"/>
          <w:highlight w:val="none"/>
          <w:lang w:val="en-US" w:eastAsia="zh-CN"/>
        </w:rPr>
        <w:t>政府</w:t>
      </w:r>
      <w:r>
        <w:rPr>
          <w:rFonts w:hint="default" w:ascii="Times New Roman" w:hAnsi="Times New Roman" w:eastAsia="仿宋_GB2312" w:cs="Times New Roman"/>
          <w:color w:val="auto"/>
          <w:sz w:val="32"/>
          <w:szCs w:val="32"/>
          <w:highlight w:val="none"/>
          <w:lang w:val="en-US" w:eastAsia="zh-CN"/>
        </w:rPr>
        <w:t>（街道</w:t>
      </w:r>
      <w:r>
        <w:rPr>
          <w:rFonts w:hint="eastAsia" w:ascii="Times New Roman" w:hAnsi="Times New Roman" w:eastAsia="仿宋_GB2312" w:cs="Times New Roman"/>
          <w:color w:val="auto"/>
          <w:sz w:val="32"/>
          <w:szCs w:val="32"/>
          <w:highlight w:val="none"/>
          <w:lang w:val="en-US" w:eastAsia="zh-CN"/>
        </w:rPr>
        <w:t>办事处</w:t>
      </w:r>
      <w:r>
        <w:rPr>
          <w:rFonts w:hint="default" w:ascii="Times New Roman" w:hAnsi="Times New Roman" w:eastAsia="仿宋_GB2312" w:cs="Times New Roman"/>
          <w:color w:val="auto"/>
          <w:sz w:val="32"/>
          <w:szCs w:val="32"/>
          <w:highlight w:val="none"/>
          <w:lang w:val="en-US" w:eastAsia="zh-CN"/>
        </w:rPr>
        <w:t>）及相关单位制定切实可行的实施方案，成立组织机构，明确分管领导，至少安排1名专职联络员，负责本单位复审工作的组织和协调工作。各镇（街道）及相关单位将</w:t>
      </w:r>
      <w:r>
        <w:rPr>
          <w:rFonts w:hint="default" w:ascii="Times New Roman" w:hAnsi="Times New Roman" w:eastAsia="仿宋_GB2312" w:cs="Times New Roman"/>
          <w:color w:val="auto"/>
          <w:sz w:val="32"/>
          <w:szCs w:val="32"/>
          <w:highlight w:val="none"/>
          <w:lang w:eastAsia="zh-CN"/>
        </w:rPr>
        <w:t>分管领导和</w:t>
      </w:r>
      <w:r>
        <w:rPr>
          <w:rFonts w:hint="default" w:ascii="Times New Roman" w:hAnsi="Times New Roman" w:eastAsia="仿宋_GB2312" w:cs="Times New Roman"/>
          <w:color w:val="auto"/>
          <w:sz w:val="32"/>
          <w:szCs w:val="32"/>
          <w:highlight w:val="none"/>
          <w:lang w:val="en-US" w:eastAsia="zh-CN"/>
        </w:rPr>
        <w:t>联络员姓名及联系方式于</w:t>
      </w:r>
      <w:r>
        <w:rPr>
          <w:rFonts w:hint="eastAsia" w:ascii="Times New Roman" w:hAnsi="Times New Roman" w:eastAsia="仿宋_GB2312"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lang w:val="en-US" w:eastAsia="zh-CN"/>
        </w:rPr>
        <w:t>月</w:t>
      </w:r>
      <w:r>
        <w:rPr>
          <w:rFonts w:hint="eastAsia" w:ascii="Times New Roman" w:hAnsi="Times New Roman" w:eastAsia="仿宋_GB2312" w:cs="Times New Roman"/>
          <w:color w:val="auto"/>
          <w:sz w:val="32"/>
          <w:szCs w:val="32"/>
          <w:highlight w:val="none"/>
          <w:lang w:val="en-US" w:eastAsia="zh-CN"/>
        </w:rPr>
        <w:t>30</w:t>
      </w:r>
      <w:r>
        <w:rPr>
          <w:rFonts w:hint="default" w:ascii="Times New Roman" w:hAnsi="Times New Roman" w:eastAsia="仿宋_GB2312" w:cs="Times New Roman"/>
          <w:color w:val="auto"/>
          <w:sz w:val="32"/>
          <w:szCs w:val="32"/>
          <w:highlight w:val="none"/>
          <w:lang w:val="en-US" w:eastAsia="zh-CN"/>
        </w:rPr>
        <w:t>日前报送至环翠区省级慢性非传染性疾病综合防控示范区复审工作领导小组办公室，邮箱：</w:t>
      </w:r>
      <w:r>
        <w:rPr>
          <w:rFonts w:hint="default" w:ascii="Times New Roman" w:hAnsi="Times New Roman" w:eastAsia="仿宋_GB2312" w:cs="Times New Roman"/>
          <w:color w:val="auto"/>
          <w:sz w:val="32"/>
          <w:szCs w:val="32"/>
          <w:highlight w:val="none"/>
          <w:lang w:eastAsia="zh-CN"/>
        </w:rPr>
        <w:t>hccdcmbk2016@163.</w:t>
      </w:r>
      <w:r>
        <w:rPr>
          <w:rFonts w:hint="eastAsia" w:ascii="Times New Roman" w:hAnsi="Times New Roman" w:eastAsia="仿宋_GB2312" w:cs="Times New Roman"/>
          <w:color w:val="auto"/>
          <w:sz w:val="32"/>
          <w:szCs w:val="32"/>
          <w:highlight w:val="none"/>
          <w:lang w:val="en-US" w:eastAsia="zh-CN"/>
        </w:rPr>
        <w:t>com，</w:t>
      </w:r>
      <w:r>
        <w:rPr>
          <w:rFonts w:hint="default" w:ascii="Times New Roman" w:hAnsi="Times New Roman" w:eastAsia="仿宋_GB2312" w:cs="Times New Roman"/>
          <w:color w:val="auto"/>
          <w:sz w:val="32"/>
          <w:szCs w:val="32"/>
          <w:highlight w:val="none"/>
          <w:lang w:val="en-US" w:eastAsia="zh-CN"/>
        </w:rPr>
        <w:t>联系电话：</w:t>
      </w:r>
      <w:r>
        <w:rPr>
          <w:rFonts w:hint="default" w:ascii="Times New Roman" w:hAnsi="Times New Roman" w:eastAsia="仿宋_GB2312" w:cs="Times New Roman"/>
          <w:color w:val="auto"/>
          <w:sz w:val="32"/>
          <w:szCs w:val="32"/>
          <w:highlight w:val="none"/>
          <w:lang w:eastAsia="zh-CN"/>
        </w:rPr>
        <w:t>0631</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5221697</w:t>
      </w:r>
      <w:r>
        <w:rPr>
          <w:rFonts w:hint="default" w:ascii="Times New Roman" w:hAnsi="Times New Roman" w:eastAsia="仿宋_GB2312" w:cs="Times New Roman"/>
          <w:color w:val="auto"/>
          <w:sz w:val="32"/>
          <w:szCs w:val="32"/>
          <w:highlight w:val="none"/>
          <w:lang w:val="en-US" w:eastAsia="zh-CN"/>
        </w:rPr>
        <w:t>。</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（二）宣传动员阶段（2024年</w:t>
      </w:r>
      <w:r>
        <w:rPr>
          <w:rFonts w:hint="eastAsia" w:ascii="Times New Roman" w:hAnsi="Times New Roman" w:eastAsia="楷体_GB2312" w:cs="Times New Roman"/>
          <w:color w:val="auto"/>
          <w:sz w:val="32"/>
          <w:szCs w:val="32"/>
          <w:highlight w:val="none"/>
          <w:lang w:val="en-US" w:eastAsia="zh-CN"/>
        </w:rPr>
        <w:t>5</w:t>
      </w:r>
      <w:r>
        <w:rPr>
          <w:rFonts w:hint="default" w:ascii="Times New Roman" w:hAnsi="Times New Roman" w:eastAsia="楷体_GB2312" w:cs="Times New Roman"/>
          <w:color w:val="auto"/>
          <w:sz w:val="32"/>
          <w:szCs w:val="32"/>
          <w:highlight w:val="none"/>
          <w:lang w:val="en-US" w:eastAsia="zh-CN"/>
        </w:rPr>
        <w:t>月</w:t>
      </w:r>
      <w:r>
        <w:rPr>
          <w:rFonts w:hint="eastAsia" w:ascii="Times New Roman" w:hAnsi="Times New Roman" w:eastAsia="楷体_GB2312" w:cs="Times New Roman"/>
          <w:color w:val="auto"/>
          <w:sz w:val="32"/>
          <w:szCs w:val="32"/>
          <w:highlight w:val="none"/>
          <w:lang w:val="en-US" w:eastAsia="zh-CN"/>
        </w:rPr>
        <w:t>1</w:t>
      </w:r>
      <w:r>
        <w:rPr>
          <w:rFonts w:hint="default" w:ascii="Times New Roman" w:hAnsi="Times New Roman" w:eastAsia="楷体_GB2312" w:cs="Times New Roman"/>
          <w:color w:val="auto"/>
          <w:sz w:val="32"/>
          <w:szCs w:val="32"/>
          <w:highlight w:val="none"/>
          <w:lang w:val="en-US" w:eastAsia="zh-CN"/>
        </w:rPr>
        <w:t>日</w:t>
      </w:r>
      <w:r>
        <w:rPr>
          <w:rFonts w:hint="eastAsia" w:ascii="Times New Roman" w:hAnsi="Times New Roman" w:eastAsia="楷体_GB2312" w:cs="Times New Roman"/>
          <w:color w:val="auto"/>
          <w:sz w:val="32"/>
          <w:szCs w:val="32"/>
          <w:highlight w:val="none"/>
          <w:lang w:val="en-US" w:eastAsia="zh-CN"/>
        </w:rPr>
        <w:t>—5</w:t>
      </w:r>
      <w:r>
        <w:rPr>
          <w:rFonts w:hint="default" w:ascii="Times New Roman" w:hAnsi="Times New Roman" w:eastAsia="楷体_GB2312" w:cs="Times New Roman"/>
          <w:color w:val="auto"/>
          <w:sz w:val="32"/>
          <w:szCs w:val="32"/>
          <w:highlight w:val="none"/>
          <w:lang w:val="en-US" w:eastAsia="zh-CN"/>
        </w:rPr>
        <w:t>月</w:t>
      </w:r>
      <w:r>
        <w:rPr>
          <w:rFonts w:hint="eastAsia" w:ascii="Times New Roman" w:hAnsi="Times New Roman" w:eastAsia="楷体_GB2312" w:cs="Times New Roman"/>
          <w:color w:val="auto"/>
          <w:sz w:val="32"/>
          <w:szCs w:val="32"/>
          <w:highlight w:val="none"/>
          <w:lang w:val="en-US" w:eastAsia="zh-CN"/>
        </w:rPr>
        <w:t>10</w:t>
      </w:r>
      <w:r>
        <w:rPr>
          <w:rFonts w:hint="default" w:ascii="Times New Roman" w:hAnsi="Times New Roman" w:eastAsia="楷体_GB2312" w:cs="Times New Roman"/>
          <w:color w:val="auto"/>
          <w:sz w:val="32"/>
          <w:szCs w:val="32"/>
          <w:highlight w:val="none"/>
          <w:lang w:val="en-US" w:eastAsia="zh-CN"/>
        </w:rPr>
        <w:t>日）。</w:t>
      </w:r>
      <w:r>
        <w:rPr>
          <w:rFonts w:hint="eastAsia" w:ascii="Times New Roman" w:hAnsi="Times New Roman" w:eastAsia="仿宋_GB2312" w:cs="Times New Roman"/>
          <w:color w:val="auto"/>
          <w:sz w:val="32"/>
          <w:szCs w:val="32"/>
          <w:highlight w:val="none"/>
          <w:lang w:val="en-US" w:eastAsia="zh-CN"/>
        </w:rPr>
        <w:t>各镇（</w:t>
      </w:r>
      <w:r>
        <w:rPr>
          <w:rFonts w:hint="default" w:ascii="Times New Roman" w:hAnsi="Times New Roman" w:eastAsia="仿宋_GB2312" w:cs="Times New Roman"/>
          <w:color w:val="auto"/>
          <w:sz w:val="32"/>
          <w:szCs w:val="32"/>
          <w:highlight w:val="none"/>
          <w:lang w:val="en-US" w:eastAsia="zh-CN"/>
        </w:rPr>
        <w:t>街道</w:t>
      </w:r>
      <w:r>
        <w:rPr>
          <w:rFonts w:hint="eastAsia" w:ascii="Times New Roman" w:hAnsi="Times New Roman" w:eastAsia="仿宋_GB2312" w:cs="Times New Roman"/>
          <w:color w:val="auto"/>
          <w:sz w:val="32"/>
          <w:szCs w:val="32"/>
          <w:highlight w:val="none"/>
          <w:lang w:val="en-US" w:eastAsia="zh-CN"/>
        </w:rPr>
        <w:t>）、各相关部门</w:t>
      </w:r>
      <w:r>
        <w:rPr>
          <w:rFonts w:hint="default" w:ascii="Times New Roman" w:hAnsi="Times New Roman" w:eastAsia="仿宋_GB2312" w:cs="Times New Roman"/>
          <w:color w:val="auto"/>
          <w:sz w:val="32"/>
          <w:szCs w:val="32"/>
          <w:highlight w:val="none"/>
          <w:lang w:val="en-US" w:eastAsia="zh-CN"/>
        </w:rPr>
        <w:t>广泛动员，大力开展</w:t>
      </w:r>
      <w:r>
        <w:rPr>
          <w:rFonts w:hint="eastAsia" w:ascii="Times New Roman" w:hAnsi="Times New Roman" w:eastAsia="仿宋_GB2312" w:cs="Times New Roman"/>
          <w:color w:val="auto"/>
          <w:sz w:val="32"/>
          <w:szCs w:val="32"/>
          <w:highlight w:val="none"/>
          <w:lang w:val="en-US" w:eastAsia="zh-CN"/>
        </w:rPr>
        <w:t>示范区</w:t>
      </w:r>
      <w:r>
        <w:rPr>
          <w:rFonts w:hint="default" w:ascii="Times New Roman" w:hAnsi="Times New Roman" w:eastAsia="仿宋_GB2312" w:cs="Times New Roman"/>
          <w:color w:val="auto"/>
          <w:sz w:val="32"/>
          <w:szCs w:val="32"/>
          <w:highlight w:val="none"/>
          <w:lang w:val="en-US" w:eastAsia="zh-CN"/>
        </w:rPr>
        <w:t>复审工作宣传。举办培训会议，部署具体工作任务，进行指标解读，培训档案资料整理等工作。</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（三）组织实施阶段（2024年</w:t>
      </w:r>
      <w:r>
        <w:rPr>
          <w:rFonts w:hint="eastAsia" w:ascii="Times New Roman" w:hAnsi="Times New Roman" w:eastAsia="楷体_GB2312" w:cs="Times New Roman"/>
          <w:color w:val="auto"/>
          <w:sz w:val="32"/>
          <w:szCs w:val="32"/>
          <w:highlight w:val="none"/>
          <w:lang w:val="en-US" w:eastAsia="zh-CN"/>
        </w:rPr>
        <w:t>5</w:t>
      </w:r>
      <w:r>
        <w:rPr>
          <w:rFonts w:hint="default" w:ascii="Times New Roman" w:hAnsi="Times New Roman" w:eastAsia="楷体_GB2312" w:cs="Times New Roman"/>
          <w:color w:val="auto"/>
          <w:sz w:val="32"/>
          <w:szCs w:val="32"/>
          <w:highlight w:val="none"/>
          <w:lang w:val="en-US" w:eastAsia="zh-CN"/>
        </w:rPr>
        <w:t>月1</w:t>
      </w:r>
      <w:r>
        <w:rPr>
          <w:rFonts w:hint="eastAsia" w:ascii="Times New Roman" w:hAnsi="Times New Roman" w:eastAsia="楷体_GB2312" w:cs="Times New Roman"/>
          <w:color w:val="auto"/>
          <w:sz w:val="32"/>
          <w:szCs w:val="32"/>
          <w:highlight w:val="none"/>
          <w:lang w:val="en-US" w:eastAsia="zh-CN"/>
        </w:rPr>
        <w:t>1</w:t>
      </w:r>
      <w:r>
        <w:rPr>
          <w:rFonts w:hint="default" w:ascii="Times New Roman" w:hAnsi="Times New Roman" w:eastAsia="楷体_GB2312" w:cs="Times New Roman"/>
          <w:color w:val="auto"/>
          <w:sz w:val="32"/>
          <w:szCs w:val="32"/>
          <w:highlight w:val="none"/>
          <w:lang w:val="en-US" w:eastAsia="zh-CN"/>
        </w:rPr>
        <w:t>日</w:t>
      </w:r>
      <w:r>
        <w:rPr>
          <w:rFonts w:hint="eastAsia"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lang w:val="en-US" w:eastAsia="zh-CN"/>
        </w:rPr>
        <w:t>2024年</w:t>
      </w:r>
      <w:r>
        <w:rPr>
          <w:rFonts w:hint="eastAsia" w:ascii="Times New Roman" w:hAnsi="Times New Roman" w:eastAsia="楷体_GB2312" w:cs="Times New Roman"/>
          <w:color w:val="auto"/>
          <w:sz w:val="32"/>
          <w:szCs w:val="32"/>
          <w:highlight w:val="none"/>
          <w:lang w:val="en-US" w:eastAsia="zh-CN"/>
        </w:rPr>
        <w:t>5</w:t>
      </w:r>
      <w:r>
        <w:rPr>
          <w:rFonts w:hint="default" w:ascii="Times New Roman" w:hAnsi="Times New Roman" w:eastAsia="楷体_GB2312" w:cs="Times New Roman"/>
          <w:color w:val="auto"/>
          <w:sz w:val="32"/>
          <w:szCs w:val="32"/>
          <w:highlight w:val="none"/>
          <w:lang w:val="en-US" w:eastAsia="zh-CN"/>
        </w:rPr>
        <w:t>月</w:t>
      </w:r>
      <w:r>
        <w:rPr>
          <w:rFonts w:hint="eastAsia" w:ascii="Times New Roman" w:hAnsi="Times New Roman" w:eastAsia="楷体_GB2312" w:cs="Times New Roman"/>
          <w:color w:val="auto"/>
          <w:sz w:val="32"/>
          <w:szCs w:val="32"/>
          <w:highlight w:val="none"/>
          <w:lang w:val="en-US" w:eastAsia="zh-CN"/>
        </w:rPr>
        <w:t>31</w:t>
      </w:r>
      <w:r>
        <w:rPr>
          <w:rFonts w:hint="default" w:ascii="Times New Roman" w:hAnsi="Times New Roman" w:eastAsia="楷体_GB2312" w:cs="Times New Roman"/>
          <w:color w:val="auto"/>
          <w:sz w:val="32"/>
          <w:szCs w:val="32"/>
          <w:highlight w:val="none"/>
          <w:lang w:val="en-US" w:eastAsia="zh-CN"/>
        </w:rPr>
        <w:t>日）。</w:t>
      </w:r>
      <w:r>
        <w:rPr>
          <w:rFonts w:hint="default" w:ascii="Times New Roman" w:hAnsi="Times New Roman" w:eastAsia="仿宋_GB2312" w:cs="Times New Roman"/>
          <w:color w:val="auto"/>
          <w:sz w:val="32"/>
          <w:szCs w:val="32"/>
          <w:highlight w:val="none"/>
          <w:lang w:val="en-US" w:eastAsia="zh-CN"/>
        </w:rPr>
        <w:t>各镇（街道）及</w:t>
      </w:r>
      <w:r>
        <w:rPr>
          <w:rFonts w:hint="eastAsia" w:ascii="Times New Roman" w:hAnsi="Times New Roman" w:eastAsia="仿宋_GB2312" w:cs="Times New Roman"/>
          <w:color w:val="auto"/>
          <w:sz w:val="32"/>
          <w:szCs w:val="32"/>
          <w:highlight w:val="none"/>
          <w:lang w:eastAsia="zh-CN"/>
        </w:rPr>
        <w:t>相关</w:t>
      </w:r>
      <w:r>
        <w:rPr>
          <w:rFonts w:hint="default" w:ascii="Times New Roman" w:hAnsi="Times New Roman" w:eastAsia="仿宋_GB2312" w:cs="Times New Roman"/>
          <w:color w:val="auto"/>
          <w:sz w:val="32"/>
          <w:szCs w:val="32"/>
          <w:highlight w:val="none"/>
          <w:lang w:val="en-US" w:eastAsia="zh-CN"/>
        </w:rPr>
        <w:t>单位对照工作任务，认真开展复审各项工作，于2024年</w:t>
      </w:r>
      <w:r>
        <w:rPr>
          <w:rFonts w:hint="eastAsia" w:ascii="Times New Roman" w:hAnsi="Times New Roman" w:eastAsia="仿宋_GB2312" w:cs="Times New Roman"/>
          <w:color w:val="auto"/>
          <w:sz w:val="32"/>
          <w:szCs w:val="32"/>
          <w:highlight w:val="none"/>
          <w:lang w:val="en-US" w:eastAsia="zh-CN"/>
        </w:rPr>
        <w:t>5</w:t>
      </w:r>
      <w:r>
        <w:rPr>
          <w:rFonts w:hint="default" w:ascii="Times New Roman" w:hAnsi="Times New Roman" w:eastAsia="仿宋_GB2312" w:cs="Times New Roman"/>
          <w:color w:val="auto"/>
          <w:sz w:val="32"/>
          <w:szCs w:val="32"/>
          <w:highlight w:val="none"/>
          <w:lang w:val="en-US" w:eastAsia="zh-CN"/>
        </w:rPr>
        <w:t>月3</w:t>
      </w:r>
      <w:r>
        <w:rPr>
          <w:rFonts w:hint="eastAsia" w:ascii="Times New Roman" w:hAnsi="Times New Roman" w:eastAsia="仿宋_GB2312" w:cs="Times New Roman"/>
          <w:color w:val="auto"/>
          <w:sz w:val="32"/>
          <w:szCs w:val="32"/>
          <w:highlight w:val="none"/>
          <w:lang w:val="en-US" w:eastAsia="zh-CN"/>
        </w:rPr>
        <w:t>1</w:t>
      </w:r>
      <w:r>
        <w:rPr>
          <w:rFonts w:hint="default" w:ascii="Times New Roman" w:hAnsi="Times New Roman" w:eastAsia="仿宋_GB2312" w:cs="Times New Roman"/>
          <w:color w:val="auto"/>
          <w:sz w:val="32"/>
          <w:szCs w:val="32"/>
          <w:highlight w:val="none"/>
          <w:lang w:val="en-US" w:eastAsia="zh-CN"/>
        </w:rPr>
        <w:t>日前将</w:t>
      </w:r>
      <w:r>
        <w:rPr>
          <w:rFonts w:hint="eastAsia" w:ascii="Times New Roman" w:hAnsi="Times New Roman" w:eastAsia="仿宋_GB2312" w:cs="Times New Roman"/>
          <w:color w:val="auto"/>
          <w:sz w:val="32"/>
          <w:szCs w:val="32"/>
          <w:highlight w:val="none"/>
          <w:lang w:val="en-US" w:eastAsia="zh-CN"/>
        </w:rPr>
        <w:t>纸质</w:t>
      </w:r>
      <w:r>
        <w:rPr>
          <w:rFonts w:hint="default" w:ascii="Times New Roman" w:hAnsi="Times New Roman" w:eastAsia="仿宋_GB2312" w:cs="Times New Roman"/>
          <w:color w:val="auto"/>
          <w:sz w:val="32"/>
          <w:szCs w:val="32"/>
          <w:highlight w:val="none"/>
          <w:lang w:val="en-US" w:eastAsia="zh-CN"/>
        </w:rPr>
        <w:t>档案资料</w:t>
      </w:r>
      <w:r>
        <w:rPr>
          <w:rFonts w:hint="eastAsia" w:ascii="Times New Roman" w:hAnsi="Times New Roman" w:eastAsia="仿宋_GB2312" w:cs="Times New Roman"/>
          <w:color w:val="auto"/>
          <w:sz w:val="32"/>
          <w:szCs w:val="32"/>
          <w:highlight w:val="none"/>
          <w:lang w:val="en-US" w:eastAsia="zh-CN"/>
        </w:rPr>
        <w:t>（提供范围：2019年1月—2024年5月）</w:t>
      </w:r>
      <w:r>
        <w:rPr>
          <w:rFonts w:hint="default" w:ascii="Times New Roman" w:hAnsi="Times New Roman" w:eastAsia="仿宋_GB2312" w:cs="Times New Roman"/>
          <w:color w:val="auto"/>
          <w:sz w:val="32"/>
          <w:szCs w:val="32"/>
          <w:highlight w:val="none"/>
          <w:lang w:val="en-US" w:eastAsia="zh-CN"/>
        </w:rPr>
        <w:t>提交至环翠区省级慢性非传染性疾病综合防控示范区复审工作领导小组办公室，联系电话：</w:t>
      </w:r>
      <w:r>
        <w:rPr>
          <w:rFonts w:hint="default" w:ascii="Times New Roman" w:hAnsi="Times New Roman" w:eastAsia="仿宋_GB2312" w:cs="Times New Roman"/>
          <w:color w:val="auto"/>
          <w:sz w:val="32"/>
          <w:szCs w:val="32"/>
          <w:highlight w:val="none"/>
          <w:lang w:eastAsia="zh-CN"/>
        </w:rPr>
        <w:t>0631</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eastAsia="zh-CN"/>
        </w:rPr>
        <w:t>5221697</w:t>
      </w:r>
      <w:r>
        <w:rPr>
          <w:rFonts w:hint="default" w:ascii="Times New Roman" w:hAnsi="Times New Roman" w:eastAsia="仿宋_GB2312" w:cs="Times New Roman"/>
          <w:color w:val="auto"/>
          <w:sz w:val="32"/>
          <w:szCs w:val="32"/>
          <w:highlight w:val="none"/>
          <w:lang w:val="en-US" w:eastAsia="zh-CN"/>
        </w:rPr>
        <w:t>。</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（四）自评验收阶段（2024年6月1日</w:t>
      </w:r>
      <w:r>
        <w:rPr>
          <w:rFonts w:hint="eastAsia" w:ascii="Times New Roman" w:hAnsi="Times New Roman" w:eastAsia="楷体_GB2312" w:cs="Times New Roman"/>
          <w:color w:val="auto"/>
          <w:sz w:val="32"/>
          <w:szCs w:val="32"/>
          <w:highlight w:val="none"/>
          <w:lang w:val="en-US" w:eastAsia="zh-CN"/>
        </w:rPr>
        <w:t>—6</w:t>
      </w:r>
      <w:r>
        <w:rPr>
          <w:rFonts w:hint="default" w:ascii="Times New Roman" w:hAnsi="Times New Roman" w:eastAsia="楷体_GB2312" w:cs="Times New Roman"/>
          <w:color w:val="auto"/>
          <w:sz w:val="32"/>
          <w:szCs w:val="32"/>
          <w:highlight w:val="none"/>
          <w:lang w:val="en-US" w:eastAsia="zh-CN"/>
        </w:rPr>
        <w:t>月</w:t>
      </w:r>
      <w:r>
        <w:rPr>
          <w:rFonts w:hint="eastAsia" w:ascii="Times New Roman" w:hAnsi="Times New Roman" w:eastAsia="楷体_GB2312" w:cs="Times New Roman"/>
          <w:color w:val="auto"/>
          <w:sz w:val="32"/>
          <w:szCs w:val="32"/>
          <w:highlight w:val="none"/>
          <w:lang w:val="en-US" w:eastAsia="zh-CN"/>
        </w:rPr>
        <w:t>30</w:t>
      </w:r>
      <w:r>
        <w:rPr>
          <w:rFonts w:hint="default" w:ascii="Times New Roman" w:hAnsi="Times New Roman" w:eastAsia="楷体_GB2312" w:cs="Times New Roman"/>
          <w:color w:val="auto"/>
          <w:sz w:val="32"/>
          <w:szCs w:val="32"/>
          <w:highlight w:val="none"/>
          <w:lang w:val="en-US" w:eastAsia="zh-CN"/>
        </w:rPr>
        <w:t>日）。</w:t>
      </w:r>
      <w:r>
        <w:rPr>
          <w:rFonts w:hint="default" w:ascii="Times New Roman" w:hAnsi="Times New Roman" w:eastAsia="仿宋_GB2312" w:cs="Times New Roman"/>
          <w:color w:val="auto"/>
          <w:sz w:val="32"/>
          <w:szCs w:val="32"/>
          <w:highlight w:val="none"/>
          <w:lang w:val="en-US" w:eastAsia="zh-CN"/>
        </w:rPr>
        <w:t>按照《山东省</w:t>
      </w:r>
      <w:r>
        <w:rPr>
          <w:rFonts w:hint="default" w:ascii="Times New Roman" w:hAnsi="Times New Roman" w:eastAsia="仿宋_GB2312" w:cs="Times New Roman"/>
          <w:color w:val="auto"/>
          <w:sz w:val="32"/>
          <w:szCs w:val="32"/>
          <w:highlight w:val="none"/>
          <w:lang w:eastAsia="zh-CN"/>
        </w:rPr>
        <w:t>慢性非传染性疾病综合防控示范区建设评价指标体系</w:t>
      </w:r>
      <w:r>
        <w:rPr>
          <w:rFonts w:hint="default" w:ascii="Times New Roman" w:hAnsi="Times New Roman" w:eastAsia="仿宋_GB2312" w:cs="Times New Roman"/>
          <w:color w:val="auto"/>
          <w:sz w:val="32"/>
          <w:szCs w:val="32"/>
          <w:highlight w:val="none"/>
          <w:lang w:val="en-US" w:eastAsia="zh-CN"/>
        </w:rPr>
        <w:t>》（附件2），各单位对复审工作进行自评。复审领导小组办公室对各单位工作开展督导检查，</w:t>
      </w:r>
      <w:r>
        <w:rPr>
          <w:rFonts w:hint="eastAsia" w:ascii="Times New Roman" w:hAnsi="Times New Roman" w:eastAsia="仿宋_GB2312" w:cs="Times New Roman"/>
          <w:color w:val="auto"/>
          <w:sz w:val="32"/>
          <w:szCs w:val="32"/>
          <w:highlight w:val="none"/>
          <w:lang w:val="en-US" w:eastAsia="zh-CN"/>
        </w:rPr>
        <w:t>并</w:t>
      </w:r>
      <w:r>
        <w:rPr>
          <w:rFonts w:hint="default" w:ascii="Times New Roman" w:hAnsi="Times New Roman" w:eastAsia="仿宋_GB2312" w:cs="Times New Roman"/>
          <w:color w:val="auto"/>
          <w:sz w:val="32"/>
          <w:szCs w:val="32"/>
          <w:highlight w:val="none"/>
          <w:lang w:val="en-US" w:eastAsia="zh-CN"/>
        </w:rPr>
        <w:t>逐单位进行验收。2024年</w:t>
      </w:r>
      <w:r>
        <w:rPr>
          <w:rFonts w:hint="eastAsia" w:ascii="Times New Roman" w:hAnsi="Times New Roman" w:eastAsia="仿宋_GB2312" w:cs="Times New Roman"/>
          <w:color w:val="auto"/>
          <w:sz w:val="32"/>
          <w:szCs w:val="32"/>
          <w:highlight w:val="none"/>
          <w:lang w:val="en-US" w:eastAsia="zh-CN"/>
        </w:rPr>
        <w:t>6</w:t>
      </w:r>
      <w:r>
        <w:rPr>
          <w:rFonts w:hint="default" w:ascii="Times New Roman" w:hAnsi="Times New Roman" w:eastAsia="仿宋_GB2312" w:cs="Times New Roman"/>
          <w:color w:val="auto"/>
          <w:sz w:val="32"/>
          <w:szCs w:val="32"/>
          <w:highlight w:val="none"/>
          <w:lang w:val="en-US" w:eastAsia="zh-CN"/>
        </w:rPr>
        <w:t>月</w:t>
      </w:r>
      <w:r>
        <w:rPr>
          <w:rFonts w:hint="eastAsia" w:ascii="Times New Roman" w:hAnsi="Times New Roman" w:eastAsia="仿宋_GB2312" w:cs="Times New Roman"/>
          <w:color w:val="auto"/>
          <w:sz w:val="32"/>
          <w:szCs w:val="32"/>
          <w:highlight w:val="none"/>
          <w:lang w:val="en-US" w:eastAsia="zh-CN"/>
        </w:rPr>
        <w:t>30</w:t>
      </w:r>
      <w:r>
        <w:rPr>
          <w:rFonts w:hint="default" w:ascii="Times New Roman" w:hAnsi="Times New Roman" w:eastAsia="仿宋_GB2312" w:cs="Times New Roman"/>
          <w:color w:val="auto"/>
          <w:sz w:val="32"/>
          <w:szCs w:val="32"/>
          <w:highlight w:val="none"/>
          <w:lang w:val="en-US" w:eastAsia="zh-CN"/>
        </w:rPr>
        <w:t>日前，复审领导小组办公室将复审表、自评表、示范</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lang w:val="en-US" w:eastAsia="zh-CN"/>
        </w:rPr>
        <w:t>工作报告、</w:t>
      </w:r>
      <w:r>
        <w:rPr>
          <w:rFonts w:hint="eastAsia" w:ascii="Times New Roman" w:hAnsi="Times New Roman" w:eastAsia="仿宋_GB2312" w:cs="Times New Roman"/>
          <w:color w:val="auto"/>
          <w:sz w:val="32"/>
          <w:szCs w:val="32"/>
          <w:highlight w:val="none"/>
          <w:lang w:val="en-US" w:eastAsia="zh-CN"/>
        </w:rPr>
        <w:t>社会因素调查</w:t>
      </w:r>
      <w:r>
        <w:rPr>
          <w:rFonts w:hint="default" w:ascii="Times New Roman" w:hAnsi="Times New Roman" w:eastAsia="仿宋_GB2312" w:cs="Times New Roman"/>
          <w:color w:val="auto"/>
          <w:sz w:val="32"/>
          <w:szCs w:val="32"/>
          <w:highlight w:val="none"/>
          <w:lang w:val="en-US" w:eastAsia="zh-CN"/>
        </w:rPr>
        <w:t>报告</w:t>
      </w:r>
      <w:r>
        <w:rPr>
          <w:rFonts w:hint="eastAsia" w:ascii="Times New Roman" w:hAnsi="Times New Roman" w:eastAsia="仿宋_GB2312" w:cs="Times New Roman"/>
          <w:color w:val="auto"/>
          <w:sz w:val="32"/>
          <w:szCs w:val="32"/>
          <w:highlight w:val="none"/>
          <w:lang w:val="en-US" w:eastAsia="zh-CN"/>
        </w:rPr>
        <w:t>、典型特色案例等</w:t>
      </w:r>
      <w:r>
        <w:rPr>
          <w:rFonts w:hint="default" w:ascii="Times New Roman" w:hAnsi="Times New Roman" w:eastAsia="仿宋_GB2312" w:cs="Times New Roman"/>
          <w:color w:val="auto"/>
          <w:sz w:val="32"/>
          <w:szCs w:val="32"/>
          <w:highlight w:val="none"/>
          <w:lang w:eastAsia="zh-CN"/>
        </w:rPr>
        <w:t>整理好并提交验收申请，等待省级专家组的评审验收</w:t>
      </w:r>
      <w:r>
        <w:rPr>
          <w:rFonts w:hint="default" w:ascii="Times New Roman" w:hAnsi="Times New Roman" w:eastAsia="仿宋_GB2312" w:cs="Times New Roman"/>
          <w:color w:val="auto"/>
          <w:sz w:val="32"/>
          <w:szCs w:val="32"/>
          <w:highlight w:val="none"/>
          <w:lang w:val="en-US" w:eastAsia="zh-CN"/>
        </w:rPr>
        <w:t>。</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楷体_GB2312" w:cs="Times New Roman"/>
          <w:color w:val="auto"/>
          <w:sz w:val="32"/>
          <w:szCs w:val="32"/>
          <w:highlight w:val="none"/>
          <w:lang w:val="en-US" w:eastAsia="zh-CN"/>
        </w:rPr>
        <w:t>（五）现场考评阶段（2024年7月1日</w:t>
      </w:r>
      <w:r>
        <w:rPr>
          <w:rFonts w:hint="eastAsia" w:ascii="Times New Roman" w:hAnsi="Times New Roman" w:eastAsia="楷体_GB2312" w:cs="Times New Roman"/>
          <w:color w:val="auto"/>
          <w:sz w:val="32"/>
          <w:szCs w:val="32"/>
          <w:highlight w:val="none"/>
          <w:lang w:val="en-US" w:eastAsia="zh-CN"/>
        </w:rPr>
        <w:t>—</w:t>
      </w:r>
      <w:r>
        <w:rPr>
          <w:rFonts w:hint="default" w:ascii="Times New Roman" w:hAnsi="Times New Roman" w:eastAsia="楷体_GB2312" w:cs="Times New Roman"/>
          <w:color w:val="auto"/>
          <w:sz w:val="32"/>
          <w:szCs w:val="32"/>
          <w:highlight w:val="none"/>
          <w:lang w:val="en-US" w:eastAsia="zh-CN"/>
        </w:rPr>
        <w:t>12月</w:t>
      </w:r>
      <w:r>
        <w:rPr>
          <w:rFonts w:hint="eastAsia" w:ascii="Times New Roman" w:hAnsi="Times New Roman" w:eastAsia="楷体_GB2312" w:cs="Times New Roman"/>
          <w:color w:val="auto"/>
          <w:sz w:val="32"/>
          <w:szCs w:val="32"/>
          <w:highlight w:val="none"/>
          <w:lang w:val="en-US" w:eastAsia="zh-CN"/>
        </w:rPr>
        <w:t>30</w:t>
      </w:r>
      <w:r>
        <w:rPr>
          <w:rFonts w:hint="default" w:ascii="Times New Roman" w:hAnsi="Times New Roman" w:eastAsia="楷体_GB2312" w:cs="Times New Roman"/>
          <w:color w:val="auto"/>
          <w:sz w:val="32"/>
          <w:szCs w:val="32"/>
          <w:highlight w:val="none"/>
          <w:lang w:val="en-US" w:eastAsia="zh-CN"/>
        </w:rPr>
        <w:t>日）。</w:t>
      </w:r>
      <w:r>
        <w:rPr>
          <w:rFonts w:hint="default" w:ascii="Times New Roman" w:hAnsi="Times New Roman" w:eastAsia="仿宋_GB2312" w:cs="Times New Roman"/>
          <w:color w:val="auto"/>
          <w:sz w:val="32"/>
          <w:szCs w:val="32"/>
          <w:highlight w:val="none"/>
          <w:lang w:val="en-US" w:eastAsia="zh-CN"/>
        </w:rPr>
        <w:t>接受省卫</w:t>
      </w:r>
      <w:r>
        <w:rPr>
          <w:rFonts w:hint="default" w:ascii="Times New Roman" w:hAnsi="Times New Roman" w:eastAsia="仿宋_GB2312" w:cs="Times New Roman"/>
          <w:color w:val="auto"/>
          <w:sz w:val="32"/>
          <w:szCs w:val="32"/>
          <w:highlight w:val="none"/>
          <w:lang w:eastAsia="zh-CN"/>
        </w:rPr>
        <w:t>生</w:t>
      </w:r>
      <w:r>
        <w:rPr>
          <w:rFonts w:hint="default" w:ascii="Times New Roman" w:hAnsi="Times New Roman" w:eastAsia="仿宋_GB2312" w:cs="Times New Roman"/>
          <w:color w:val="auto"/>
          <w:sz w:val="32"/>
          <w:szCs w:val="32"/>
          <w:highlight w:val="none"/>
          <w:lang w:val="en-US" w:eastAsia="zh-CN"/>
        </w:rPr>
        <w:t>健康委员会现场考评。主要听取复审工作情况介绍、与各相关部门交流座谈</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查看工作文件和档案资料、现场抽查有关单位、各镇街</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学校</w:t>
      </w:r>
      <w:r>
        <w:rPr>
          <w:rFonts w:hint="eastAsia" w:ascii="Times New Roman" w:hAnsi="Times New Roman" w:eastAsia="仿宋_GB2312" w:cs="Times New Roman"/>
          <w:color w:val="auto"/>
          <w:sz w:val="32"/>
          <w:szCs w:val="32"/>
          <w:highlight w:val="none"/>
          <w:lang w:val="en-US" w:eastAsia="zh-CN"/>
        </w:rPr>
        <w:t>、医院、社区、企业、超市、食堂、公园</w:t>
      </w:r>
      <w:r>
        <w:rPr>
          <w:rFonts w:hint="default"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步道等点位</w:t>
      </w:r>
      <w:r>
        <w:rPr>
          <w:rFonts w:hint="default" w:ascii="Times New Roman" w:hAnsi="Times New Roman" w:eastAsia="仿宋_GB2312" w:cs="Times New Roman"/>
          <w:color w:val="auto"/>
          <w:sz w:val="32"/>
          <w:szCs w:val="32"/>
          <w:highlight w:val="none"/>
          <w:lang w:val="en-US" w:eastAsia="zh-CN"/>
        </w:rPr>
        <w:t>慢性病防控示范</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lang w:val="en-US" w:eastAsia="zh-CN"/>
        </w:rPr>
        <w:t>工作落实情况。</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（六）持续推进阶段。</w:t>
      </w:r>
      <w:r>
        <w:rPr>
          <w:rFonts w:hint="default" w:ascii="Times New Roman" w:hAnsi="Times New Roman" w:eastAsia="仿宋_GB2312" w:cs="Times New Roman"/>
          <w:color w:val="auto"/>
          <w:sz w:val="32"/>
          <w:szCs w:val="32"/>
          <w:lang w:val="en-US" w:eastAsia="zh-CN"/>
        </w:rPr>
        <w:t>形成长效机制，持续开展慢性病防控工作，巩固省级慢性</w:t>
      </w:r>
      <w:r>
        <w:rPr>
          <w:rFonts w:hint="eastAsia" w:ascii="Times New Roman" w:hAnsi="Times New Roman" w:eastAsia="仿宋_GB2312" w:cs="Times New Roman"/>
          <w:color w:val="auto"/>
          <w:sz w:val="32"/>
          <w:szCs w:val="32"/>
          <w:lang w:val="en-US" w:eastAsia="zh-CN"/>
        </w:rPr>
        <w:t>非传染性疾</w:t>
      </w:r>
      <w:r>
        <w:rPr>
          <w:rFonts w:hint="default" w:ascii="Times New Roman" w:hAnsi="Times New Roman" w:eastAsia="仿宋_GB2312" w:cs="Times New Roman"/>
          <w:color w:val="auto"/>
          <w:sz w:val="32"/>
          <w:szCs w:val="32"/>
          <w:lang w:val="en-US" w:eastAsia="zh-CN"/>
        </w:rPr>
        <w:t>病综合防控示范</w:t>
      </w:r>
      <w:r>
        <w:rPr>
          <w:rFonts w:hint="default"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lang w:val="en-US" w:eastAsia="zh-CN"/>
        </w:rPr>
        <w:t>建设成果，根据示范区工作要求，进一步拓展慢性病防控工作内涵。</w:t>
      </w:r>
    </w:p>
    <w:p>
      <w:pPr>
        <w:keepNext w:val="0"/>
        <w:keepLines w:val="0"/>
        <w:pageBreakBefore w:val="0"/>
        <w:widowControl w:val="0"/>
        <w:numPr>
          <w:ilvl w:val="0"/>
          <w:numId w:val="0"/>
        </w:numPr>
        <w:suppressLineNumbers w:val="0"/>
        <w:kinsoku/>
        <w:wordWrap/>
        <w:overflowPunct w:val="0"/>
        <w:topLinePunct w:val="0"/>
        <w:autoSpaceDE/>
        <w:autoSpaceDN/>
        <w:bidi w:val="0"/>
        <w:adjustRightInd/>
        <w:snapToGrid/>
        <w:spacing w:before="0" w:beforeAutospacing="0" w:afterAutospacing="0" w:line="600" w:lineRule="exact"/>
        <w:ind w:left="0" w:leftChars="0" w:firstLine="643"/>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四、保障措施</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0"/>
        <w:jc w:val="both"/>
        <w:textAlignment w:val="auto"/>
        <w:outlineLvl w:val="3"/>
        <w:rPr>
          <w:rFonts w:hint="default" w:ascii="Times New Roman" w:hAnsi="Times New Roman" w:eastAsia="楷体_GB2312" w:cs="Times New Roman"/>
          <w:bCs/>
          <w:color w:val="auto"/>
          <w:sz w:val="32"/>
          <w:szCs w:val="32"/>
          <w:lang w:eastAsia="zh-CN"/>
        </w:rPr>
      </w:pPr>
      <w:r>
        <w:rPr>
          <w:rFonts w:hint="default" w:ascii="Times New Roman" w:hAnsi="Times New Roman" w:eastAsia="楷体_GB2312" w:cs="Times New Roman"/>
          <w:bCs/>
          <w:color w:val="auto"/>
          <w:sz w:val="32"/>
          <w:szCs w:val="32"/>
        </w:rPr>
        <w:t>（一）加强领导</w:t>
      </w:r>
      <w:r>
        <w:rPr>
          <w:rFonts w:hint="default" w:ascii="Times New Roman" w:hAnsi="Times New Roman" w:eastAsia="楷体_GB2312" w:cs="Times New Roman"/>
          <w:bCs/>
          <w:color w:val="auto"/>
          <w:sz w:val="32"/>
          <w:szCs w:val="32"/>
          <w:lang w:eastAsia="zh-CN"/>
        </w:rPr>
        <w:t>，健全机制。</w:t>
      </w:r>
      <w:r>
        <w:rPr>
          <w:rFonts w:hint="default" w:ascii="Times New Roman" w:hAnsi="Times New Roman" w:eastAsia="仿宋_GB2312" w:cs="Times New Roman"/>
          <w:color w:val="auto"/>
          <w:sz w:val="32"/>
          <w:szCs w:val="32"/>
          <w:lang w:val="en-US" w:eastAsia="zh-CN"/>
        </w:rPr>
        <w:t>环翠区省级慢性非传染性疾病综合防控示范区复审工作领导小组负责省级慢病综合防控示范区复审工作，定期组织召开领导小组会议</w:t>
      </w:r>
      <w:r>
        <w:rPr>
          <w:rFonts w:hint="eastAsia" w:ascii="Times New Roman" w:hAnsi="Times New Roman" w:eastAsia="仿宋_GB2312" w:cs="Times New Roman"/>
          <w:color w:val="auto"/>
          <w:sz w:val="32"/>
          <w:szCs w:val="32"/>
          <w:lang w:val="en-US" w:eastAsia="zh-CN"/>
        </w:rPr>
        <w:t>和联络员会议等</w:t>
      </w:r>
      <w:r>
        <w:rPr>
          <w:rFonts w:hint="default" w:ascii="Times New Roman" w:hAnsi="Times New Roman" w:eastAsia="仿宋_GB2312" w:cs="Times New Roman"/>
          <w:color w:val="auto"/>
          <w:sz w:val="32"/>
          <w:szCs w:val="32"/>
          <w:lang w:val="en-US" w:eastAsia="zh-CN"/>
        </w:rPr>
        <w:t>，督促相关部门落实职责，统筹协调解决复审工作过程中存在的问题和困难，保证各项工作顺利开展。</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0"/>
        <w:jc w:val="both"/>
        <w:textAlignment w:val="auto"/>
        <w:outlineLvl w:val="3"/>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Cs/>
          <w:color w:val="auto"/>
          <w:sz w:val="32"/>
          <w:szCs w:val="32"/>
        </w:rPr>
        <w:t>（二）明确分工，压实责任。</w:t>
      </w:r>
      <w:r>
        <w:rPr>
          <w:rFonts w:hint="default" w:ascii="Times New Roman" w:hAnsi="Times New Roman" w:eastAsia="仿宋_GB2312" w:cs="Times New Roman"/>
          <w:color w:val="auto"/>
          <w:sz w:val="32"/>
          <w:szCs w:val="32"/>
          <w:lang w:eastAsia="zh-CN"/>
        </w:rPr>
        <w:t>省级</w:t>
      </w:r>
      <w:r>
        <w:rPr>
          <w:rFonts w:hint="default" w:ascii="Times New Roman" w:hAnsi="Times New Roman" w:eastAsia="仿宋_GB2312" w:cs="Times New Roman"/>
          <w:color w:val="auto"/>
          <w:sz w:val="32"/>
          <w:szCs w:val="32"/>
        </w:rPr>
        <w:t>慢性</w:t>
      </w:r>
      <w:r>
        <w:rPr>
          <w:rFonts w:hint="default" w:ascii="Times New Roman" w:hAnsi="Times New Roman" w:eastAsia="仿宋_GB2312" w:cs="Times New Roman"/>
          <w:color w:val="auto"/>
          <w:sz w:val="32"/>
          <w:szCs w:val="32"/>
          <w:lang w:eastAsia="zh-CN"/>
        </w:rPr>
        <w:t>非传染性疾</w:t>
      </w:r>
      <w:r>
        <w:rPr>
          <w:rFonts w:hint="default" w:ascii="Times New Roman" w:hAnsi="Times New Roman" w:eastAsia="仿宋_GB2312" w:cs="Times New Roman"/>
          <w:color w:val="auto"/>
          <w:sz w:val="32"/>
          <w:szCs w:val="32"/>
        </w:rPr>
        <w:t>病综合防控示范区建设，是全社会各部门共同推进的系统性工程，</w:t>
      </w:r>
      <w:r>
        <w:rPr>
          <w:rFonts w:hint="default" w:ascii="Times New Roman" w:hAnsi="Times New Roman" w:eastAsia="仿宋_GB2312" w:cs="Times New Roman"/>
          <w:color w:val="auto"/>
          <w:sz w:val="32"/>
          <w:szCs w:val="32"/>
          <w:lang w:eastAsia="zh-CN"/>
        </w:rPr>
        <w:t>省级</w:t>
      </w:r>
      <w:r>
        <w:rPr>
          <w:rFonts w:hint="default" w:ascii="Times New Roman" w:hAnsi="Times New Roman" w:eastAsia="仿宋_GB2312" w:cs="Times New Roman"/>
          <w:color w:val="auto"/>
          <w:sz w:val="32"/>
          <w:szCs w:val="32"/>
        </w:rPr>
        <w:t>慢性</w:t>
      </w:r>
      <w:r>
        <w:rPr>
          <w:rFonts w:hint="default" w:ascii="Times New Roman" w:hAnsi="Times New Roman" w:eastAsia="仿宋_GB2312" w:cs="Times New Roman"/>
          <w:color w:val="auto"/>
          <w:sz w:val="32"/>
          <w:szCs w:val="32"/>
          <w:lang w:eastAsia="zh-CN"/>
        </w:rPr>
        <w:t>非传染性疾</w:t>
      </w:r>
      <w:r>
        <w:rPr>
          <w:rFonts w:hint="default" w:ascii="Times New Roman" w:hAnsi="Times New Roman" w:eastAsia="仿宋_GB2312" w:cs="Times New Roman"/>
          <w:color w:val="auto"/>
          <w:sz w:val="32"/>
          <w:szCs w:val="32"/>
        </w:rPr>
        <w:t>病综合防控示范区复审标准包括7类</w:t>
      </w:r>
      <w:r>
        <w:rPr>
          <w:rFonts w:hint="default" w:ascii="Times New Roman" w:hAnsi="Times New Roman" w:eastAsia="仿宋_GB2312" w:cs="Times New Roman"/>
          <w:color w:val="auto"/>
          <w:sz w:val="32"/>
          <w:szCs w:val="32"/>
          <w:highlight w:val="none"/>
        </w:rPr>
        <w:t>、22项、6</w:t>
      </w:r>
      <w:r>
        <w:rPr>
          <w:rFonts w:hint="eastAsia"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个指标，涉及</w:t>
      </w:r>
      <w:r>
        <w:rPr>
          <w:rFonts w:hint="default" w:ascii="Times New Roman" w:hAnsi="Times New Roman" w:eastAsia="仿宋_GB2312" w:cs="Times New Roman"/>
          <w:color w:val="auto"/>
          <w:sz w:val="32"/>
          <w:szCs w:val="32"/>
          <w:highlight w:val="none"/>
          <w:lang w:val="en-US" w:eastAsia="zh-CN"/>
        </w:rPr>
        <w:t>32</w:t>
      </w:r>
      <w:r>
        <w:rPr>
          <w:rFonts w:hint="default" w:ascii="Times New Roman" w:hAnsi="Times New Roman" w:eastAsia="仿宋_GB2312" w:cs="Times New Roman"/>
          <w:color w:val="auto"/>
          <w:sz w:val="32"/>
          <w:szCs w:val="32"/>
          <w:highlight w:val="none"/>
          <w:lang w:eastAsia="zh-CN"/>
        </w:rPr>
        <w:t>个部门单位，</w:t>
      </w:r>
      <w:r>
        <w:rPr>
          <w:rFonts w:hint="default" w:ascii="Times New Roman" w:hAnsi="Times New Roman" w:eastAsia="仿宋_GB2312" w:cs="Times New Roman"/>
          <w:color w:val="auto"/>
          <w:sz w:val="32"/>
          <w:szCs w:val="32"/>
          <w:highlight w:val="none"/>
        </w:rPr>
        <w:t>各</w:t>
      </w:r>
      <w:r>
        <w:rPr>
          <w:rFonts w:hint="default" w:ascii="Times New Roman" w:hAnsi="Times New Roman" w:eastAsia="仿宋_GB2312" w:cs="Times New Roman"/>
          <w:color w:val="auto"/>
          <w:sz w:val="32"/>
          <w:szCs w:val="32"/>
        </w:rPr>
        <w:t>部门</w:t>
      </w:r>
      <w:r>
        <w:rPr>
          <w:rFonts w:hint="default" w:ascii="Times New Roman" w:hAnsi="Times New Roman" w:eastAsia="仿宋_GB2312" w:cs="Times New Roman"/>
          <w:color w:val="auto"/>
          <w:sz w:val="32"/>
          <w:szCs w:val="32"/>
          <w:lang w:eastAsia="zh-CN"/>
        </w:rPr>
        <w:t>单位</w:t>
      </w:r>
      <w:r>
        <w:rPr>
          <w:rFonts w:hint="default" w:ascii="Times New Roman" w:hAnsi="Times New Roman" w:eastAsia="仿宋_GB2312" w:cs="Times New Roman"/>
          <w:color w:val="auto"/>
          <w:sz w:val="32"/>
          <w:szCs w:val="32"/>
        </w:rPr>
        <w:t>要各司其职，各负其责，形成齐抓共管的良好局面，共同</w:t>
      </w:r>
      <w:r>
        <w:rPr>
          <w:rFonts w:hint="default" w:ascii="Times New Roman" w:hAnsi="Times New Roman" w:eastAsia="仿宋_GB2312" w:cs="Times New Roman"/>
          <w:color w:val="auto"/>
          <w:sz w:val="32"/>
          <w:szCs w:val="32"/>
          <w:lang w:eastAsia="zh-CN"/>
        </w:rPr>
        <w:t>做好示范区</w:t>
      </w:r>
      <w:r>
        <w:rPr>
          <w:rFonts w:hint="default" w:ascii="Times New Roman" w:hAnsi="Times New Roman" w:eastAsia="仿宋_GB2312" w:cs="Times New Roman"/>
          <w:color w:val="auto"/>
          <w:sz w:val="32"/>
          <w:szCs w:val="32"/>
        </w:rPr>
        <w:t>建设</w:t>
      </w:r>
      <w:r>
        <w:rPr>
          <w:rFonts w:hint="default" w:ascii="Times New Roman" w:hAnsi="Times New Roman" w:eastAsia="仿宋_GB2312" w:cs="Times New Roman"/>
          <w:color w:val="auto"/>
          <w:sz w:val="32"/>
          <w:szCs w:val="32"/>
          <w:lang w:eastAsia="zh-CN"/>
        </w:rPr>
        <w:t>工作</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具体责任分工详见附件</w:t>
      </w:r>
      <w:r>
        <w:rPr>
          <w:rFonts w:hint="default" w:ascii="Times New Roman" w:hAnsi="Times New Roman" w:eastAsia="仿宋_GB2312" w:cs="Times New Roman"/>
          <w:color w:val="auto"/>
          <w:sz w:val="32"/>
          <w:szCs w:val="32"/>
          <w:lang w:val="en-US" w:eastAsia="zh-CN"/>
        </w:rPr>
        <w:t>3</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640"/>
        <w:jc w:val="both"/>
        <w:textAlignment w:val="auto"/>
        <w:outlineLvl w:val="3"/>
        <w:rPr>
          <w:rFonts w:hint="default" w:ascii="Times New Roman" w:hAnsi="Times New Roman" w:eastAsia="仿宋_GB2312" w:cs="Times New Roman"/>
          <w:color w:val="auto"/>
          <w:sz w:val="32"/>
          <w:szCs w:val="32"/>
          <w:lang w:eastAsia="zh-CN"/>
        </w:rPr>
      </w:pPr>
      <w:r>
        <w:rPr>
          <w:rFonts w:hint="default" w:ascii="Times New Roman" w:hAnsi="Times New Roman" w:eastAsia="楷体_GB2312" w:cs="Times New Roman"/>
          <w:bCs/>
          <w:color w:val="auto"/>
          <w:sz w:val="32"/>
          <w:szCs w:val="32"/>
        </w:rPr>
        <w:t>（</w:t>
      </w:r>
      <w:r>
        <w:rPr>
          <w:rFonts w:hint="default" w:ascii="Times New Roman" w:hAnsi="Times New Roman" w:eastAsia="楷体_GB2312" w:cs="Times New Roman"/>
          <w:bCs/>
          <w:color w:val="auto"/>
          <w:sz w:val="32"/>
          <w:szCs w:val="32"/>
          <w:lang w:eastAsia="zh-CN"/>
        </w:rPr>
        <w:t>三</w:t>
      </w:r>
      <w:r>
        <w:rPr>
          <w:rFonts w:hint="default" w:ascii="Times New Roman" w:hAnsi="Times New Roman" w:eastAsia="楷体_GB2312" w:cs="Times New Roman"/>
          <w:bCs/>
          <w:color w:val="auto"/>
          <w:sz w:val="32"/>
          <w:szCs w:val="32"/>
        </w:rPr>
        <w:t>）强化督导</w:t>
      </w:r>
      <w:r>
        <w:rPr>
          <w:rFonts w:hint="default" w:ascii="Times New Roman" w:hAnsi="Times New Roman" w:eastAsia="楷体_GB2312" w:cs="Times New Roman"/>
          <w:bCs/>
          <w:color w:val="auto"/>
          <w:sz w:val="32"/>
          <w:szCs w:val="32"/>
          <w:lang w:eastAsia="zh-CN"/>
        </w:rPr>
        <w:t>，严格</w:t>
      </w:r>
      <w:r>
        <w:rPr>
          <w:rFonts w:hint="default" w:ascii="Times New Roman" w:hAnsi="Times New Roman" w:eastAsia="楷体_GB2312" w:cs="Times New Roman"/>
          <w:bCs/>
          <w:color w:val="auto"/>
          <w:sz w:val="32"/>
          <w:szCs w:val="32"/>
        </w:rPr>
        <w:t>评估</w:t>
      </w:r>
      <w:r>
        <w:rPr>
          <w:rFonts w:hint="eastAsia" w:ascii="Times New Roman" w:hAnsi="Times New Roman" w:eastAsia="楷体_GB2312" w:cs="Times New Roman"/>
          <w:bCs/>
          <w:color w:val="auto"/>
          <w:sz w:val="32"/>
          <w:szCs w:val="32"/>
          <w:lang w:eastAsia="zh-CN"/>
        </w:rPr>
        <w:t>。</w:t>
      </w:r>
      <w:r>
        <w:rPr>
          <w:rFonts w:hint="default" w:ascii="Times New Roman" w:hAnsi="Times New Roman" w:eastAsia="仿宋_GB2312" w:cs="Times New Roman"/>
          <w:strike w:val="0"/>
          <w:dstrike w:val="0"/>
          <w:color w:val="auto"/>
          <w:sz w:val="32"/>
          <w:szCs w:val="32"/>
          <w:highlight w:val="none"/>
          <w:u w:val="none"/>
          <w:lang w:eastAsia="zh-CN"/>
        </w:rPr>
        <w:t>各镇街、各有关部门要对示范区建设工作及时开展评估，总结建设工作经验，查找薄弱环节，不断完善各项工作指标。区</w:t>
      </w:r>
      <w:r>
        <w:rPr>
          <w:rFonts w:hint="default" w:ascii="Times New Roman" w:hAnsi="Times New Roman" w:eastAsia="仿宋_GB2312" w:cs="Times New Roman"/>
          <w:strike w:val="0"/>
          <w:dstrike w:val="0"/>
          <w:color w:val="auto"/>
          <w:sz w:val="32"/>
          <w:szCs w:val="32"/>
          <w:highlight w:val="none"/>
          <w:u w:val="none"/>
        </w:rPr>
        <w:t>慢性病综合防控工作领导小组</w:t>
      </w:r>
      <w:r>
        <w:rPr>
          <w:rFonts w:hint="default" w:ascii="Times New Roman" w:hAnsi="Times New Roman" w:eastAsia="仿宋_GB2312" w:cs="Times New Roman"/>
          <w:color w:val="auto"/>
          <w:sz w:val="32"/>
          <w:szCs w:val="32"/>
        </w:rPr>
        <w:t>办公室</w:t>
      </w:r>
      <w:r>
        <w:rPr>
          <w:rFonts w:hint="default" w:ascii="Times New Roman" w:hAnsi="Times New Roman" w:eastAsia="仿宋_GB2312" w:cs="Times New Roman"/>
          <w:color w:val="auto"/>
          <w:sz w:val="32"/>
          <w:szCs w:val="32"/>
          <w:lang w:eastAsia="zh-CN"/>
        </w:rPr>
        <w:t>负责</w:t>
      </w:r>
      <w:r>
        <w:rPr>
          <w:rFonts w:hint="default" w:ascii="Times New Roman" w:hAnsi="Times New Roman" w:eastAsia="仿宋_GB2312" w:cs="Times New Roman"/>
          <w:color w:val="auto"/>
          <w:sz w:val="32"/>
          <w:szCs w:val="32"/>
        </w:rPr>
        <w:t>制定督导检查方案，组织</w:t>
      </w:r>
      <w:r>
        <w:rPr>
          <w:rFonts w:hint="default" w:ascii="Times New Roman" w:hAnsi="Times New Roman" w:eastAsia="仿宋_GB2312" w:cs="Times New Roman"/>
          <w:color w:val="auto"/>
          <w:sz w:val="32"/>
          <w:szCs w:val="32"/>
          <w:lang w:eastAsia="zh-CN"/>
        </w:rPr>
        <w:t>开展</w:t>
      </w:r>
      <w:r>
        <w:rPr>
          <w:rFonts w:hint="default" w:ascii="Times New Roman" w:hAnsi="Times New Roman" w:eastAsia="仿宋_GB2312" w:cs="Times New Roman"/>
          <w:color w:val="auto"/>
          <w:sz w:val="32"/>
          <w:szCs w:val="32"/>
        </w:rPr>
        <w:t>经常性督导检查与考核评估，适时将督导及评估结果进行通报</w:t>
      </w:r>
      <w:r>
        <w:rPr>
          <w:rFonts w:hint="default"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firstLine="642" w:firstLineChars="200"/>
        <w:jc w:val="both"/>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1285" w:leftChars="305" w:hanging="642" w:hanging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附件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1.环翠区省级慢性非传染性疾病综合防控示范区复审</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firstLine="1605" w:firstLineChars="5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工作领导小组成员名单</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1603" w:leftChars="760" w:firstLine="0" w:firstLineChars="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2.山东省</w:t>
      </w:r>
      <w:r>
        <w:rPr>
          <w:rFonts w:hint="default" w:ascii="Times New Roman" w:hAnsi="Times New Roman" w:eastAsia="仿宋_GB2312" w:cs="Times New Roman"/>
          <w:color w:val="auto"/>
          <w:sz w:val="32"/>
          <w:szCs w:val="32"/>
        </w:rPr>
        <w:t>慢性</w:t>
      </w:r>
      <w:r>
        <w:rPr>
          <w:rFonts w:hint="default" w:ascii="Times New Roman" w:hAnsi="Times New Roman" w:eastAsia="仿宋_GB2312" w:cs="Times New Roman"/>
          <w:color w:val="auto"/>
          <w:sz w:val="32"/>
          <w:szCs w:val="32"/>
          <w:lang w:eastAsia="zh-CN"/>
        </w:rPr>
        <w:t>非传染性疾</w:t>
      </w:r>
      <w:r>
        <w:rPr>
          <w:rFonts w:hint="default" w:ascii="Times New Roman" w:hAnsi="Times New Roman" w:eastAsia="仿宋_GB2312" w:cs="Times New Roman"/>
          <w:color w:val="auto"/>
          <w:sz w:val="32"/>
          <w:szCs w:val="32"/>
        </w:rPr>
        <w:t>病综合防控示范区建设</w:t>
      </w:r>
      <w:r>
        <w:rPr>
          <w:rFonts w:hint="default" w:ascii="Times New Roman" w:hAnsi="Times New Roman" w:eastAsia="仿宋_GB2312" w:cs="Times New Roman"/>
          <w:color w:val="auto"/>
          <w:sz w:val="32"/>
          <w:szCs w:val="32"/>
          <w:lang w:eastAsia="zh-CN"/>
        </w:rPr>
        <w:t>评价</w:t>
      </w:r>
      <w:r>
        <w:rPr>
          <w:rFonts w:hint="default" w:ascii="Times New Roman" w:hAnsi="Times New Roman" w:eastAsia="仿宋_GB2312" w:cs="Times New Roman"/>
          <w:color w:val="auto"/>
          <w:sz w:val="32"/>
          <w:szCs w:val="32"/>
        </w:rPr>
        <w:t>指标</w:t>
      </w:r>
      <w:r>
        <w:rPr>
          <w:rFonts w:hint="default" w:ascii="Times New Roman" w:hAnsi="Times New Roman" w:eastAsia="仿宋_GB2312" w:cs="Times New Roman"/>
          <w:color w:val="auto"/>
          <w:sz w:val="32"/>
          <w:szCs w:val="32"/>
          <w:lang w:eastAsia="zh-CN"/>
        </w:rPr>
        <w:t>体系</w:t>
      </w:r>
      <w:r>
        <w:rPr>
          <w:rFonts w:hint="default" w:ascii="Times New Roman" w:hAnsi="Times New Roman" w:eastAsia="仿宋_GB2312" w:cs="Times New Roman"/>
          <w:color w:val="auto"/>
          <w:sz w:val="32"/>
          <w:szCs w:val="32"/>
          <w:lang w:val="en-US" w:eastAsia="zh-CN"/>
        </w:rPr>
        <w:t>及责任部门</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1605" w:leftChars="761" w:firstLine="0" w:firstLineChars="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3.环翠区省级慢性非传染性疾病综合防控示范区复审责任分</w:t>
      </w:r>
      <w:r>
        <w:rPr>
          <w:rFonts w:hint="default" w:ascii="Times New Roman" w:hAnsi="Times New Roman" w:eastAsia="仿宋_GB2312" w:cs="Times New Roman"/>
          <w:color w:val="auto"/>
          <w:sz w:val="32"/>
          <w:szCs w:val="32"/>
          <w:lang w:eastAsia="zh-CN"/>
        </w:rPr>
        <w:t>工</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firstLine="1605" w:firstLineChars="5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4.健康细胞评分指标</w:t>
      </w:r>
    </w:p>
    <w:p>
      <w:pPr>
        <w:keepNext w:val="0"/>
        <w:keepLines w:val="0"/>
        <w:pageBreakBefore w:val="0"/>
        <w:widowControl w:val="0"/>
        <w:kinsoku/>
        <w:wordWrap/>
        <w:overflowPunct/>
        <w:topLinePunct w:val="0"/>
        <w:bidi w:val="0"/>
        <w:snapToGrid/>
        <w:spacing w:line="560" w:lineRule="exact"/>
        <w:ind w:left="0" w:leftChars="0" w:right="0" w:firstLine="4012" w:firstLineChars="1250"/>
        <w:jc w:val="both"/>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bidi w:val="0"/>
        <w:snapToGrid/>
        <w:spacing w:line="560" w:lineRule="exact"/>
        <w:ind w:left="0" w:leftChars="0" w:right="0" w:firstLine="4012" w:firstLineChars="1250"/>
        <w:jc w:val="both"/>
        <w:textAlignment w:val="auto"/>
        <w:rPr>
          <w:rFonts w:hint="default" w:ascii="Times New Roman" w:hAnsi="Times New Roman" w:eastAsia="仿宋_GB2312" w:cs="Times New Roman"/>
          <w:color w:val="auto"/>
          <w:sz w:val="32"/>
          <w:szCs w:val="32"/>
        </w:rPr>
      </w:pPr>
    </w:p>
    <w:p>
      <w:pPr>
        <w:pStyle w:val="2"/>
        <w:rPr>
          <w:rFonts w:hint="default" w:ascii="Times New Roman" w:hAnsi="Times New Roman" w:eastAsia="仿宋_GB2312" w:cs="Times New Roman"/>
          <w:color w:val="auto"/>
          <w:sz w:val="32"/>
          <w:szCs w:val="32"/>
          <w:lang w:val="en-US" w:eastAsia="zh-CN"/>
        </w:rPr>
      </w:pPr>
    </w:p>
    <w:p>
      <w:pPr>
        <w:pStyle w:val="2"/>
        <w:rPr>
          <w:rFonts w:hint="default" w:ascii="Times New Roman" w:hAnsi="Times New Roman" w:eastAsia="仿宋_GB2312" w:cs="Times New Roman"/>
          <w:color w:val="auto"/>
          <w:sz w:val="32"/>
          <w:szCs w:val="32"/>
          <w:lang w:val="en-US" w:eastAsia="zh-CN"/>
        </w:rPr>
      </w:pPr>
    </w:p>
    <w:p>
      <w:pPr>
        <w:pStyle w:val="2"/>
        <w:rPr>
          <w:rFonts w:hint="default" w:ascii="Times New Roman" w:hAnsi="Times New Roman" w:eastAsia="仿宋_GB2312" w:cs="Times New Roman"/>
          <w:color w:val="auto"/>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32"/>
          <w:szCs w:val="32"/>
        </w:rPr>
      </w:pPr>
    </w:p>
    <w:p>
      <w:pPr>
        <w:pStyle w:val="2"/>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br w:type="page"/>
      </w: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eastAsia="zh-CN"/>
        </w:rPr>
        <w:t>附件</w:t>
      </w:r>
      <w:r>
        <w:rPr>
          <w:rFonts w:hint="default" w:ascii="Times New Roman" w:hAnsi="Times New Roman" w:eastAsia="黑体" w:cs="Times New Roman"/>
          <w:color w:val="auto"/>
          <w:sz w:val="32"/>
          <w:szCs w:val="32"/>
          <w:lang w:val="en-US" w:eastAsia="zh-CN"/>
        </w:rPr>
        <w:t>1</w:t>
      </w: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default" w:ascii="Times New Roman" w:hAnsi="Times New Roman" w:eastAsia="黑体" w:cs="Times New Roman"/>
          <w:color w:val="auto"/>
          <w:sz w:val="32"/>
          <w:szCs w:val="32"/>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center"/>
        <w:textAlignment w:val="auto"/>
        <w:rPr>
          <w:rFonts w:hint="default" w:ascii="Times New Roman" w:hAnsi="Times New Roman" w:eastAsia="仿宋_GB2312" w:cs="Times New Roman"/>
          <w:b/>
          <w:bCs/>
          <w:color w:val="auto"/>
          <w:sz w:val="44"/>
          <w:szCs w:val="44"/>
          <w:highlight w:val="none"/>
          <w:lang w:val="en-US" w:eastAsia="zh-CN"/>
        </w:rPr>
      </w:pPr>
      <w:r>
        <w:rPr>
          <w:rFonts w:hint="eastAsia" w:ascii="Times New Roman" w:hAnsi="Times New Roman" w:eastAsia="方正小标宋简体" w:cs="方正小标宋简体"/>
          <w:b w:val="0"/>
          <w:bCs w:val="0"/>
          <w:color w:val="auto"/>
          <w:sz w:val="44"/>
          <w:szCs w:val="44"/>
          <w:highlight w:val="none"/>
          <w:lang w:val="en-US" w:eastAsia="zh-CN"/>
        </w:rPr>
        <w:t>环翠区省级慢性非传染性疾病综合防控示范区复审工作领导小组成员名单</w:t>
      </w:r>
    </w:p>
    <w:p>
      <w:pPr>
        <w:keepNext w:val="0"/>
        <w:keepLines w:val="0"/>
        <w:pageBreakBefore w:val="0"/>
        <w:widowControl w:val="0"/>
        <w:kinsoku/>
        <w:wordWrap/>
        <w:overflowPunct/>
        <w:topLinePunct w:val="0"/>
        <w:autoSpaceDE/>
        <w:autoSpaceDN/>
        <w:bidi w:val="0"/>
        <w:adjustRightInd/>
        <w:snapToGrid/>
        <w:spacing w:line="520" w:lineRule="exact"/>
        <w:ind w:right="0"/>
        <w:jc w:val="both"/>
        <w:textAlignment w:val="auto"/>
        <w:rPr>
          <w:rFonts w:hint="default" w:ascii="Times New Roman" w:hAnsi="Times New Roman" w:eastAsia="黑体" w:cs="Times New Roman"/>
          <w:b w:val="0"/>
          <w:bCs/>
          <w:color w:val="auto"/>
          <w:sz w:val="32"/>
          <w:szCs w:val="32"/>
          <w:highlight w:val="none"/>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2" w:firstLineChars="200"/>
        <w:jc w:val="both"/>
        <w:textAlignment w:val="auto"/>
        <w:rPr>
          <w:rFonts w:hint="eastAsia" w:ascii="Times New Roman" w:hAnsi="Times New Roman" w:eastAsia="仿宋_GB2312" w:cs="Times New Roman"/>
          <w:color w:val="auto"/>
          <w:sz w:val="32"/>
          <w:szCs w:val="32"/>
          <w:highlight w:val="none"/>
          <w:lang w:val="en-US" w:eastAsia="zh-CN"/>
        </w:rPr>
      </w:pPr>
      <w:r>
        <w:rPr>
          <w:rFonts w:hint="default" w:ascii="Times New Roman" w:hAnsi="Times New Roman" w:eastAsia="黑体" w:cs="Times New Roman"/>
          <w:b w:val="0"/>
          <w:bCs/>
          <w:color w:val="auto"/>
          <w:sz w:val="32"/>
          <w:szCs w:val="32"/>
          <w:highlight w:val="none"/>
        </w:rPr>
        <w:t>组</w:t>
      </w:r>
      <w:r>
        <w:rPr>
          <w:rFonts w:hint="eastAsia" w:ascii="Times New Roman" w:hAnsi="Times New Roman" w:eastAsia="黑体" w:cs="Times New Roman"/>
          <w:b w:val="0"/>
          <w:bCs/>
          <w:color w:val="auto"/>
          <w:sz w:val="32"/>
          <w:szCs w:val="32"/>
          <w:highlight w:val="none"/>
          <w:lang w:val="en-US" w:eastAsia="zh-CN"/>
        </w:rPr>
        <w:t xml:space="preserve">  </w:t>
      </w:r>
      <w:r>
        <w:rPr>
          <w:rFonts w:hint="default" w:ascii="Times New Roman" w:hAnsi="Times New Roman" w:eastAsia="黑体" w:cs="Times New Roman"/>
          <w:b w:val="0"/>
          <w:bCs/>
          <w:color w:val="auto"/>
          <w:sz w:val="32"/>
          <w:szCs w:val="32"/>
          <w:highlight w:val="none"/>
        </w:rPr>
        <w:t>长：</w:t>
      </w:r>
      <w:r>
        <w:rPr>
          <w:rFonts w:hint="default" w:ascii="Times New Roman" w:hAnsi="Times New Roman" w:eastAsia="仿宋_GB2312" w:cs="Times New Roman"/>
          <w:color w:val="auto"/>
          <w:sz w:val="32"/>
          <w:szCs w:val="32"/>
          <w:highlight w:val="none"/>
          <w:lang w:val="en-US" w:eastAsia="zh-CN"/>
        </w:rPr>
        <w:t>于晓东</w:t>
      </w:r>
      <w:r>
        <w:rPr>
          <w:rFonts w:hint="eastAsia"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color w:val="auto"/>
          <w:sz w:val="32"/>
          <w:szCs w:val="32"/>
          <w:highlight w:val="none"/>
        </w:rPr>
        <w:t>区委副书记</w:t>
      </w:r>
      <w:r>
        <w:rPr>
          <w:rFonts w:hint="eastAsia" w:ascii="Times New Roman" w:hAnsi="Times New Roman" w:eastAsia="仿宋_GB2312" w:cs="Times New Roman"/>
          <w:color w:val="auto"/>
          <w:sz w:val="32"/>
          <w:szCs w:val="32"/>
          <w:highlight w:val="none"/>
          <w:lang w:val="en-US" w:eastAsia="zh-CN"/>
        </w:rPr>
        <w:t>，区政府区长、党组书记</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2" w:firstLineChars="200"/>
        <w:jc w:val="both"/>
        <w:textAlignment w:val="auto"/>
        <w:rPr>
          <w:rFonts w:hint="eastAsia" w:ascii="Times New Roman" w:hAnsi="Times New Roman" w:eastAsia="仿宋_GB2312" w:cs="Times New Roman"/>
          <w:color w:val="auto"/>
          <w:kern w:val="0"/>
          <w:sz w:val="32"/>
          <w:szCs w:val="32"/>
          <w:highlight w:val="none"/>
          <w:lang w:eastAsia="zh-CN"/>
        </w:rPr>
      </w:pPr>
      <w:r>
        <w:rPr>
          <w:rFonts w:hint="default" w:ascii="Times New Roman" w:hAnsi="Times New Roman" w:eastAsia="黑体" w:cs="Times New Roman"/>
          <w:color w:val="auto"/>
          <w:kern w:val="0"/>
          <w:sz w:val="32"/>
          <w:szCs w:val="32"/>
          <w:highlight w:val="none"/>
        </w:rPr>
        <w:t>副组长：</w:t>
      </w:r>
      <w:r>
        <w:rPr>
          <w:rFonts w:hint="default" w:ascii="Times New Roman" w:hAnsi="Times New Roman" w:eastAsia="仿宋_GB2312" w:cs="Times New Roman"/>
          <w:color w:val="auto"/>
          <w:sz w:val="32"/>
          <w:szCs w:val="32"/>
          <w:highlight w:val="none"/>
          <w:lang w:val="en-US" w:eastAsia="zh-CN"/>
        </w:rPr>
        <w:t>李静茹</w:t>
      </w:r>
      <w:r>
        <w:rPr>
          <w:rFonts w:hint="eastAsia" w:ascii="Times New Roman" w:hAnsi="Times New Roman" w:eastAsia="仿宋_GB2312" w:cs="Times New Roman"/>
          <w:color w:val="auto"/>
          <w:kern w:val="0"/>
          <w:sz w:val="32"/>
          <w:szCs w:val="32"/>
          <w:highlight w:val="none"/>
          <w:lang w:val="en-US" w:eastAsia="zh-CN"/>
        </w:rPr>
        <w:t xml:space="preserve">    </w:t>
      </w:r>
      <w:r>
        <w:rPr>
          <w:rFonts w:hint="default" w:ascii="Times New Roman" w:hAnsi="Times New Roman" w:eastAsia="仿宋_GB2312" w:cs="Times New Roman"/>
          <w:color w:val="auto"/>
          <w:kern w:val="0"/>
          <w:sz w:val="32"/>
          <w:szCs w:val="32"/>
          <w:highlight w:val="none"/>
        </w:rPr>
        <w:t>区政府副区长</w:t>
      </w:r>
      <w:r>
        <w:rPr>
          <w:rFonts w:hint="eastAsia" w:ascii="Times New Roman" w:hAnsi="Times New Roman" w:eastAsia="仿宋_GB2312" w:cs="Times New Roman"/>
          <w:color w:val="auto"/>
          <w:kern w:val="0"/>
          <w:sz w:val="32"/>
          <w:szCs w:val="32"/>
          <w:highlight w:val="none"/>
          <w:lang w:eastAsia="zh-CN"/>
        </w:rPr>
        <w:t>，区计生协会会长</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2" w:firstLineChars="200"/>
        <w:jc w:val="both"/>
        <w:textAlignment w:val="auto"/>
        <w:rPr>
          <w:rFonts w:hint="eastAsia" w:ascii="Times New Roman" w:hAnsi="Times New Roman" w:eastAsia="仿宋_GB2312" w:cs="Times New Roman"/>
          <w:b w:val="0"/>
          <w:bCs w:val="0"/>
          <w:color w:val="auto"/>
          <w:kern w:val="0"/>
          <w:sz w:val="32"/>
          <w:szCs w:val="32"/>
          <w:highlight w:val="none"/>
          <w:lang w:val="en-US" w:eastAsia="zh-CN"/>
        </w:rPr>
      </w:pPr>
      <w:r>
        <w:rPr>
          <w:rFonts w:hint="default" w:ascii="Times New Roman" w:hAnsi="Times New Roman" w:eastAsia="黑体" w:cs="Times New Roman"/>
          <w:color w:val="auto"/>
          <w:kern w:val="0"/>
          <w:sz w:val="32"/>
          <w:szCs w:val="32"/>
          <w:highlight w:val="none"/>
        </w:rPr>
        <w:t>成</w:t>
      </w:r>
      <w:r>
        <w:rPr>
          <w:rFonts w:hint="eastAsia" w:ascii="Times New Roman" w:hAnsi="Times New Roman" w:eastAsia="黑体" w:cs="Times New Roman"/>
          <w:color w:val="auto"/>
          <w:kern w:val="0"/>
          <w:sz w:val="32"/>
          <w:szCs w:val="32"/>
          <w:highlight w:val="none"/>
          <w:lang w:eastAsia="zh-CN"/>
        </w:rPr>
        <w:t xml:space="preserve">  </w:t>
      </w:r>
      <w:r>
        <w:rPr>
          <w:rFonts w:hint="default" w:ascii="Times New Roman" w:hAnsi="Times New Roman" w:eastAsia="黑体" w:cs="Times New Roman"/>
          <w:color w:val="auto"/>
          <w:kern w:val="0"/>
          <w:sz w:val="32"/>
          <w:szCs w:val="32"/>
          <w:highlight w:val="none"/>
        </w:rPr>
        <w:t>员：</w:t>
      </w:r>
      <w:r>
        <w:rPr>
          <w:rFonts w:hint="eastAsia" w:ascii="Times New Roman" w:hAnsi="Times New Roman" w:eastAsia="仿宋_GB2312" w:cs="仿宋_GB2312"/>
          <w:color w:val="auto"/>
          <w:kern w:val="0"/>
          <w:sz w:val="32"/>
          <w:szCs w:val="32"/>
          <w:highlight w:val="none"/>
          <w:lang w:val="en-US" w:eastAsia="zh-CN"/>
        </w:rPr>
        <w:t>阮宝勇</w:t>
      </w:r>
      <w:r>
        <w:rPr>
          <w:rFonts w:hint="eastAsia" w:ascii="Times New Roman" w:hAnsi="Times New Roman" w:eastAsia="黑体" w:cs="Times New Roman"/>
          <w:color w:val="auto"/>
          <w:kern w:val="0"/>
          <w:sz w:val="32"/>
          <w:szCs w:val="32"/>
          <w:highlight w:val="none"/>
          <w:lang w:val="en-US" w:eastAsia="zh-CN"/>
        </w:rPr>
        <w:t xml:space="preserve">    </w:t>
      </w:r>
      <w:r>
        <w:rPr>
          <w:rFonts w:hint="default" w:ascii="Times New Roman" w:hAnsi="Times New Roman" w:eastAsia="仿宋_GB2312" w:cs="Times New Roman"/>
          <w:b w:val="0"/>
          <w:bCs w:val="0"/>
          <w:color w:val="auto"/>
          <w:kern w:val="0"/>
          <w:sz w:val="32"/>
          <w:szCs w:val="32"/>
          <w:highlight w:val="none"/>
          <w:lang w:val="en-US" w:eastAsia="zh-CN"/>
        </w:rPr>
        <w:t>区委宣传部</w:t>
      </w:r>
      <w:r>
        <w:rPr>
          <w:rFonts w:hint="eastAsia" w:ascii="Times New Roman" w:hAnsi="Times New Roman" w:eastAsia="仿宋_GB2312" w:cs="Times New Roman"/>
          <w:b w:val="0"/>
          <w:bCs w:val="0"/>
          <w:color w:val="auto"/>
          <w:kern w:val="0"/>
          <w:sz w:val="32"/>
          <w:szCs w:val="32"/>
          <w:highlight w:val="none"/>
          <w:lang w:val="en-US" w:eastAsia="zh-CN"/>
        </w:rPr>
        <w:t>分管日常工作的副部长</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董威燕    </w:t>
      </w:r>
      <w:r>
        <w:rPr>
          <w:rFonts w:hint="default" w:ascii="Times New Roman" w:hAnsi="Times New Roman" w:eastAsia="仿宋_GB2312" w:cs="Times New Roman"/>
          <w:b w:val="0"/>
          <w:bCs w:val="0"/>
          <w:color w:val="auto"/>
          <w:kern w:val="0"/>
          <w:sz w:val="32"/>
          <w:szCs w:val="32"/>
          <w:highlight w:val="none"/>
          <w:lang w:val="en-US" w:eastAsia="zh-CN"/>
        </w:rPr>
        <w:t>区委区直机关工委</w:t>
      </w:r>
      <w:r>
        <w:rPr>
          <w:rFonts w:hint="eastAsia" w:ascii="Times New Roman" w:hAnsi="Times New Roman" w:eastAsia="仿宋_GB2312" w:cs="Times New Roman"/>
          <w:b w:val="0"/>
          <w:bCs w:val="0"/>
          <w:color w:val="auto"/>
          <w:kern w:val="0"/>
          <w:sz w:val="32"/>
          <w:szCs w:val="32"/>
          <w:highlight w:val="none"/>
          <w:lang w:val="en-US" w:eastAsia="zh-CN"/>
        </w:rPr>
        <w:t>书记</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Times New Roman"/>
          <w:b w:val="0"/>
          <w:bCs w:val="0"/>
          <w:color w:val="FF0000"/>
          <w:spacing w:val="-11"/>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于  超    </w:t>
      </w:r>
      <w:r>
        <w:rPr>
          <w:rFonts w:hint="default" w:ascii="Times New Roman" w:hAnsi="Times New Roman" w:eastAsia="仿宋_GB2312" w:cs="Times New Roman"/>
          <w:b w:val="0"/>
          <w:bCs w:val="0"/>
          <w:color w:val="auto"/>
          <w:spacing w:val="-11"/>
          <w:kern w:val="0"/>
          <w:sz w:val="32"/>
          <w:szCs w:val="32"/>
          <w:highlight w:val="none"/>
          <w:lang w:val="en-US" w:eastAsia="zh-CN"/>
        </w:rPr>
        <w:t>区</w:t>
      </w:r>
      <w:r>
        <w:rPr>
          <w:rFonts w:hint="eastAsia" w:ascii="Times New Roman" w:hAnsi="Times New Roman" w:eastAsia="仿宋_GB2312" w:cs="Times New Roman"/>
          <w:b w:val="0"/>
          <w:bCs w:val="0"/>
          <w:color w:val="auto"/>
          <w:spacing w:val="-11"/>
          <w:kern w:val="0"/>
          <w:sz w:val="32"/>
          <w:szCs w:val="32"/>
          <w:highlight w:val="none"/>
          <w:lang w:val="en-US" w:eastAsia="zh-CN"/>
        </w:rPr>
        <w:t>政协副主席、党组成员，区</w:t>
      </w:r>
      <w:r>
        <w:rPr>
          <w:rFonts w:hint="default" w:ascii="Times New Roman" w:hAnsi="Times New Roman" w:eastAsia="仿宋_GB2312" w:cs="Times New Roman"/>
          <w:b w:val="0"/>
          <w:bCs w:val="0"/>
          <w:color w:val="auto"/>
          <w:spacing w:val="-11"/>
          <w:kern w:val="0"/>
          <w:sz w:val="32"/>
          <w:szCs w:val="32"/>
          <w:highlight w:val="none"/>
          <w:lang w:val="en-US" w:eastAsia="zh-CN"/>
        </w:rPr>
        <w:t>总工会</w:t>
      </w:r>
      <w:r>
        <w:rPr>
          <w:rFonts w:hint="eastAsia" w:ascii="Times New Roman" w:hAnsi="Times New Roman" w:eastAsia="仿宋_GB2312" w:cs="Times New Roman"/>
          <w:b w:val="0"/>
          <w:bCs w:val="0"/>
          <w:color w:val="auto"/>
          <w:spacing w:val="-11"/>
          <w:kern w:val="0"/>
          <w:sz w:val="32"/>
          <w:szCs w:val="32"/>
          <w:highlight w:val="none"/>
          <w:lang w:val="en-US" w:eastAsia="zh-CN"/>
        </w:rPr>
        <w:t>主席、党组书记</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FF0000"/>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李俊莹    </w:t>
      </w:r>
      <w:r>
        <w:rPr>
          <w:rFonts w:hint="default" w:ascii="Times New Roman" w:hAnsi="Times New Roman" w:eastAsia="仿宋_GB2312" w:cs="Times New Roman"/>
          <w:b w:val="0"/>
          <w:bCs w:val="0"/>
          <w:color w:val="auto"/>
          <w:kern w:val="0"/>
          <w:sz w:val="32"/>
          <w:szCs w:val="32"/>
          <w:highlight w:val="none"/>
          <w:lang w:val="en-US" w:eastAsia="zh-CN"/>
        </w:rPr>
        <w:t>团区委</w:t>
      </w:r>
      <w:r>
        <w:rPr>
          <w:rFonts w:hint="eastAsia" w:ascii="Times New Roman" w:hAnsi="Times New Roman" w:eastAsia="仿宋_GB2312" w:cs="Times New Roman"/>
          <w:b w:val="0"/>
          <w:bCs w:val="0"/>
          <w:color w:val="auto"/>
          <w:kern w:val="0"/>
          <w:sz w:val="32"/>
          <w:szCs w:val="32"/>
          <w:highlight w:val="none"/>
          <w:lang w:val="en-US" w:eastAsia="zh-CN"/>
        </w:rPr>
        <w:t>书记</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张  霞    </w:t>
      </w:r>
      <w:r>
        <w:rPr>
          <w:rFonts w:hint="default" w:ascii="Times New Roman" w:hAnsi="Times New Roman" w:eastAsia="仿宋_GB2312" w:cs="Times New Roman"/>
          <w:b w:val="0"/>
          <w:bCs w:val="0"/>
          <w:color w:val="auto"/>
          <w:kern w:val="0"/>
          <w:sz w:val="32"/>
          <w:szCs w:val="32"/>
          <w:highlight w:val="none"/>
          <w:lang w:val="en-US" w:eastAsia="zh-CN"/>
        </w:rPr>
        <w:t>区妇联</w:t>
      </w:r>
      <w:r>
        <w:rPr>
          <w:rFonts w:hint="eastAsia" w:ascii="Times New Roman" w:hAnsi="Times New Roman" w:eastAsia="仿宋_GB2312" w:cs="Times New Roman"/>
          <w:b w:val="0"/>
          <w:bCs w:val="0"/>
          <w:color w:val="auto"/>
          <w:kern w:val="0"/>
          <w:sz w:val="32"/>
          <w:szCs w:val="32"/>
          <w:highlight w:val="none"/>
          <w:lang w:val="en-US" w:eastAsia="zh-CN"/>
        </w:rPr>
        <w:t>主席、党组书记、一级主任科员</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隋海航    </w:t>
      </w:r>
      <w:r>
        <w:rPr>
          <w:rFonts w:hint="default" w:ascii="Times New Roman" w:hAnsi="Times New Roman" w:eastAsia="仿宋_GB2312" w:cs="Times New Roman"/>
          <w:b w:val="0"/>
          <w:bCs w:val="0"/>
          <w:color w:val="auto"/>
          <w:kern w:val="0"/>
          <w:sz w:val="32"/>
          <w:szCs w:val="32"/>
          <w:highlight w:val="none"/>
          <w:lang w:val="en-US" w:eastAsia="zh-CN"/>
        </w:rPr>
        <w:t>区融媒体中心</w:t>
      </w:r>
      <w:r>
        <w:rPr>
          <w:rFonts w:hint="eastAsia" w:ascii="Times New Roman" w:hAnsi="Times New Roman" w:eastAsia="仿宋_GB2312" w:cs="Times New Roman"/>
          <w:b w:val="0"/>
          <w:bCs w:val="0"/>
          <w:color w:val="auto"/>
          <w:kern w:val="0"/>
          <w:sz w:val="32"/>
          <w:szCs w:val="32"/>
          <w:highlight w:val="none"/>
          <w:lang w:val="en-US" w:eastAsia="zh-CN"/>
        </w:rPr>
        <w:t>主任</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仿宋_GB2312"/>
          <w:i w:val="0"/>
          <w:iCs w:val="0"/>
          <w:caps w:val="0"/>
          <w:color w:val="000000"/>
          <w:spacing w:val="0"/>
          <w:sz w:val="32"/>
          <w:szCs w:val="32"/>
          <w:lang w:eastAsia="zh-CN"/>
        </w:rPr>
      </w:pPr>
      <w:r>
        <w:rPr>
          <w:rFonts w:hint="eastAsia" w:ascii="Times New Roman" w:hAnsi="Times New Roman" w:eastAsia="仿宋_GB2312" w:cs="仿宋_GB2312"/>
          <w:b w:val="0"/>
          <w:bCs w:val="0"/>
          <w:color w:val="auto"/>
          <w:kern w:val="0"/>
          <w:sz w:val="32"/>
          <w:szCs w:val="32"/>
          <w:highlight w:val="none"/>
          <w:lang w:val="en-US" w:eastAsia="zh-CN"/>
        </w:rPr>
        <w:t xml:space="preserve">林海涛    </w:t>
      </w:r>
      <w:r>
        <w:rPr>
          <w:rFonts w:hint="eastAsia" w:ascii="Times New Roman" w:hAnsi="Times New Roman" w:eastAsia="仿宋_GB2312" w:cs="仿宋_GB2312"/>
          <w:b w:val="0"/>
          <w:bCs w:val="0"/>
          <w:color w:val="auto"/>
          <w:w w:val="98"/>
          <w:kern w:val="0"/>
          <w:sz w:val="32"/>
          <w:szCs w:val="32"/>
          <w:highlight w:val="none"/>
          <w:lang w:val="en-US" w:eastAsia="zh-CN"/>
        </w:rPr>
        <w:t>区发展改革局</w:t>
      </w:r>
      <w:r>
        <w:rPr>
          <w:rFonts w:hint="eastAsia" w:ascii="Times New Roman" w:hAnsi="Times New Roman" w:eastAsia="仿宋_GB2312" w:cs="仿宋_GB2312"/>
          <w:i w:val="0"/>
          <w:iCs w:val="0"/>
          <w:caps w:val="0"/>
          <w:color w:val="000000"/>
          <w:spacing w:val="0"/>
          <w:w w:val="98"/>
          <w:sz w:val="32"/>
          <w:szCs w:val="32"/>
        </w:rPr>
        <w:t>局长、党组书记、四级调研员，</w:t>
      </w:r>
      <w:r>
        <w:rPr>
          <w:rFonts w:hint="eastAsia" w:ascii="Times New Roman" w:hAnsi="Times New Roman" w:eastAsia="仿宋_GB2312" w:cs="仿宋_GB2312"/>
          <w:i w:val="0"/>
          <w:iCs w:val="0"/>
          <w:caps w:val="0"/>
          <w:color w:val="000000"/>
          <w:spacing w:val="0"/>
          <w:w w:val="98"/>
          <w:sz w:val="32"/>
          <w:szCs w:val="32"/>
          <w:lang w:eastAsia="zh-CN"/>
        </w:rPr>
        <w:t>区国防动员办公室主任，区绿色低碳高质量发展先行区建设办公室主任</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仿宋_GB2312"/>
          <w:b w:val="0"/>
          <w:bCs w:val="0"/>
          <w:color w:val="FF0000"/>
          <w:kern w:val="0"/>
          <w:sz w:val="32"/>
          <w:szCs w:val="32"/>
          <w:highlight w:val="none"/>
          <w:lang w:val="en-US" w:eastAsia="zh-CN"/>
        </w:rPr>
      </w:pPr>
      <w:r>
        <w:rPr>
          <w:rFonts w:hint="eastAsia" w:ascii="Times New Roman" w:hAnsi="Times New Roman" w:eastAsia="仿宋_GB2312" w:cs="仿宋_GB2312"/>
          <w:sz w:val="32"/>
          <w:szCs w:val="32"/>
        </w:rPr>
        <w:t>于丛林</w:t>
      </w:r>
      <w:r>
        <w:rPr>
          <w:rFonts w:hint="eastAsia" w:ascii="Times New Roman" w:hAnsi="Times New Roman" w:eastAsia="仿宋_GB2312" w:cs="仿宋_GB2312"/>
          <w:b w:val="0"/>
          <w:bCs w:val="0"/>
          <w:color w:val="FF0000"/>
          <w:kern w:val="0"/>
          <w:sz w:val="32"/>
          <w:szCs w:val="32"/>
          <w:highlight w:val="none"/>
          <w:lang w:val="en-US" w:eastAsia="zh-CN"/>
        </w:rPr>
        <w:t xml:space="preserve">    </w:t>
      </w:r>
      <w:r>
        <w:rPr>
          <w:rFonts w:hint="eastAsia" w:ascii="Times New Roman" w:hAnsi="Times New Roman" w:eastAsia="仿宋_GB2312" w:cs="仿宋_GB2312"/>
          <w:b w:val="0"/>
          <w:bCs w:val="0"/>
          <w:color w:val="auto"/>
          <w:kern w:val="0"/>
          <w:sz w:val="32"/>
          <w:szCs w:val="32"/>
          <w:highlight w:val="none"/>
          <w:lang w:val="en-US" w:eastAsia="zh-CN"/>
        </w:rPr>
        <w:t>区教育和体育局</w:t>
      </w:r>
      <w:r>
        <w:rPr>
          <w:rFonts w:hint="eastAsia" w:ascii="Times New Roman" w:hAnsi="Times New Roman" w:eastAsia="仿宋_GB2312" w:cs="仿宋_GB2312"/>
          <w:sz w:val="32"/>
          <w:szCs w:val="32"/>
        </w:rPr>
        <w:t>局长</w:t>
      </w:r>
      <w:r>
        <w:rPr>
          <w:rFonts w:hint="eastAsia" w:ascii="Times New Roman" w:hAnsi="Times New Roman" w:eastAsia="仿宋_GB2312" w:cs="仿宋_GB2312"/>
          <w:sz w:val="32"/>
          <w:szCs w:val="32"/>
          <w:lang w:val="en-US" w:eastAsia="zh-CN"/>
        </w:rPr>
        <w:t>、党组书记</w:t>
      </w:r>
      <w:r>
        <w:rPr>
          <w:rFonts w:hint="eastAsia" w:ascii="Times New Roman" w:hAnsi="Times New Roman" w:eastAsia="仿宋_GB2312" w:cs="仿宋_GB2312"/>
          <w:sz w:val="32"/>
          <w:szCs w:val="32"/>
          <w:lang w:eastAsia="zh-CN"/>
        </w:rPr>
        <w:t>、四级调研员，区委教育工委常务副书记</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夏伟清    </w:t>
      </w:r>
      <w:r>
        <w:rPr>
          <w:rFonts w:hint="default" w:ascii="Times New Roman" w:hAnsi="Times New Roman" w:eastAsia="仿宋_GB2312" w:cs="Times New Roman"/>
          <w:b w:val="0"/>
          <w:bCs w:val="0"/>
          <w:color w:val="auto"/>
          <w:w w:val="92"/>
          <w:kern w:val="0"/>
          <w:sz w:val="32"/>
          <w:szCs w:val="32"/>
          <w:highlight w:val="none"/>
          <w:lang w:val="en-US" w:eastAsia="zh-CN"/>
        </w:rPr>
        <w:t>区科技局</w:t>
      </w:r>
      <w:r>
        <w:rPr>
          <w:rFonts w:hint="eastAsia" w:ascii="Times New Roman" w:hAnsi="Times New Roman" w:eastAsia="仿宋_GB2312" w:cs="Times New Roman"/>
          <w:b w:val="0"/>
          <w:bCs w:val="0"/>
          <w:color w:val="auto"/>
          <w:w w:val="92"/>
          <w:kern w:val="0"/>
          <w:sz w:val="32"/>
          <w:szCs w:val="32"/>
          <w:highlight w:val="none"/>
          <w:lang w:val="en-US" w:eastAsia="zh-CN"/>
        </w:rPr>
        <w:t>局长、党组书记、一级主任科员</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吕进柏    </w:t>
      </w:r>
      <w:r>
        <w:rPr>
          <w:rFonts w:hint="default" w:ascii="Times New Roman" w:hAnsi="Times New Roman" w:eastAsia="仿宋_GB2312" w:cs="Times New Roman"/>
          <w:b w:val="0"/>
          <w:bCs w:val="0"/>
          <w:color w:val="auto"/>
          <w:kern w:val="0"/>
          <w:sz w:val="32"/>
          <w:szCs w:val="32"/>
          <w:highlight w:val="none"/>
          <w:lang w:val="en-US" w:eastAsia="zh-CN"/>
        </w:rPr>
        <w:t>区工业和信息化局</w:t>
      </w:r>
      <w:r>
        <w:rPr>
          <w:rFonts w:hint="eastAsia" w:ascii="Times New Roman" w:hAnsi="Times New Roman" w:eastAsia="仿宋_GB2312" w:cs="Times New Roman"/>
          <w:b w:val="0"/>
          <w:bCs w:val="0"/>
          <w:color w:val="auto"/>
          <w:kern w:val="0"/>
          <w:sz w:val="32"/>
          <w:szCs w:val="32"/>
          <w:highlight w:val="none"/>
          <w:lang w:val="en-US" w:eastAsia="zh-CN"/>
        </w:rPr>
        <w:t>局长、党组书记</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杨华清    </w:t>
      </w:r>
      <w:r>
        <w:rPr>
          <w:rFonts w:hint="default" w:ascii="Times New Roman" w:hAnsi="Times New Roman" w:eastAsia="仿宋_GB2312" w:cs="Times New Roman"/>
          <w:b w:val="0"/>
          <w:bCs w:val="0"/>
          <w:color w:val="auto"/>
          <w:kern w:val="0"/>
          <w:sz w:val="32"/>
          <w:szCs w:val="32"/>
          <w:highlight w:val="none"/>
          <w:lang w:val="en-US" w:eastAsia="zh-CN"/>
        </w:rPr>
        <w:t>区民政局</w:t>
      </w:r>
      <w:r>
        <w:rPr>
          <w:rFonts w:hint="eastAsia" w:ascii="Times New Roman" w:hAnsi="Times New Roman" w:eastAsia="仿宋_GB2312" w:cs="Times New Roman"/>
          <w:b w:val="0"/>
          <w:bCs w:val="0"/>
          <w:color w:val="auto"/>
          <w:kern w:val="0"/>
          <w:sz w:val="32"/>
          <w:szCs w:val="32"/>
          <w:highlight w:val="none"/>
          <w:lang w:val="en-US" w:eastAsia="zh-CN"/>
        </w:rPr>
        <w:t>局长、党组书记</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eastAsia"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于同毅    </w:t>
      </w:r>
      <w:r>
        <w:rPr>
          <w:rFonts w:hint="default" w:ascii="Times New Roman" w:hAnsi="Times New Roman" w:eastAsia="仿宋_GB2312" w:cs="Times New Roman"/>
          <w:b w:val="0"/>
          <w:bCs w:val="0"/>
          <w:color w:val="auto"/>
          <w:w w:val="92"/>
          <w:kern w:val="0"/>
          <w:sz w:val="32"/>
          <w:szCs w:val="32"/>
          <w:highlight w:val="none"/>
          <w:lang w:val="en-US" w:eastAsia="zh-CN"/>
        </w:rPr>
        <w:t>区财政局</w:t>
      </w:r>
      <w:r>
        <w:rPr>
          <w:rFonts w:hint="eastAsia" w:ascii="Times New Roman" w:hAnsi="Times New Roman" w:eastAsia="仿宋_GB2312" w:cs="Times New Roman"/>
          <w:b w:val="0"/>
          <w:bCs w:val="0"/>
          <w:color w:val="auto"/>
          <w:w w:val="92"/>
          <w:kern w:val="0"/>
          <w:sz w:val="32"/>
          <w:szCs w:val="32"/>
          <w:highlight w:val="none"/>
          <w:lang w:val="en-US" w:eastAsia="zh-CN"/>
        </w:rPr>
        <w:t>局长、党组书记、一级主任科员</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仿宋_GB2312"/>
          <w:b w:val="0"/>
          <w:bCs w:val="0"/>
          <w:color w:val="auto"/>
          <w:kern w:val="0"/>
          <w:sz w:val="32"/>
          <w:szCs w:val="32"/>
          <w:highlight w:val="none"/>
          <w:lang w:val="en-US" w:eastAsia="zh-CN"/>
        </w:rPr>
      </w:pPr>
      <w:r>
        <w:rPr>
          <w:rFonts w:hint="eastAsia" w:ascii="Times New Roman" w:hAnsi="Times New Roman" w:eastAsia="仿宋_GB2312" w:cs="仿宋_GB2312"/>
          <w:i w:val="0"/>
          <w:iCs w:val="0"/>
          <w:caps w:val="0"/>
          <w:color w:val="000000"/>
          <w:spacing w:val="0"/>
          <w:sz w:val="32"/>
          <w:szCs w:val="32"/>
          <w:lang w:val="en-US" w:eastAsia="zh-CN"/>
        </w:rPr>
        <w:t xml:space="preserve">李  强    </w:t>
      </w:r>
      <w:r>
        <w:rPr>
          <w:rFonts w:hint="eastAsia" w:ascii="Times New Roman" w:hAnsi="Times New Roman" w:eastAsia="仿宋_GB2312" w:cs="仿宋_GB2312"/>
          <w:b w:val="0"/>
          <w:bCs w:val="0"/>
          <w:color w:val="auto"/>
          <w:kern w:val="0"/>
          <w:sz w:val="32"/>
          <w:szCs w:val="32"/>
          <w:highlight w:val="none"/>
          <w:lang w:val="en-US" w:eastAsia="zh-CN"/>
        </w:rPr>
        <w:t>区人力资源和社会保障局局长、党组书记、一级主任科员</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孟祥强    </w:t>
      </w:r>
      <w:r>
        <w:rPr>
          <w:rFonts w:hint="default" w:ascii="Times New Roman" w:hAnsi="Times New Roman" w:eastAsia="仿宋_GB2312" w:cs="Times New Roman"/>
          <w:b w:val="0"/>
          <w:bCs w:val="0"/>
          <w:color w:val="auto"/>
          <w:kern w:val="0"/>
          <w:sz w:val="32"/>
          <w:szCs w:val="32"/>
          <w:highlight w:val="none"/>
          <w:lang w:val="en-US" w:eastAsia="zh-CN"/>
        </w:rPr>
        <w:t>区住房</w:t>
      </w:r>
      <w:r>
        <w:rPr>
          <w:rFonts w:hint="default" w:ascii="Times New Roman" w:hAnsi="Times New Roman" w:eastAsia="仿宋_GB2312" w:cs="Times New Roman"/>
          <w:b w:val="0"/>
          <w:bCs w:val="0"/>
          <w:color w:val="auto"/>
          <w:kern w:val="0"/>
          <w:sz w:val="32"/>
          <w:szCs w:val="32"/>
          <w:highlight w:val="none"/>
          <w:lang w:eastAsia="zh-CN"/>
        </w:rPr>
        <w:t>和</w:t>
      </w:r>
      <w:r>
        <w:rPr>
          <w:rFonts w:hint="default" w:ascii="Times New Roman" w:hAnsi="Times New Roman" w:eastAsia="仿宋_GB2312" w:cs="Times New Roman"/>
          <w:b w:val="0"/>
          <w:bCs w:val="0"/>
          <w:color w:val="auto"/>
          <w:kern w:val="0"/>
          <w:sz w:val="32"/>
          <w:szCs w:val="32"/>
          <w:highlight w:val="none"/>
          <w:lang w:val="en-US" w:eastAsia="zh-CN"/>
        </w:rPr>
        <w:t>城乡建设局</w:t>
      </w:r>
      <w:r>
        <w:rPr>
          <w:rFonts w:hint="eastAsia" w:ascii="Times New Roman" w:hAnsi="Times New Roman" w:eastAsia="仿宋_GB2312" w:cs="Times New Roman"/>
          <w:b w:val="0"/>
          <w:bCs w:val="0"/>
          <w:color w:val="auto"/>
          <w:kern w:val="0"/>
          <w:sz w:val="32"/>
          <w:szCs w:val="32"/>
          <w:highlight w:val="none"/>
          <w:lang w:val="en-US" w:eastAsia="zh-CN"/>
        </w:rPr>
        <w:t>局长、党组书记</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刘大伟    </w:t>
      </w:r>
      <w:r>
        <w:rPr>
          <w:rFonts w:hint="default" w:ascii="Times New Roman" w:hAnsi="Times New Roman" w:eastAsia="仿宋_GB2312" w:cs="Times New Roman"/>
          <w:b w:val="0"/>
          <w:bCs w:val="0"/>
          <w:color w:val="auto"/>
          <w:w w:val="93"/>
          <w:kern w:val="0"/>
          <w:sz w:val="32"/>
          <w:szCs w:val="32"/>
          <w:highlight w:val="none"/>
          <w:lang w:val="en-US" w:eastAsia="zh-CN"/>
        </w:rPr>
        <w:t>区商务局</w:t>
      </w:r>
      <w:r>
        <w:rPr>
          <w:rFonts w:hint="eastAsia" w:ascii="Times New Roman" w:hAnsi="Times New Roman" w:eastAsia="仿宋_GB2312" w:cs="Times New Roman"/>
          <w:b w:val="0"/>
          <w:bCs w:val="0"/>
          <w:color w:val="auto"/>
          <w:w w:val="93"/>
          <w:kern w:val="0"/>
          <w:sz w:val="32"/>
          <w:szCs w:val="32"/>
          <w:highlight w:val="none"/>
          <w:lang w:val="en-US" w:eastAsia="zh-CN"/>
        </w:rPr>
        <w:t>党组书记，区外事服务中心主任</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孙远征    </w:t>
      </w:r>
      <w:r>
        <w:rPr>
          <w:rFonts w:hint="default" w:ascii="Times New Roman" w:hAnsi="Times New Roman" w:eastAsia="仿宋_GB2312" w:cs="Times New Roman"/>
          <w:b w:val="0"/>
          <w:bCs w:val="0"/>
          <w:color w:val="auto"/>
          <w:w w:val="95"/>
          <w:kern w:val="0"/>
          <w:sz w:val="32"/>
          <w:szCs w:val="32"/>
          <w:highlight w:val="none"/>
          <w:lang w:val="en-US" w:eastAsia="zh-CN"/>
        </w:rPr>
        <w:t>区文化和旅游局</w:t>
      </w:r>
      <w:r>
        <w:rPr>
          <w:rFonts w:hint="eastAsia" w:ascii="Times New Roman" w:hAnsi="Times New Roman" w:eastAsia="仿宋_GB2312" w:cs="Times New Roman"/>
          <w:b w:val="0"/>
          <w:bCs w:val="0"/>
          <w:color w:val="auto"/>
          <w:w w:val="95"/>
          <w:kern w:val="0"/>
          <w:sz w:val="32"/>
          <w:szCs w:val="32"/>
          <w:highlight w:val="none"/>
          <w:lang w:val="en-US" w:eastAsia="zh-CN"/>
        </w:rPr>
        <w:t>党组书记、一级主任科员</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胡远涛    </w:t>
      </w:r>
      <w:r>
        <w:rPr>
          <w:rFonts w:hint="default" w:ascii="Times New Roman" w:hAnsi="Times New Roman" w:eastAsia="仿宋_GB2312" w:cs="Times New Roman"/>
          <w:b w:val="0"/>
          <w:bCs w:val="0"/>
          <w:color w:val="auto"/>
          <w:kern w:val="0"/>
          <w:sz w:val="32"/>
          <w:szCs w:val="32"/>
          <w:highlight w:val="none"/>
          <w:lang w:val="en-US" w:eastAsia="zh-CN"/>
        </w:rPr>
        <w:t>区卫生健康局</w:t>
      </w:r>
      <w:r>
        <w:rPr>
          <w:rFonts w:hint="eastAsia" w:ascii="Times New Roman" w:hAnsi="Times New Roman" w:eastAsia="仿宋_GB2312" w:cs="Times New Roman"/>
          <w:b w:val="0"/>
          <w:bCs w:val="0"/>
          <w:color w:val="auto"/>
          <w:kern w:val="0"/>
          <w:sz w:val="32"/>
          <w:szCs w:val="32"/>
          <w:highlight w:val="none"/>
          <w:lang w:val="en-US" w:eastAsia="zh-CN"/>
        </w:rPr>
        <w:t>局长、党组书记、一级主任科员</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黄  晨    区市场监督管理局局长、党组书记，区知识产权局局长</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王  涛    </w:t>
      </w:r>
      <w:r>
        <w:rPr>
          <w:rFonts w:hint="default" w:ascii="Times New Roman" w:hAnsi="Times New Roman" w:eastAsia="仿宋_GB2312" w:cs="Times New Roman"/>
          <w:b w:val="0"/>
          <w:bCs w:val="0"/>
          <w:color w:val="auto"/>
          <w:kern w:val="0"/>
          <w:sz w:val="32"/>
          <w:szCs w:val="32"/>
          <w:highlight w:val="none"/>
          <w:lang w:val="en-US" w:eastAsia="zh-CN"/>
        </w:rPr>
        <w:t>区综合行政执法局</w:t>
      </w:r>
      <w:r>
        <w:rPr>
          <w:rFonts w:hint="eastAsia" w:ascii="Times New Roman" w:hAnsi="Times New Roman" w:eastAsia="仿宋_GB2312" w:cs="Times New Roman"/>
          <w:b w:val="0"/>
          <w:bCs w:val="0"/>
          <w:color w:val="auto"/>
          <w:kern w:val="0"/>
          <w:sz w:val="32"/>
          <w:szCs w:val="32"/>
          <w:highlight w:val="none"/>
          <w:lang w:val="en-US" w:eastAsia="zh-CN"/>
        </w:rPr>
        <w:t>局长、党组书记</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eastAsia"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张展霞    </w:t>
      </w:r>
      <w:r>
        <w:rPr>
          <w:rFonts w:hint="default" w:ascii="Times New Roman" w:hAnsi="Times New Roman" w:eastAsia="仿宋_GB2312" w:cs="Times New Roman"/>
          <w:b w:val="0"/>
          <w:bCs w:val="0"/>
          <w:color w:val="auto"/>
          <w:kern w:val="0"/>
          <w:sz w:val="32"/>
          <w:szCs w:val="32"/>
          <w:highlight w:val="none"/>
          <w:lang w:val="en-US" w:eastAsia="zh-CN"/>
        </w:rPr>
        <w:t>区</w:t>
      </w:r>
      <w:r>
        <w:rPr>
          <w:rFonts w:hint="eastAsia" w:ascii="Times New Roman" w:hAnsi="Times New Roman" w:eastAsia="仿宋_GB2312" w:cs="Times New Roman"/>
          <w:b w:val="0"/>
          <w:bCs w:val="0"/>
          <w:color w:val="auto"/>
          <w:kern w:val="0"/>
          <w:sz w:val="32"/>
          <w:szCs w:val="32"/>
          <w:highlight w:val="none"/>
          <w:lang w:val="en-US" w:eastAsia="zh-CN"/>
        </w:rPr>
        <w:t>医疗保障</w:t>
      </w:r>
      <w:r>
        <w:rPr>
          <w:rFonts w:hint="default" w:ascii="Times New Roman" w:hAnsi="Times New Roman" w:eastAsia="仿宋_GB2312" w:cs="Times New Roman"/>
          <w:b w:val="0"/>
          <w:bCs w:val="0"/>
          <w:color w:val="auto"/>
          <w:kern w:val="0"/>
          <w:sz w:val="32"/>
          <w:szCs w:val="32"/>
          <w:highlight w:val="none"/>
          <w:lang w:val="en-US" w:eastAsia="zh-CN"/>
        </w:rPr>
        <w:t>局</w:t>
      </w:r>
      <w:r>
        <w:rPr>
          <w:rFonts w:hint="eastAsia" w:ascii="Times New Roman" w:hAnsi="Times New Roman" w:eastAsia="仿宋_GB2312" w:cs="Times New Roman"/>
          <w:b w:val="0"/>
          <w:bCs w:val="0"/>
          <w:color w:val="auto"/>
          <w:kern w:val="0"/>
          <w:sz w:val="32"/>
          <w:szCs w:val="32"/>
          <w:highlight w:val="none"/>
          <w:lang w:val="en-US" w:eastAsia="zh-CN"/>
        </w:rPr>
        <w:t>局长</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eastAsia" w:ascii="Times New Roman" w:hAnsi="Times New Roman" w:eastAsia="仿宋_GB2312" w:cs="Times New Roman"/>
          <w:b w:val="0"/>
          <w:bCs w:val="0"/>
          <w:color w:val="FF0000"/>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徐长海    </w:t>
      </w:r>
      <w:r>
        <w:rPr>
          <w:rFonts w:hint="default" w:ascii="Times New Roman" w:hAnsi="Times New Roman" w:eastAsia="仿宋_GB2312" w:cs="Times New Roman"/>
          <w:b w:val="0"/>
          <w:bCs w:val="0"/>
          <w:color w:val="auto"/>
          <w:kern w:val="0"/>
          <w:sz w:val="32"/>
          <w:szCs w:val="32"/>
          <w:highlight w:val="none"/>
          <w:lang w:val="en-US" w:eastAsia="zh-CN"/>
        </w:rPr>
        <w:t>区市政园林</w:t>
      </w:r>
      <w:r>
        <w:rPr>
          <w:rFonts w:hint="eastAsia" w:ascii="Times New Roman" w:hAnsi="Times New Roman" w:eastAsia="仿宋_GB2312" w:cs="Times New Roman"/>
          <w:b w:val="0"/>
          <w:bCs w:val="0"/>
          <w:color w:val="auto"/>
          <w:kern w:val="0"/>
          <w:sz w:val="32"/>
          <w:szCs w:val="32"/>
          <w:highlight w:val="none"/>
          <w:lang w:val="en-US" w:eastAsia="zh-CN"/>
        </w:rPr>
        <w:t>服务</w:t>
      </w:r>
      <w:r>
        <w:rPr>
          <w:rFonts w:hint="default" w:ascii="Times New Roman" w:hAnsi="Times New Roman" w:eastAsia="仿宋_GB2312" w:cs="Times New Roman"/>
          <w:b w:val="0"/>
          <w:bCs w:val="0"/>
          <w:color w:val="auto"/>
          <w:kern w:val="0"/>
          <w:sz w:val="32"/>
          <w:szCs w:val="32"/>
          <w:highlight w:val="none"/>
          <w:lang w:val="en-US" w:eastAsia="zh-CN"/>
        </w:rPr>
        <w:t>中心</w:t>
      </w:r>
      <w:r>
        <w:rPr>
          <w:rFonts w:hint="eastAsia" w:ascii="Times New Roman" w:hAnsi="Times New Roman" w:eastAsia="仿宋_GB2312" w:cs="Times New Roman"/>
          <w:b w:val="0"/>
          <w:bCs w:val="0"/>
          <w:color w:val="auto"/>
          <w:kern w:val="0"/>
          <w:sz w:val="32"/>
          <w:szCs w:val="32"/>
          <w:highlight w:val="none"/>
          <w:lang w:val="en-US" w:eastAsia="zh-CN"/>
        </w:rPr>
        <w:t>主任</w:t>
      </w:r>
    </w:p>
    <w:p>
      <w:pPr>
        <w:keepNext w:val="0"/>
        <w:keepLines w:val="0"/>
        <w:pageBreakBefore w:val="0"/>
        <w:widowControl w:val="0"/>
        <w:kinsoku/>
        <w:wordWrap/>
        <w:overflowPunct/>
        <w:topLinePunct w:val="0"/>
        <w:autoSpaceDE/>
        <w:autoSpaceDN/>
        <w:bidi w:val="0"/>
        <w:adjustRightInd/>
        <w:snapToGrid/>
        <w:spacing w:line="560" w:lineRule="exact"/>
        <w:ind w:right="0" w:firstLine="1926" w:firstLineChars="600"/>
        <w:jc w:val="both"/>
        <w:textAlignment w:val="auto"/>
        <w:rPr>
          <w:rFonts w:hint="eastAsia"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张  军    </w:t>
      </w:r>
      <w:r>
        <w:rPr>
          <w:rFonts w:hint="default" w:ascii="Times New Roman" w:hAnsi="Times New Roman" w:eastAsia="仿宋_GB2312" w:cs="Times New Roman"/>
          <w:b w:val="0"/>
          <w:bCs w:val="0"/>
          <w:color w:val="auto"/>
          <w:kern w:val="0"/>
          <w:sz w:val="32"/>
          <w:szCs w:val="32"/>
          <w:highlight w:val="none"/>
          <w:lang w:val="en-US" w:eastAsia="zh-CN"/>
        </w:rPr>
        <w:t>公安环翠分局</w:t>
      </w:r>
      <w:r>
        <w:rPr>
          <w:rFonts w:hint="eastAsia" w:ascii="Times New Roman" w:hAnsi="Times New Roman" w:eastAsia="仿宋_GB2312" w:cs="Times New Roman"/>
          <w:b w:val="0"/>
          <w:bCs w:val="0"/>
          <w:color w:val="auto"/>
          <w:kern w:val="0"/>
          <w:sz w:val="32"/>
          <w:szCs w:val="32"/>
          <w:highlight w:val="none"/>
          <w:lang w:val="en-US" w:eastAsia="zh-CN"/>
        </w:rPr>
        <w:t>党委副书记、政委</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林  森    里口山风景名胜区管理服务中心主任、党委书记</w:t>
      </w:r>
    </w:p>
    <w:p>
      <w:pPr>
        <w:keepNext w:val="0"/>
        <w:keepLines w:val="0"/>
        <w:pageBreakBefore w:val="0"/>
        <w:widowControl w:val="0"/>
        <w:kinsoku/>
        <w:wordWrap/>
        <w:overflowPunct/>
        <w:topLinePunct w:val="0"/>
        <w:autoSpaceDE/>
        <w:autoSpaceDN/>
        <w:bidi w:val="0"/>
        <w:adjustRightInd/>
        <w:snapToGrid/>
        <w:spacing w:line="560" w:lineRule="exact"/>
        <w:ind w:left="3529" w:leftChars="912" w:right="0" w:hanging="1605" w:hangingChars="500"/>
        <w:jc w:val="both"/>
        <w:textAlignment w:val="auto"/>
        <w:rPr>
          <w:rFonts w:hint="eastAsia" w:ascii="Times New Roman" w:hAnsi="Times New Roman" w:eastAsia="仿宋_GB2312" w:cs="仿宋_GB2312"/>
          <w:b w:val="0"/>
          <w:bCs w:val="0"/>
          <w:color w:val="auto"/>
          <w:kern w:val="0"/>
          <w:sz w:val="32"/>
          <w:szCs w:val="32"/>
          <w:highlight w:val="none"/>
          <w:lang w:val="en-US" w:eastAsia="zh-CN"/>
        </w:rPr>
      </w:pPr>
      <w:r>
        <w:rPr>
          <w:rFonts w:hint="eastAsia" w:ascii="Times New Roman" w:hAnsi="Times New Roman" w:eastAsia="仿宋_GB2312" w:cs="仿宋_GB2312"/>
          <w:sz w:val="32"/>
          <w:szCs w:val="32"/>
        </w:rPr>
        <w:t>谢林君</w:t>
      </w:r>
      <w:r>
        <w:rPr>
          <w:rFonts w:hint="eastAsia" w:ascii="Times New Roman" w:hAnsi="Times New Roman" w:eastAsia="仿宋_GB2312" w:cs="仿宋_GB2312"/>
          <w:sz w:val="32"/>
          <w:szCs w:val="32"/>
          <w:lang w:val="en-US" w:eastAsia="zh-CN"/>
        </w:rPr>
        <w:t xml:space="preserve">    </w:t>
      </w:r>
      <w:r>
        <w:rPr>
          <w:rFonts w:hint="eastAsia" w:ascii="Times New Roman" w:hAnsi="Times New Roman" w:eastAsia="仿宋_GB2312" w:cs="仿宋_GB2312"/>
          <w:b w:val="0"/>
          <w:bCs w:val="0"/>
          <w:color w:val="auto"/>
          <w:kern w:val="0"/>
          <w:sz w:val="32"/>
          <w:szCs w:val="32"/>
          <w:highlight w:val="none"/>
          <w:lang w:val="en-US" w:eastAsia="zh-CN"/>
        </w:rPr>
        <w:t>羊亭镇</w:t>
      </w:r>
      <w:r>
        <w:rPr>
          <w:rFonts w:hint="eastAsia" w:ascii="Times New Roman" w:hAnsi="Times New Roman" w:eastAsia="仿宋_GB2312" w:cs="仿宋_GB2312"/>
          <w:sz w:val="32"/>
          <w:szCs w:val="32"/>
        </w:rPr>
        <w:t>党委副书记、镇长，</w:t>
      </w:r>
      <w:r>
        <w:rPr>
          <w:rFonts w:hint="eastAsia" w:ascii="Times New Roman" w:hAnsi="Times New Roman" w:eastAsia="仿宋_GB2312" w:cs="仿宋_GB2312"/>
          <w:sz w:val="32"/>
          <w:szCs w:val="32"/>
          <w:lang w:eastAsia="zh-CN"/>
        </w:rPr>
        <w:t>区</w:t>
      </w:r>
      <w:r>
        <w:rPr>
          <w:rFonts w:hint="eastAsia" w:ascii="Times New Roman" w:hAnsi="Times New Roman" w:eastAsia="仿宋_GB2312" w:cs="仿宋_GB2312"/>
          <w:sz w:val="32"/>
          <w:szCs w:val="32"/>
        </w:rPr>
        <w:t>中德生态产业服务中心主任</w:t>
      </w:r>
    </w:p>
    <w:p>
      <w:pPr>
        <w:keepNext w:val="0"/>
        <w:keepLines w:val="0"/>
        <w:pageBreakBefore w:val="0"/>
        <w:widowControl w:val="0"/>
        <w:kinsoku/>
        <w:wordWrap/>
        <w:overflowPunct/>
        <w:topLinePunct w:val="0"/>
        <w:autoSpaceDE/>
        <w:autoSpaceDN/>
        <w:bidi w:val="0"/>
        <w:adjustRightInd/>
        <w:snapToGrid/>
        <w:spacing w:line="560" w:lineRule="exact"/>
        <w:ind w:left="3529" w:leftChars="912" w:hanging="1605" w:hangingChars="500"/>
        <w:textAlignment w:val="auto"/>
        <w:rPr>
          <w:rFonts w:hint="default" w:ascii="Times New Roman" w:hAnsi="Times New Roman" w:eastAsia="仿宋_GB2312" w:cs="Times New Roman"/>
          <w:b w:val="0"/>
          <w:bCs w:val="0"/>
          <w:color w:val="auto"/>
          <w:spacing w:val="0"/>
          <w:kern w:val="0"/>
          <w:sz w:val="32"/>
          <w:szCs w:val="32"/>
          <w:highlight w:val="none"/>
          <w:lang w:val="en-US" w:eastAsia="zh-CN"/>
        </w:rPr>
      </w:pPr>
      <w:r>
        <w:rPr>
          <w:rFonts w:hint="eastAsia" w:ascii="Times New Roman" w:hAnsi="Times New Roman" w:eastAsia="仿宋_GB2312" w:cs="仿宋_GB2312"/>
          <w:i w:val="0"/>
          <w:iCs w:val="0"/>
          <w:caps w:val="0"/>
          <w:color w:val="000000"/>
          <w:spacing w:val="0"/>
          <w:sz w:val="32"/>
          <w:szCs w:val="32"/>
        </w:rPr>
        <w:t>邹立凯</w:t>
      </w:r>
      <w:r>
        <w:rPr>
          <w:rFonts w:hint="eastAsia" w:ascii="Times New Roman" w:hAnsi="Times New Roman" w:eastAsia="仿宋_GB2312" w:cs="仿宋_GB2312"/>
          <w:i w:val="0"/>
          <w:iCs w:val="0"/>
          <w:caps w:val="0"/>
          <w:color w:val="000000"/>
          <w:spacing w:val="0"/>
          <w:sz w:val="32"/>
          <w:szCs w:val="32"/>
          <w:lang w:eastAsia="zh-CN"/>
        </w:rPr>
        <w:t xml:space="preserve"> </w:t>
      </w:r>
      <w:r>
        <w:rPr>
          <w:rFonts w:hint="eastAsia" w:ascii="Times New Roman" w:hAnsi="Times New Roman" w:eastAsia="仿宋_GB2312" w:cs="仿宋_GB2312"/>
          <w:i w:val="0"/>
          <w:iCs w:val="0"/>
          <w:caps w:val="0"/>
          <w:color w:val="000000"/>
          <w:spacing w:val="0"/>
          <w:sz w:val="32"/>
          <w:szCs w:val="32"/>
          <w:lang w:val="en-US" w:eastAsia="zh-CN"/>
        </w:rPr>
        <w:t xml:space="preserve">   </w:t>
      </w:r>
      <w:r>
        <w:rPr>
          <w:rFonts w:hint="eastAsia" w:ascii="Times New Roman" w:hAnsi="Times New Roman" w:eastAsia="仿宋_GB2312" w:cs="仿宋_GB2312"/>
          <w:b w:val="0"/>
          <w:bCs w:val="0"/>
          <w:color w:val="auto"/>
          <w:spacing w:val="0"/>
          <w:kern w:val="0"/>
          <w:sz w:val="32"/>
          <w:szCs w:val="32"/>
          <w:highlight w:val="none"/>
          <w:lang w:val="en-US" w:eastAsia="zh-CN"/>
        </w:rPr>
        <w:t>环翠省级旅游度假区</w:t>
      </w:r>
      <w:r>
        <w:rPr>
          <w:rFonts w:hint="eastAsia" w:ascii="Times New Roman" w:hAnsi="Times New Roman" w:eastAsia="仿宋_GB2312" w:cs="仿宋_GB2312"/>
          <w:i w:val="0"/>
          <w:iCs w:val="0"/>
          <w:caps w:val="0"/>
          <w:color w:val="000000"/>
          <w:spacing w:val="0"/>
          <w:sz w:val="32"/>
          <w:szCs w:val="32"/>
        </w:rPr>
        <w:t>党工委副书记，</w:t>
      </w:r>
      <w:r>
        <w:rPr>
          <w:rFonts w:hint="eastAsia" w:ascii="Times New Roman" w:hAnsi="Times New Roman" w:eastAsia="仿宋_GB2312" w:cs="仿宋_GB2312"/>
          <w:b w:val="0"/>
          <w:bCs w:val="0"/>
          <w:color w:val="auto"/>
          <w:spacing w:val="0"/>
          <w:kern w:val="0"/>
          <w:sz w:val="32"/>
          <w:szCs w:val="32"/>
          <w:highlight w:val="none"/>
          <w:lang w:val="en-US" w:eastAsia="zh-CN"/>
        </w:rPr>
        <w:t>张村镇</w:t>
      </w:r>
      <w:r>
        <w:rPr>
          <w:rFonts w:hint="eastAsia" w:ascii="Times New Roman" w:hAnsi="Times New Roman" w:eastAsia="仿宋_GB2312" w:cs="仿宋_GB2312"/>
          <w:i w:val="0"/>
          <w:iCs w:val="0"/>
          <w:caps w:val="0"/>
          <w:color w:val="000000"/>
          <w:spacing w:val="0"/>
          <w:sz w:val="32"/>
          <w:szCs w:val="32"/>
        </w:rPr>
        <w:t>党委副书记、镇长</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仿宋_GB2312"/>
          <w:sz w:val="32"/>
          <w:szCs w:val="32"/>
        </w:rPr>
        <w:t>昝</w:t>
      </w:r>
      <w:r>
        <w:rPr>
          <w:rFonts w:hint="eastAsia" w:ascii="Times New Roman" w:hAnsi="Times New Roman" w:eastAsia="仿宋_GB2312" w:cs="仿宋_GB2312"/>
          <w:b w:val="0"/>
          <w:bCs w:val="0"/>
          <w:color w:val="auto"/>
          <w:kern w:val="0"/>
          <w:sz w:val="32"/>
          <w:szCs w:val="32"/>
          <w:highlight w:val="none"/>
          <w:lang w:val="en-US" w:eastAsia="zh-CN"/>
        </w:rPr>
        <w:t>启</w:t>
      </w:r>
      <w:r>
        <w:rPr>
          <w:rFonts w:hint="eastAsia" w:ascii="Times New Roman" w:hAnsi="Times New Roman" w:eastAsia="仿宋_GB2312" w:cs="Times New Roman"/>
          <w:b w:val="0"/>
          <w:bCs w:val="0"/>
          <w:color w:val="auto"/>
          <w:kern w:val="0"/>
          <w:sz w:val="32"/>
          <w:szCs w:val="32"/>
          <w:highlight w:val="none"/>
          <w:lang w:val="en-US" w:eastAsia="zh-CN"/>
        </w:rPr>
        <w:t xml:space="preserve">进    </w:t>
      </w:r>
      <w:r>
        <w:rPr>
          <w:rFonts w:hint="default" w:ascii="Times New Roman" w:hAnsi="Times New Roman" w:eastAsia="仿宋_GB2312" w:cs="Times New Roman"/>
          <w:b w:val="0"/>
          <w:bCs w:val="0"/>
          <w:color w:val="auto"/>
          <w:kern w:val="0"/>
          <w:sz w:val="32"/>
          <w:szCs w:val="32"/>
          <w:highlight w:val="none"/>
          <w:lang w:val="en-US" w:eastAsia="zh-CN"/>
        </w:rPr>
        <w:t>桥头镇</w:t>
      </w:r>
      <w:r>
        <w:rPr>
          <w:rFonts w:hint="eastAsia" w:ascii="Times New Roman" w:hAnsi="Times New Roman" w:eastAsia="仿宋_GB2312" w:cs="Times New Roman"/>
          <w:b w:val="0"/>
          <w:bCs w:val="0"/>
          <w:color w:val="auto"/>
          <w:kern w:val="0"/>
          <w:sz w:val="32"/>
          <w:szCs w:val="32"/>
          <w:highlight w:val="none"/>
          <w:lang w:val="en-US" w:eastAsia="zh-CN"/>
        </w:rPr>
        <w:t>党委副书记、镇长</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textAlignment w:val="auto"/>
        <w:rPr>
          <w:rFonts w:hint="eastAsia" w:ascii="Times New Roman" w:hAnsi="Times New Roman" w:eastAsia="仿宋_GB2312" w:cs="仿宋_GB2312"/>
          <w:b w:val="0"/>
          <w:bCs w:val="0"/>
          <w:color w:val="auto"/>
          <w:kern w:val="0"/>
          <w:sz w:val="32"/>
          <w:szCs w:val="32"/>
          <w:highlight w:val="none"/>
          <w:lang w:val="en-US" w:eastAsia="zh-CN"/>
        </w:rPr>
      </w:pPr>
      <w:r>
        <w:rPr>
          <w:rFonts w:hint="eastAsia" w:ascii="Times New Roman" w:hAnsi="Times New Roman" w:eastAsia="仿宋_GB2312" w:cs="仿宋_GB2312"/>
          <w:sz w:val="32"/>
          <w:szCs w:val="32"/>
        </w:rPr>
        <w:t>韩佩伦</w:t>
      </w:r>
      <w:r>
        <w:rPr>
          <w:rFonts w:hint="eastAsia" w:ascii="Times New Roman" w:hAnsi="Times New Roman" w:eastAsia="仿宋_GB2312" w:cs="仿宋_GB2312"/>
          <w:sz w:val="32"/>
          <w:szCs w:val="32"/>
          <w:lang w:val="en-US" w:eastAsia="zh-CN"/>
        </w:rPr>
        <w:t xml:space="preserve">    </w:t>
      </w:r>
      <w:r>
        <w:rPr>
          <w:rFonts w:hint="eastAsia" w:ascii="Times New Roman" w:hAnsi="Times New Roman" w:eastAsia="仿宋_GB2312" w:cs="仿宋_GB2312"/>
          <w:sz w:val="32"/>
          <w:szCs w:val="32"/>
        </w:rPr>
        <w:t>温泉镇党委副书记、镇长</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textAlignment w:val="auto"/>
        <w:rPr>
          <w:rFonts w:hint="default" w:ascii="Times New Roman" w:hAnsi="Times New Roman" w:eastAsia="仿宋_GB2312" w:cs="Times New Roman"/>
          <w:b w:val="0"/>
          <w:bCs w:val="0"/>
          <w:color w:val="auto"/>
          <w:spacing w:val="-17"/>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杜永</w:t>
      </w:r>
      <w:r>
        <w:rPr>
          <w:rFonts w:hint="eastAsia" w:ascii="Times New Roman" w:hAnsi="Times New Roman" w:eastAsia="仿宋_GB2312" w:cs="仿宋_GB2312"/>
          <w:i w:val="0"/>
          <w:iCs w:val="0"/>
          <w:caps w:val="0"/>
          <w:color w:val="auto"/>
          <w:spacing w:val="0"/>
          <w:sz w:val="32"/>
          <w:szCs w:val="32"/>
        </w:rPr>
        <w:t>欣</w:t>
      </w:r>
      <w:r>
        <w:rPr>
          <w:rFonts w:hint="eastAsia" w:ascii="Times New Roman" w:hAnsi="Times New Roman" w:eastAsia="仿宋_GB2312" w:cs="仿宋_GB2312"/>
          <w:b w:val="0"/>
          <w:bCs w:val="0"/>
          <w:color w:val="auto"/>
          <w:kern w:val="0"/>
          <w:sz w:val="32"/>
          <w:szCs w:val="32"/>
          <w:highlight w:val="none"/>
          <w:lang w:val="en-US" w:eastAsia="zh-CN"/>
        </w:rPr>
        <w:t xml:space="preserve"> </w:t>
      </w:r>
      <w:r>
        <w:rPr>
          <w:rFonts w:hint="eastAsia" w:ascii="Times New Roman" w:hAnsi="Times New Roman" w:eastAsia="仿宋_GB2312" w:cs="Times New Roman"/>
          <w:b w:val="0"/>
          <w:bCs w:val="0"/>
          <w:color w:val="auto"/>
          <w:kern w:val="0"/>
          <w:sz w:val="32"/>
          <w:szCs w:val="32"/>
          <w:highlight w:val="none"/>
          <w:lang w:val="en-US" w:eastAsia="zh-CN"/>
        </w:rPr>
        <w:t xml:space="preserve">   </w:t>
      </w:r>
      <w:r>
        <w:rPr>
          <w:rFonts w:hint="default" w:ascii="Times New Roman" w:hAnsi="Times New Roman" w:eastAsia="仿宋_GB2312" w:cs="Times New Roman"/>
          <w:b w:val="0"/>
          <w:bCs w:val="0"/>
          <w:color w:val="auto"/>
          <w:spacing w:val="0"/>
          <w:kern w:val="0"/>
          <w:sz w:val="32"/>
          <w:szCs w:val="32"/>
          <w:highlight w:val="none"/>
          <w:lang w:val="en-US" w:eastAsia="zh-CN"/>
        </w:rPr>
        <w:t>嵩山街道</w:t>
      </w:r>
      <w:r>
        <w:rPr>
          <w:rFonts w:hint="eastAsia" w:ascii="Times New Roman" w:hAnsi="Times New Roman" w:eastAsia="仿宋_GB2312" w:cs="Times New Roman"/>
          <w:b w:val="0"/>
          <w:bCs w:val="0"/>
          <w:color w:val="auto"/>
          <w:spacing w:val="0"/>
          <w:kern w:val="0"/>
          <w:sz w:val="32"/>
          <w:szCs w:val="32"/>
          <w:highlight w:val="none"/>
          <w:lang w:val="en-US" w:eastAsia="zh-CN"/>
        </w:rPr>
        <w:t>党工委副书记、办事处主任</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苏亚哲    </w:t>
      </w:r>
      <w:r>
        <w:rPr>
          <w:rFonts w:hint="default" w:ascii="Times New Roman" w:hAnsi="Times New Roman" w:eastAsia="仿宋_GB2312" w:cs="Times New Roman"/>
          <w:b w:val="0"/>
          <w:bCs w:val="0"/>
          <w:color w:val="auto"/>
          <w:kern w:val="0"/>
          <w:sz w:val="32"/>
          <w:szCs w:val="32"/>
          <w:highlight w:val="none"/>
          <w:lang w:val="en-US" w:eastAsia="zh-CN"/>
        </w:rPr>
        <w:t>竹岛街道</w:t>
      </w:r>
      <w:r>
        <w:rPr>
          <w:rFonts w:hint="eastAsia" w:ascii="Times New Roman" w:hAnsi="Times New Roman" w:eastAsia="仿宋_GB2312" w:cs="Times New Roman"/>
          <w:b w:val="0"/>
          <w:bCs w:val="0"/>
          <w:color w:val="auto"/>
          <w:kern w:val="0"/>
          <w:sz w:val="32"/>
          <w:szCs w:val="32"/>
          <w:highlight w:val="none"/>
          <w:lang w:val="en-US" w:eastAsia="zh-CN"/>
        </w:rPr>
        <w:t>党工委副书记、办事处主任</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梁仲仲    </w:t>
      </w:r>
      <w:r>
        <w:rPr>
          <w:rFonts w:hint="default" w:ascii="Times New Roman" w:hAnsi="Times New Roman" w:eastAsia="仿宋_GB2312" w:cs="Times New Roman"/>
          <w:b w:val="0"/>
          <w:bCs w:val="0"/>
          <w:color w:val="auto"/>
          <w:kern w:val="0"/>
          <w:sz w:val="32"/>
          <w:szCs w:val="32"/>
          <w:highlight w:val="none"/>
          <w:lang w:val="en-US" w:eastAsia="zh-CN"/>
        </w:rPr>
        <w:t>鲸园街道</w:t>
      </w:r>
      <w:r>
        <w:rPr>
          <w:rFonts w:hint="eastAsia" w:ascii="Times New Roman" w:hAnsi="Times New Roman" w:eastAsia="仿宋_GB2312" w:cs="Times New Roman"/>
          <w:b w:val="0"/>
          <w:bCs w:val="0"/>
          <w:color w:val="auto"/>
          <w:kern w:val="0"/>
          <w:sz w:val="32"/>
          <w:szCs w:val="32"/>
          <w:highlight w:val="none"/>
          <w:lang w:val="en-US" w:eastAsia="zh-CN"/>
        </w:rPr>
        <w:t>党工委副书记、办事处主任</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单  斌    </w:t>
      </w:r>
      <w:r>
        <w:rPr>
          <w:rFonts w:hint="default" w:ascii="Times New Roman" w:hAnsi="Times New Roman" w:eastAsia="仿宋_GB2312" w:cs="Times New Roman"/>
          <w:b w:val="0"/>
          <w:bCs w:val="0"/>
          <w:color w:val="auto"/>
          <w:kern w:val="0"/>
          <w:sz w:val="32"/>
          <w:szCs w:val="32"/>
          <w:highlight w:val="none"/>
          <w:lang w:val="en-US" w:eastAsia="zh-CN"/>
        </w:rPr>
        <w:t>孙家疃街道</w:t>
      </w:r>
      <w:r>
        <w:rPr>
          <w:rFonts w:hint="eastAsia" w:ascii="Times New Roman" w:hAnsi="Times New Roman" w:eastAsia="仿宋_GB2312" w:cs="Times New Roman"/>
          <w:b w:val="0"/>
          <w:bCs w:val="0"/>
          <w:color w:val="auto"/>
          <w:kern w:val="0"/>
          <w:sz w:val="32"/>
          <w:szCs w:val="32"/>
          <w:highlight w:val="none"/>
          <w:lang w:val="en-US" w:eastAsia="zh-CN"/>
        </w:rPr>
        <w:t>党工委副书记、办事处主任</w:t>
      </w:r>
    </w:p>
    <w:p>
      <w:pPr>
        <w:pStyle w:val="9"/>
        <w:keepNext w:val="0"/>
        <w:keepLines w:val="0"/>
        <w:pageBreakBefore w:val="0"/>
        <w:widowControl w:val="0"/>
        <w:kinsoku/>
        <w:wordWrap/>
        <w:overflowPunct/>
        <w:topLinePunct w:val="0"/>
        <w:autoSpaceDE/>
        <w:autoSpaceDN/>
        <w:bidi w:val="0"/>
        <w:adjustRightInd/>
        <w:snapToGrid/>
        <w:spacing w:beforeLines="0" w:afterLines="0" w:line="560" w:lineRule="exact"/>
        <w:ind w:firstLine="1926" w:firstLineChars="600"/>
        <w:jc w:val="both"/>
        <w:textAlignment w:val="auto"/>
        <w:rPr>
          <w:rFonts w:hint="default" w:ascii="Times New Roman" w:hAnsi="Times New Roman" w:eastAsia="仿宋_GB2312" w:cs="Times New Roman"/>
          <w:b w:val="0"/>
          <w:bCs w:val="0"/>
          <w:color w:val="auto"/>
          <w:kern w:val="0"/>
          <w:sz w:val="32"/>
          <w:szCs w:val="32"/>
          <w:highlight w:val="none"/>
          <w:lang w:val="en-US" w:eastAsia="zh-CN"/>
        </w:rPr>
      </w:pPr>
      <w:r>
        <w:rPr>
          <w:rFonts w:hint="eastAsia" w:ascii="Times New Roman" w:hAnsi="Times New Roman" w:eastAsia="仿宋_GB2312" w:cs="Times New Roman"/>
          <w:b w:val="0"/>
          <w:bCs w:val="0"/>
          <w:color w:val="auto"/>
          <w:kern w:val="0"/>
          <w:sz w:val="32"/>
          <w:szCs w:val="32"/>
          <w:highlight w:val="none"/>
          <w:lang w:val="en-US" w:eastAsia="zh-CN"/>
        </w:rPr>
        <w:t xml:space="preserve">王  耀    </w:t>
      </w:r>
      <w:r>
        <w:rPr>
          <w:rFonts w:hint="default" w:ascii="Times New Roman" w:hAnsi="Times New Roman" w:eastAsia="仿宋_GB2312" w:cs="Times New Roman"/>
          <w:b w:val="0"/>
          <w:bCs w:val="0"/>
          <w:color w:val="auto"/>
          <w:kern w:val="0"/>
          <w:sz w:val="32"/>
          <w:szCs w:val="32"/>
          <w:highlight w:val="none"/>
          <w:lang w:val="en-US" w:eastAsia="zh-CN"/>
        </w:rPr>
        <w:t>环翠楼街道</w:t>
      </w:r>
      <w:r>
        <w:rPr>
          <w:rFonts w:hint="eastAsia" w:ascii="Times New Roman" w:hAnsi="Times New Roman" w:eastAsia="仿宋_GB2312" w:cs="Times New Roman"/>
          <w:b w:val="0"/>
          <w:bCs w:val="0"/>
          <w:color w:val="auto"/>
          <w:kern w:val="0"/>
          <w:sz w:val="32"/>
          <w:szCs w:val="32"/>
          <w:highlight w:val="none"/>
          <w:lang w:val="en-US" w:eastAsia="zh-CN"/>
        </w:rPr>
        <w:t>党工委副书记、办事处主任</w:t>
      </w:r>
    </w:p>
    <w:p>
      <w:pPr>
        <w:keepNext w:val="0"/>
        <w:keepLines w:val="0"/>
        <w:pageBreakBefore w:val="0"/>
        <w:widowControl w:val="0"/>
        <w:kinsoku/>
        <w:wordWrap/>
        <w:overflowPunct/>
        <w:topLinePunct w:val="0"/>
        <w:autoSpaceDE/>
        <w:autoSpaceDN/>
        <w:bidi w:val="0"/>
        <w:adjustRightInd/>
        <w:snapToGrid/>
        <w:spacing w:line="560" w:lineRule="exact"/>
        <w:ind w:right="0" w:firstLine="642" w:firstLineChars="200"/>
        <w:jc w:val="both"/>
        <w:textAlignment w:val="auto"/>
        <w:rPr>
          <w:rFonts w:hint="default" w:ascii="Times New Roman" w:hAnsi="Times New Roman" w:eastAsia="方正小标宋简体" w:cs="Times New Roman"/>
          <w:sz w:val="44"/>
          <w:szCs w:val="44"/>
        </w:rPr>
      </w:pPr>
      <w:r>
        <w:rPr>
          <w:rFonts w:hint="default" w:ascii="Times New Roman" w:hAnsi="Times New Roman" w:eastAsia="仿宋_GB2312" w:cs="Times New Roman"/>
          <w:color w:val="auto"/>
          <w:sz w:val="32"/>
          <w:szCs w:val="32"/>
          <w:highlight w:val="none"/>
        </w:rPr>
        <w:t>领导小组办公室设在</w:t>
      </w:r>
      <w:r>
        <w:rPr>
          <w:rFonts w:hint="default" w:ascii="Times New Roman" w:hAnsi="Times New Roman" w:eastAsia="仿宋_GB2312" w:cs="Times New Roman"/>
          <w:color w:val="auto"/>
          <w:sz w:val="32"/>
          <w:szCs w:val="32"/>
          <w:highlight w:val="none"/>
          <w:lang w:eastAsia="zh-CN"/>
        </w:rPr>
        <w:t>区</w:t>
      </w:r>
      <w:r>
        <w:rPr>
          <w:rFonts w:hint="default" w:ascii="Times New Roman" w:hAnsi="Times New Roman" w:eastAsia="仿宋_GB2312" w:cs="Times New Roman"/>
          <w:color w:val="auto"/>
          <w:sz w:val="32"/>
          <w:szCs w:val="32"/>
          <w:highlight w:val="none"/>
        </w:rPr>
        <w:t>卫生健康</w:t>
      </w:r>
      <w:r>
        <w:rPr>
          <w:rFonts w:hint="default" w:ascii="Times New Roman" w:hAnsi="Times New Roman" w:eastAsia="仿宋_GB2312" w:cs="Times New Roman"/>
          <w:color w:val="auto"/>
          <w:sz w:val="32"/>
          <w:szCs w:val="32"/>
          <w:highlight w:val="none"/>
          <w:lang w:eastAsia="zh-CN"/>
        </w:rPr>
        <w:t>局</w:t>
      </w:r>
      <w:r>
        <w:rPr>
          <w:rFonts w:hint="default" w:ascii="Times New Roman" w:hAnsi="Times New Roman" w:eastAsia="仿宋_GB2312" w:cs="Times New Roman"/>
          <w:color w:val="auto"/>
          <w:sz w:val="32"/>
          <w:szCs w:val="32"/>
          <w:highlight w:val="none"/>
        </w:rPr>
        <w:t>，</w:t>
      </w:r>
      <w:r>
        <w:rPr>
          <w:rFonts w:hint="default" w:ascii="Times New Roman" w:hAnsi="Times New Roman" w:eastAsia="仿宋_GB2312" w:cs="Times New Roman"/>
          <w:color w:val="auto"/>
          <w:sz w:val="32"/>
          <w:szCs w:val="32"/>
          <w:highlight w:val="none"/>
          <w:lang w:eastAsia="zh-CN"/>
        </w:rPr>
        <w:t>胡远涛同志</w:t>
      </w:r>
      <w:r>
        <w:rPr>
          <w:rFonts w:hint="default" w:ascii="Times New Roman" w:hAnsi="Times New Roman" w:eastAsia="仿宋_GB2312" w:cs="Times New Roman"/>
          <w:color w:val="auto"/>
          <w:sz w:val="32"/>
          <w:szCs w:val="32"/>
          <w:highlight w:val="none"/>
        </w:rPr>
        <w:t>兼任办公室</w:t>
      </w:r>
      <w:r>
        <w:rPr>
          <w:rFonts w:hint="default" w:ascii="Times New Roman" w:hAnsi="Times New Roman" w:eastAsia="仿宋_GB2312" w:cs="Times New Roman"/>
          <w:sz w:val="32"/>
          <w:szCs w:val="32"/>
        </w:rPr>
        <w:t>主任</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r>
        <w:rPr>
          <w:rFonts w:hint="eastAsia" w:ascii="Times New Roman" w:hAnsi="Times New Roman" w:eastAsia="黑体" w:cs="黑体"/>
          <w:b w:val="0"/>
          <w:bCs w:val="0"/>
          <w:color w:val="auto"/>
          <w:sz w:val="32"/>
          <w:szCs w:val="32"/>
          <w:highlight w:val="none"/>
          <w:lang w:val="en-US" w:eastAsia="zh-CN"/>
        </w:rPr>
        <w:t>附件2</w:t>
      </w:r>
    </w:p>
    <w:p>
      <w:pPr>
        <w:keepNext w:val="0"/>
        <w:keepLines w:val="0"/>
        <w:pageBreakBefore w:val="0"/>
        <w:widowControl w:val="0"/>
        <w:kinsoku/>
        <w:wordWrap/>
        <w:overflowPunct w:val="0"/>
        <w:topLinePunct w:val="0"/>
        <w:autoSpaceDE/>
        <w:autoSpaceDN/>
        <w:bidi w:val="0"/>
        <w:adjustRightInd/>
        <w:snapToGrid/>
        <w:spacing w:beforeAutospacing="0" w:afterAutospacing="0" w:line="400" w:lineRule="exact"/>
        <w:ind w:left="0" w:leftChars="0" w:right="0" w:rightChars="0" w:firstLine="0" w:firstLineChars="0"/>
        <w:jc w:val="both"/>
        <w:textAlignment w:val="auto"/>
        <w:rPr>
          <w:rFonts w:hint="eastAsia" w:ascii="Times New Roman" w:hAnsi="Times New Roman" w:eastAsia="黑体" w:cs="黑体"/>
          <w:b w:val="0"/>
          <w:bCs w:val="0"/>
          <w:color w:val="auto"/>
          <w:sz w:val="32"/>
          <w:szCs w:val="32"/>
          <w:highlight w:val="none"/>
          <w:lang w:val="en-US" w:eastAsia="zh-CN"/>
        </w:rPr>
      </w:pP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center"/>
        <w:textAlignment w:val="auto"/>
        <w:rPr>
          <w:rFonts w:hint="default" w:ascii="Times New Roman" w:hAnsi="Times New Roman" w:eastAsia="方正小标宋简体" w:cs="方正小标宋简体"/>
          <w:b w:val="0"/>
          <w:bCs w:val="0"/>
          <w:color w:val="auto"/>
          <w:sz w:val="44"/>
          <w:szCs w:val="44"/>
          <w:highlight w:val="none"/>
          <w:lang w:val="en-US" w:eastAsia="zh-CN"/>
        </w:rPr>
      </w:pPr>
      <w:r>
        <w:rPr>
          <w:rFonts w:hint="default" w:ascii="Times New Roman" w:hAnsi="Times New Roman" w:eastAsia="方正小标宋简体" w:cs="方正小标宋简体"/>
          <w:b w:val="0"/>
          <w:bCs w:val="0"/>
          <w:color w:val="auto"/>
          <w:sz w:val="44"/>
          <w:szCs w:val="44"/>
          <w:highlight w:val="none"/>
          <w:lang w:val="en-US" w:eastAsia="zh-CN"/>
        </w:rPr>
        <w:t>山东省慢性非传染性疾病综合防控示范区</w:t>
      </w:r>
    </w:p>
    <w:p>
      <w:pPr>
        <w:keepNext w:val="0"/>
        <w:keepLines w:val="0"/>
        <w:pageBreakBefore w:val="0"/>
        <w:widowControl w:val="0"/>
        <w:kinsoku/>
        <w:wordWrap/>
        <w:overflowPunct w:val="0"/>
        <w:topLinePunct w:val="0"/>
        <w:autoSpaceDE/>
        <w:autoSpaceDN/>
        <w:bidi w:val="0"/>
        <w:adjustRightInd/>
        <w:snapToGrid/>
        <w:spacing w:beforeAutospacing="0" w:afterAutospacing="0" w:line="600" w:lineRule="exact"/>
        <w:ind w:left="0" w:leftChars="0" w:right="0" w:rightChars="0" w:firstLine="0" w:firstLineChars="0"/>
        <w:jc w:val="center"/>
        <w:textAlignment w:val="auto"/>
        <w:rPr>
          <w:rFonts w:hint="default" w:ascii="Times New Roman" w:hAnsi="Times New Roman" w:eastAsia="方正小标宋简体" w:cs="方正小标宋简体"/>
          <w:b w:val="0"/>
          <w:bCs w:val="0"/>
          <w:color w:val="auto"/>
          <w:sz w:val="44"/>
          <w:szCs w:val="44"/>
          <w:highlight w:val="none"/>
          <w:lang w:val="en-US" w:eastAsia="zh-CN"/>
        </w:rPr>
      </w:pPr>
      <w:r>
        <w:rPr>
          <w:rFonts w:hint="default" w:ascii="Times New Roman" w:hAnsi="Times New Roman" w:eastAsia="方正小标宋简体" w:cs="方正小标宋简体"/>
          <w:b w:val="0"/>
          <w:bCs w:val="0"/>
          <w:color w:val="auto"/>
          <w:sz w:val="44"/>
          <w:szCs w:val="44"/>
          <w:highlight w:val="none"/>
          <w:lang w:val="en-US" w:eastAsia="zh-CN"/>
        </w:rPr>
        <w:t>复审评价指标体系及责任部门</w:t>
      </w:r>
    </w:p>
    <w:tbl>
      <w:tblPr>
        <w:tblStyle w:val="13"/>
        <w:tblpPr w:leftFromText="180" w:rightFromText="180" w:vertAnchor="text" w:horzAnchor="page" w:tblpXSpec="center" w:tblpY="602"/>
        <w:tblOverlap w:val="never"/>
        <w:tblW w:w="102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754"/>
        <w:gridCol w:w="1297"/>
        <w:gridCol w:w="2445"/>
        <w:gridCol w:w="704"/>
        <w:gridCol w:w="681"/>
        <w:gridCol w:w="727"/>
        <w:gridCol w:w="2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78" w:type="dxa"/>
            <w:vAlign w:val="center"/>
          </w:tcPr>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指标</w:t>
            </w:r>
          </w:p>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分类</w:t>
            </w:r>
          </w:p>
        </w:tc>
        <w:tc>
          <w:tcPr>
            <w:tcW w:w="75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指标内容</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指标要求</w:t>
            </w:r>
          </w:p>
        </w:tc>
        <w:tc>
          <w:tcPr>
            <w:tcW w:w="2445"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赋分标准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rPr>
            </w:pPr>
            <w:r>
              <w:rPr>
                <w:rFonts w:hint="default" w:ascii="Times New Roman" w:hAnsi="Times New Roman" w:eastAsia="黑体" w:cs="Times New Roman"/>
                <w:kern w:val="0"/>
                <w:szCs w:val="21"/>
              </w:rPr>
              <w:t>权重分值</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lang w:val="en-US" w:eastAsia="zh-CN"/>
              </w:rPr>
            </w:pPr>
            <w:r>
              <w:rPr>
                <w:rFonts w:hint="default" w:ascii="Times New Roman" w:hAnsi="Times New Roman" w:eastAsia="黑体" w:cs="Times New Roman"/>
                <w:kern w:val="0"/>
                <w:szCs w:val="21"/>
                <w:lang w:val="en-US" w:eastAsia="zh-CN"/>
              </w:rPr>
              <w:t>评价方法</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lang w:val="en-US" w:eastAsia="zh-CN"/>
              </w:rPr>
            </w:pPr>
            <w:r>
              <w:rPr>
                <w:rFonts w:hint="default" w:ascii="Times New Roman" w:hAnsi="Times New Roman" w:eastAsia="黑体" w:cs="Times New Roman"/>
                <w:kern w:val="0"/>
                <w:szCs w:val="21"/>
                <w:lang w:val="en-US" w:eastAsia="zh-CN"/>
              </w:rPr>
              <w:t>责任</w:t>
            </w:r>
          </w:p>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Cs w:val="21"/>
                <w:lang w:val="en-US" w:eastAsia="zh-CN"/>
              </w:rPr>
            </w:pPr>
            <w:r>
              <w:rPr>
                <w:rFonts w:hint="default" w:ascii="Times New Roman" w:hAnsi="Times New Roman" w:eastAsia="黑体" w:cs="Times New Roman"/>
                <w:kern w:val="0"/>
                <w:szCs w:val="21"/>
                <w:lang w:val="en-US" w:eastAsia="zh-CN"/>
              </w:rPr>
              <w:t>部门</w:t>
            </w:r>
          </w:p>
        </w:tc>
        <w:tc>
          <w:tcPr>
            <w:tcW w:w="2978"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黑体" w:cs="Times New Roman"/>
                <w:kern w:val="0"/>
                <w:sz w:val="21"/>
                <w:szCs w:val="21"/>
                <w:lang w:val="en-US" w:eastAsia="zh-CN" w:bidi="ar-SA"/>
              </w:rPr>
            </w:pPr>
            <w:r>
              <w:rPr>
                <w:rFonts w:hint="default" w:ascii="Times New Roman" w:hAnsi="Times New Roman" w:eastAsia="黑体" w:cs="Times New Roman"/>
                <w:kern w:val="0"/>
                <w:szCs w:val="21"/>
                <w:highlight w:val="none"/>
                <w:lang w:val="en-US" w:eastAsia="zh-CN"/>
              </w:rPr>
              <w:t>提交资料类型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一、政策完善</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（45分）</w:t>
            </w: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一、政策完善</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（45分）</w:t>
            </w:r>
          </w:p>
          <w:p>
            <w:pPr>
              <w:pStyle w:val="2"/>
              <w:rPr>
                <w:rFonts w:hint="default" w:ascii="Times New Roman" w:hAnsi="Times New Roman" w:eastAsia="黑体"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（一）发挥政府主导作用，建立多部门协作联动机制。</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1.辖区政府成立示范区建设领导小组，明确部门职责，建立完善的信息反馈沟通制度。</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（1）成立辖区示范区建设领导小组，明确各部门职责与分工，4分。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（2）设立示范区建设工作办公室，2分。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（3）每年召开1次及以上领导小组工作会议，2分。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（4）根</w:t>
            </w:r>
            <w:r>
              <w:rPr>
                <w:rFonts w:hint="default" w:ascii="Times New Roman" w:hAnsi="Times New Roman" w:eastAsia="仿宋_GB2312" w:cs="Times New Roman"/>
                <w:color w:val="000000" w:themeColor="text1"/>
                <w:spacing w:val="-8"/>
                <w:sz w:val="18"/>
                <w:szCs w:val="18"/>
                <w14:textFill>
                  <w14:solidFill>
                    <w14:schemeClr w14:val="tx1"/>
                  </w14:solidFill>
                </w14:textFill>
              </w:rPr>
              <w:t>据实际工作需要及时召开联络员会议，2分。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both"/>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以环翠区人民政府名义成立慢病示范区建设小组，由政府主要领导（党政一把手担任组长），组建办公室并明确各部门职责</w:t>
            </w:r>
            <w:r>
              <w:rPr>
                <w:rFonts w:hint="eastAsia" w:ascii="Times New Roman" w:hAnsi="Times New Roman" w:eastAsia="仿宋_GB2312" w:cs="仿宋_GB2312"/>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19</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24</w:t>
            </w:r>
            <w:r>
              <w:rPr>
                <w:rFonts w:hint="default" w:ascii="Times New Roman" w:hAnsi="Times New Roman" w:eastAsia="仿宋_GB2312" w:cs="仿宋_GB2312"/>
                <w:color w:val="000000"/>
                <w:kern w:val="0"/>
                <w:sz w:val="18"/>
                <w:szCs w:val="18"/>
                <w:lang w:val="en-US" w:eastAsia="zh-CN" w:bidi="ar"/>
              </w:rPr>
              <w:t>年每年至少召开</w:t>
            </w:r>
            <w:r>
              <w:rPr>
                <w:rFonts w:hint="default" w:ascii="Times New Roman" w:hAnsi="Times New Roman" w:eastAsia="仿宋_GB2312" w:cs="Times New Roman"/>
                <w:color w:val="000000"/>
                <w:kern w:val="0"/>
                <w:sz w:val="18"/>
                <w:szCs w:val="18"/>
                <w:lang w:val="en-US" w:eastAsia="zh-CN" w:bidi="ar"/>
              </w:rPr>
              <w:t>1</w:t>
            </w:r>
            <w:r>
              <w:rPr>
                <w:rFonts w:hint="default" w:ascii="Times New Roman" w:hAnsi="Times New Roman" w:eastAsia="仿宋_GB2312" w:cs="仿宋_GB2312"/>
                <w:color w:val="000000"/>
                <w:kern w:val="0"/>
                <w:sz w:val="18"/>
                <w:szCs w:val="18"/>
                <w:lang w:val="en-US" w:eastAsia="zh-CN" w:bidi="ar"/>
              </w:rPr>
              <w:t>次领导小组工作会议；</w:t>
            </w:r>
            <w:r>
              <w:rPr>
                <w:rFonts w:hint="default" w:ascii="Times New Roman" w:hAnsi="Times New Roman" w:eastAsia="仿宋_GB2312" w:cs="Times New Roman"/>
                <w:color w:val="000000"/>
                <w:kern w:val="0"/>
                <w:sz w:val="18"/>
                <w:szCs w:val="18"/>
                <w:lang w:val="en-US" w:eastAsia="zh-CN" w:bidi="ar"/>
              </w:rPr>
              <w:t>19</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24</w:t>
            </w:r>
            <w:r>
              <w:rPr>
                <w:rFonts w:hint="default" w:ascii="Times New Roman" w:hAnsi="Times New Roman" w:eastAsia="仿宋_GB2312" w:cs="仿宋_GB2312"/>
                <w:color w:val="000000"/>
                <w:kern w:val="0"/>
                <w:sz w:val="18"/>
                <w:szCs w:val="18"/>
                <w:lang w:val="en-US" w:eastAsia="zh-CN" w:bidi="ar"/>
              </w:rPr>
              <w:t>年每年至少召开</w:t>
            </w:r>
            <w:r>
              <w:rPr>
                <w:rFonts w:hint="default" w:ascii="Times New Roman" w:hAnsi="Times New Roman" w:eastAsia="仿宋_GB2312" w:cs="Times New Roman"/>
                <w:color w:val="000000"/>
                <w:kern w:val="0"/>
                <w:sz w:val="18"/>
                <w:szCs w:val="18"/>
                <w:lang w:val="en-US" w:eastAsia="zh-CN" w:bidi="ar"/>
              </w:rPr>
              <w:t>1</w:t>
            </w:r>
            <w:r>
              <w:rPr>
                <w:rFonts w:hint="default" w:ascii="Times New Roman" w:hAnsi="Times New Roman" w:eastAsia="仿宋_GB2312" w:cs="仿宋_GB2312"/>
                <w:color w:val="000000"/>
                <w:kern w:val="0"/>
                <w:sz w:val="18"/>
                <w:szCs w:val="18"/>
                <w:lang w:val="en-US" w:eastAsia="zh-CN" w:bidi="ar"/>
              </w:rPr>
              <w:t>次联络员会议（各成员部门必须明确一名联络员且参会率＞</w:t>
            </w:r>
            <w:r>
              <w:rPr>
                <w:rFonts w:hint="default" w:ascii="Times New Roman" w:hAnsi="Times New Roman" w:eastAsia="仿宋_GB2312" w:cs="Times New Roman"/>
                <w:color w:val="000000"/>
                <w:kern w:val="0"/>
                <w:sz w:val="18"/>
                <w:szCs w:val="18"/>
                <w:lang w:val="en-US" w:eastAsia="zh-CN" w:bidi="ar"/>
              </w:rPr>
              <w:t>95%</w:t>
            </w:r>
            <w:r>
              <w:rPr>
                <w:rFonts w:hint="default" w:ascii="Times New Roman" w:hAnsi="Times New Roman" w:eastAsia="仿宋_GB2312" w:cs="仿宋_GB2312"/>
                <w:color w:val="000000"/>
                <w:kern w:val="0"/>
                <w:sz w:val="18"/>
                <w:szCs w:val="18"/>
                <w:lang w:val="en-US" w:eastAsia="zh-CN" w:bidi="ar"/>
              </w:rPr>
              <w:t>）</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仿宋_GB2312"/>
                <w:color w:val="000000"/>
                <w:kern w:val="0"/>
                <w:sz w:val="18"/>
                <w:szCs w:val="18"/>
                <w:lang w:val="en-US" w:eastAsia="zh-CN" w:bidi="ar"/>
              </w:rPr>
              <w:t>。（提供会议通知、会议记录、签到表、会议照片、宣传稿件等</w:t>
            </w:r>
            <w:r>
              <w:rPr>
                <w:rFonts w:hint="eastAsia" w:ascii="Times New Roman" w:hAnsi="Times New Roman" w:eastAsia="仿宋_GB2312" w:cs="仿宋_GB2312"/>
                <w:color w:val="000000"/>
                <w:kern w:val="0"/>
                <w:sz w:val="18"/>
                <w:szCs w:val="18"/>
                <w:lang w:val="en-US" w:eastAsia="zh-CN" w:bidi="ar"/>
              </w:rPr>
              <w:t>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2.辖区政府将慢性病防控工作纳入当地经济社会发展规划。</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（1）慢性病防控工作纳入社会经济发展规划，3分。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（2）政府制定慢性病综合防控示范区建设实施方案，2分。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发展改革局</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both"/>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仿宋_GB2312"/>
                <w:color w:val="auto"/>
                <w:kern w:val="0"/>
                <w:sz w:val="18"/>
                <w:szCs w:val="18"/>
                <w:lang w:val="en-US" w:eastAsia="zh-CN" w:bidi="ar"/>
              </w:rPr>
              <w:t>环翠区人民政府将慢性病综合防控工作纳入当地社会经济发展规划，并以政府名义正式发布环翠区发展规划；</w:t>
            </w:r>
            <w:r>
              <w:rPr>
                <w:rFonts w:hint="default" w:ascii="Times New Roman" w:hAnsi="Times New Roman" w:eastAsia="仿宋_GB2312" w:cs="Times New Roman"/>
                <w:color w:val="auto"/>
                <w:kern w:val="0"/>
                <w:sz w:val="18"/>
                <w:szCs w:val="18"/>
                <w:lang w:val="en-US" w:eastAsia="zh-CN" w:bidi="ar"/>
              </w:rPr>
              <w:t>19</w:t>
            </w:r>
            <w:r>
              <w:rPr>
                <w:rFonts w:hint="eastAsia" w:ascii="Times New Roman" w:hAnsi="Times New Roman" w:eastAsia="仿宋_GB2312" w:cs="Times New Roman"/>
                <w:color w:val="auto"/>
                <w:kern w:val="0"/>
                <w:sz w:val="18"/>
                <w:szCs w:val="18"/>
                <w:lang w:val="en-US" w:eastAsia="zh-CN" w:bidi="ar"/>
              </w:rPr>
              <w:t>—</w:t>
            </w:r>
            <w:r>
              <w:rPr>
                <w:rFonts w:hint="default" w:ascii="Times New Roman" w:hAnsi="Times New Roman" w:eastAsia="仿宋_GB2312" w:cs="Times New Roman"/>
                <w:color w:val="auto"/>
                <w:kern w:val="0"/>
                <w:sz w:val="18"/>
                <w:szCs w:val="18"/>
                <w:lang w:val="en-US" w:eastAsia="zh-CN" w:bidi="ar"/>
              </w:rPr>
              <w:t>24</w:t>
            </w:r>
            <w:r>
              <w:rPr>
                <w:rFonts w:hint="default" w:ascii="Times New Roman" w:hAnsi="Times New Roman" w:eastAsia="仿宋_GB2312" w:cs="仿宋_GB2312"/>
                <w:color w:val="auto"/>
                <w:kern w:val="0"/>
                <w:sz w:val="18"/>
                <w:szCs w:val="18"/>
                <w:lang w:val="en-US" w:eastAsia="zh-CN" w:bidi="ar"/>
              </w:rPr>
              <w:t>年均以环翠区人民政府名义发布《环翠区</w:t>
            </w:r>
            <w:r>
              <w:rPr>
                <w:rFonts w:hint="default" w:ascii="Times New Roman" w:hAnsi="Times New Roman" w:eastAsia="仿宋_GB2312" w:cs="仿宋_GB2312"/>
                <w:color w:val="auto"/>
                <w:kern w:val="2"/>
                <w:sz w:val="18"/>
                <w:szCs w:val="18"/>
                <w:lang w:val="en-US" w:eastAsia="zh-CN" w:bidi="ar"/>
              </w:rPr>
              <w:t>慢性病综合防控示范区建设实施方案》，且示范区建设实施方案内容包括背景、目的、阶段性目标、任务和措施，并将示范区建设的职责明确到部门</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仿宋_GB2312"/>
                <w:color w:val="auto"/>
                <w:kern w:val="2"/>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3.慢</w:t>
            </w:r>
            <w:r>
              <w:rPr>
                <w:rFonts w:hint="default" w:ascii="Times New Roman" w:hAnsi="Times New Roman" w:eastAsia="仿宋_GB2312" w:cs="Times New Roman"/>
                <w:color w:val="000000" w:themeColor="text1"/>
                <w:spacing w:val="-8"/>
                <w:kern w:val="0"/>
                <w:sz w:val="18"/>
                <w:szCs w:val="18"/>
                <w14:textFill>
                  <w14:solidFill>
                    <w14:schemeClr w14:val="tx1"/>
                  </w14:solidFill>
                </w14:textFill>
              </w:rPr>
              <w:t>性病防控融入各部门政策，包括烟草控制、降低有害饮酒、营养干预、控制体重、全民健身等慢性病危险因素干预、疾病管理相关的政策和干预措施</w:t>
            </w:r>
            <w:r>
              <w:rPr>
                <w:rFonts w:hint="default" w:ascii="Times New Roman" w:hAnsi="Times New Roman" w:eastAsia="仿宋_GB2312" w:cs="Times New Roman"/>
                <w:color w:val="000000" w:themeColor="text1"/>
                <w:kern w:val="0"/>
                <w:sz w:val="18"/>
                <w:szCs w:val="18"/>
                <w14:textFill>
                  <w14:solidFill>
                    <w14:schemeClr w14:val="tx1"/>
                  </w14:solidFill>
                </w14:textFill>
              </w:rPr>
              <w:t>。</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抽查5个部门制定落实相关健康政策情况。</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（1）凡制定并落实，每个部门得1分，满分5分。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（2）制定但没有落实，每个部门得0.5分。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right="0"/>
              <w:jc w:val="both"/>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1</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省级现场查阅资料需准备：19</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24年，领导小组各成员单位均根据本年度的《环翠区慢性病综合防控示范区建设实施方案》中确定的任务目标与本单位职责分工制定本单位的实施方案（方案中必须包含</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控制烟草危害、降低有害饮酒、减盐、控油、控制体重、全民健身</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6项内容并加入本单位特色)，将慢病防控工作与部门工作相结合；19</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24年，每年需针对本单位的实施方案编写工作总结</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，工作总结中需体现各项落实佐证依据</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等</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。(红头且加盖公章的各类文件、图片等</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资料)</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both"/>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省级现场询问需准备：19</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24年，领导小组各成员单位需每年召开本单位会议</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，保证全体员工对本部门政策的知晓与落实情况到位。（会议通知、会议记录、签到表、照片等</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相关材料</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4.示范区建设领导小组建立工作调研或督导制度，开展示范区建设的多部门联合调研或督导。</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每年组织2次多部门参与的联合调研或督导，每次得1分。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制定工作督导制度，</w:t>
            </w:r>
            <w:r>
              <w:rPr>
                <w:rFonts w:hint="default" w:ascii="Times New Roman" w:hAnsi="Times New Roman" w:eastAsia="仿宋_GB2312" w:cs="Times New Roman"/>
                <w:color w:val="000000"/>
                <w:kern w:val="0"/>
                <w:sz w:val="18"/>
                <w:szCs w:val="18"/>
                <w:lang w:val="en-US" w:eastAsia="zh-CN" w:bidi="ar"/>
              </w:rPr>
              <w:t>5</w:t>
            </w:r>
            <w:r>
              <w:rPr>
                <w:rFonts w:hint="default" w:ascii="Times New Roman" w:hAnsi="Times New Roman" w:eastAsia="仿宋_GB2312" w:cs="仿宋_GB2312"/>
                <w:color w:val="000000"/>
                <w:kern w:val="0"/>
                <w:sz w:val="18"/>
                <w:szCs w:val="18"/>
                <w:lang w:val="en-US" w:eastAsia="zh-CN" w:bidi="ar"/>
              </w:rPr>
              <w:t>个及以上部门参与联合督导，督导内容包括</w:t>
            </w:r>
            <w:r>
              <w:rPr>
                <w:rFonts w:hint="eastAsia" w:ascii="Times New Roman" w:hAnsi="Times New Roman" w:eastAsia="仿宋_GB2312" w:cs="仿宋_GB2312"/>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督导结果通报、问题清单、整改结果跟踪、奖惩兑现等</w:t>
            </w:r>
            <w:r>
              <w:rPr>
                <w:rFonts w:hint="eastAsia" w:ascii="Times New Roman" w:hAnsi="Times New Roman" w:eastAsia="仿宋_GB2312" w:cs="仿宋_GB2312"/>
                <w:color w:val="000000"/>
                <w:kern w:val="0"/>
                <w:sz w:val="18"/>
                <w:szCs w:val="18"/>
                <w:lang w:val="en-US" w:eastAsia="zh-CN" w:bidi="ar"/>
              </w:rPr>
              <w:t>要素</w:t>
            </w:r>
            <w:r>
              <w:rPr>
                <w:rFonts w:hint="default" w:ascii="Times New Roman" w:hAnsi="Times New Roman" w:eastAsia="仿宋_GB2312" w:cs="仿宋_GB2312"/>
                <w:color w:val="000000"/>
                <w:kern w:val="0"/>
                <w:sz w:val="18"/>
                <w:szCs w:val="18"/>
                <w:lang w:val="en-US" w:eastAsia="zh-CN" w:bidi="ar"/>
              </w:rPr>
              <w:t>执行情况</w:t>
            </w:r>
            <w:r>
              <w:rPr>
                <w:rFonts w:hint="eastAsia" w:ascii="Times New Roman" w:hAnsi="Times New Roman" w:eastAsia="仿宋_GB2312" w:cs="仿宋_GB2312"/>
                <w:color w:val="000000"/>
                <w:kern w:val="0"/>
                <w:sz w:val="18"/>
                <w:szCs w:val="18"/>
                <w:lang w:val="en-US" w:eastAsia="zh-CN" w:bidi="ar"/>
              </w:rPr>
              <w:t>”等</w:t>
            </w:r>
            <w:r>
              <w:rPr>
                <w:rFonts w:hint="default" w:ascii="Times New Roman" w:hAnsi="Times New Roman" w:eastAsia="仿宋_GB2312" w:cs="仿宋_GB2312"/>
                <w:color w:val="000000"/>
                <w:kern w:val="0"/>
                <w:sz w:val="18"/>
                <w:szCs w:val="18"/>
                <w:lang w:val="en-US" w:eastAsia="zh-CN" w:bidi="ar"/>
              </w:rPr>
              <w:t>。（文件及过程资料</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等</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9"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（二）保障慢性病防控经费。</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1.慢性病防控工作经费纳入政府年度预算、决算管理。</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（1）慢性病防控工作经费纳入政府预算、决算管理，各1分。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（2）经</w:t>
            </w:r>
            <w:r>
              <w:rPr>
                <w:rFonts w:hint="default" w:ascii="Times New Roman" w:hAnsi="Times New Roman" w:eastAsia="仿宋_GB2312" w:cs="Times New Roman"/>
                <w:color w:val="000000" w:themeColor="text1"/>
                <w:spacing w:val="-14"/>
                <w:sz w:val="18"/>
                <w:szCs w:val="18"/>
                <w14:textFill>
                  <w14:solidFill>
                    <w14:schemeClr w14:val="tx1"/>
                  </w14:solidFill>
                </w14:textFill>
              </w:rPr>
              <w:t>费预算执行率达到100%，1分。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区财政局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辖区政府将慢性病防控经费纳入当地政府财政年度预算和决算管理，经费预算、申请、拨付、支出和使用管理均有严格的财政管理制度，以项目管理形式做到专款专用，并保证所有支出在《财政管理信息系统》或项目支出明细分类账上可查验。（政府文件或财政文件、拨款文件与财务凭证</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2.辖区政府按规划、计划拨付示范区建设专项工作经费，专款专用。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（1）拨付示范区建设专项工作经费，3分。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（2）慢性病防控经费专项管理，确保专款专用，2分。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区财政局、区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right="0"/>
              <w:jc w:val="left"/>
              <w:textAlignment w:val="auto"/>
              <w:rPr>
                <w:rFonts w:hint="default" w:ascii="Times New Roman" w:hAnsi="Times New Roman" w:eastAsia="仿宋_GB2312" w:cs="Times New Roman"/>
                <w:color w:val="000000"/>
                <w:kern w:val="0"/>
                <w:sz w:val="18"/>
                <w:szCs w:val="18"/>
              </w:rPr>
            </w:pPr>
            <w:r>
              <w:rPr>
                <w:rFonts w:hint="eastAsia" w:ascii="Times New Roman" w:hAnsi="Times New Roman" w:eastAsia="仿宋_GB2312" w:cs="仿宋_GB2312"/>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1</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示范区专项经费：省级、市、区县财政以示范区名义下拨的专项工作经费，用于示范区建设的工作经费。在提供佐证材料时拨款凭证上应注明有</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示范区专项经费。（财务凭证与拨款的文件</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
                <w14:textFill>
                  <w14:solidFill>
                    <w14:schemeClr w14:val="tx1"/>
                  </w14:solidFill>
                </w14:textFill>
              </w:rPr>
            </w:pP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Times New Roman"/>
                <w:color w:val="000000"/>
                <w:kern w:val="0"/>
                <w:sz w:val="18"/>
                <w:szCs w:val="18"/>
                <w:lang w:val="en-US" w:eastAsia="zh-CN" w:bidi="ar"/>
              </w:rPr>
              <w:t>2</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在提供佐证材料时拨款凭证上应注明有</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慢病专项经费</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。（财务凭证</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3.保障疾控机构的慢性病防控工作经费。</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慢性病防控工作经费占疾控机构业务总经费的比例＞10%，2分；10%，1分；10%以下不得分。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区财政局、区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lang w:val="en-US" w:eastAsia="zh-CN" w:bidi="ar"/>
              </w:rPr>
              <w:t>提供慢性病工作经费佐证</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lang w:val="en-US" w:eastAsia="zh-CN" w:bidi="ar"/>
              </w:rPr>
              <w:t>，且占比达到疾控业务总经费</w:t>
            </w:r>
            <w:r>
              <w:rPr>
                <w:rFonts w:hint="default" w:ascii="Times New Roman" w:hAnsi="Times New Roman" w:eastAsia="仿宋_GB2312" w:cs="Times New Roman"/>
                <w:color w:val="000000"/>
                <w:kern w:val="0"/>
                <w:sz w:val="18"/>
                <w:szCs w:val="18"/>
                <w:lang w:val="en-US" w:eastAsia="zh-CN" w:bidi="ar"/>
              </w:rPr>
              <w:t>10%</w:t>
            </w:r>
            <w:r>
              <w:rPr>
                <w:rFonts w:hint="default" w:ascii="Times New Roman" w:hAnsi="Times New Roman" w:eastAsia="仿宋_GB2312" w:cs="仿宋_GB2312"/>
                <w:color w:val="000000"/>
                <w:kern w:val="0"/>
                <w:sz w:val="18"/>
                <w:szCs w:val="18"/>
                <w:lang w:val="en-US" w:eastAsia="zh-CN" w:bidi="ar"/>
              </w:rPr>
              <w:t>（拨款凭证上拨款项目注明为</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慢病示范区</w:t>
            </w:r>
            <w:r>
              <w:rPr>
                <w:rFonts w:hint="eastAsia" w:ascii="Times New Roman" w:hAnsi="Times New Roman" w:eastAsia="仿宋_GB2312" w:cs="Times New Roman"/>
                <w:color w:val="000000"/>
                <w:kern w:val="0"/>
                <w:sz w:val="18"/>
                <w:szCs w:val="18"/>
                <w:lang w:val="en-US" w:eastAsia="zh-CN" w:bidi="ar"/>
              </w:rPr>
              <w:t>”</w:t>
            </w:r>
            <w:r>
              <w:rPr>
                <w:rFonts w:hint="default" w:ascii="Times New Roman" w:hAnsi="Times New Roman" w:eastAsia="仿宋_GB2312" w:cs="仿宋_GB2312"/>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（三）建立有效的绩效管理及评价机制。</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1.辖区政府将示范区建设实施方案相关工作纳入各相关部门年度目标管理。</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（1）辖区政府将示范区建设工作纳入各相关部门年度目标管理，2分。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（2）抽查5个部门执行情况，有2个及以上部门没纳入目标管理者不得分。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仿宋_GB2312"/>
                <w:color w:val="000000"/>
                <w:kern w:val="0"/>
                <w:sz w:val="18"/>
                <w:szCs w:val="18"/>
                <w:highlight w:val="none"/>
                <w:lang w:val="en-US" w:eastAsia="zh-CN" w:bidi="ar"/>
              </w:rPr>
              <w:t>示范区建设</w:t>
            </w:r>
            <w:r>
              <w:rPr>
                <w:rFonts w:hint="eastAsia" w:ascii="Times New Roman" w:hAnsi="Times New Roman" w:eastAsia="仿宋_GB2312" w:cs="仿宋_GB2312"/>
                <w:color w:val="000000"/>
                <w:kern w:val="0"/>
                <w:sz w:val="18"/>
                <w:szCs w:val="18"/>
                <w:highlight w:val="none"/>
                <w:lang w:val="en-US" w:eastAsia="zh-CN" w:bidi="ar"/>
              </w:rPr>
              <w:t>相关</w:t>
            </w:r>
            <w:r>
              <w:rPr>
                <w:rFonts w:hint="default" w:ascii="Times New Roman" w:hAnsi="Times New Roman" w:eastAsia="仿宋_GB2312" w:cs="仿宋_GB2312"/>
                <w:color w:val="000000"/>
                <w:kern w:val="0"/>
                <w:sz w:val="18"/>
                <w:szCs w:val="18"/>
                <w:highlight w:val="none"/>
                <w:lang w:val="en-US" w:eastAsia="zh-CN" w:bidi="ar"/>
              </w:rPr>
              <w:t>工作纳入政府</w:t>
            </w:r>
            <w:r>
              <w:rPr>
                <w:rFonts w:hint="default" w:ascii="Times New Roman" w:hAnsi="Times New Roman" w:eastAsia="仿宋_GB2312" w:cs="仿宋_GB2312"/>
                <w:color w:val="000000"/>
                <w:kern w:val="0"/>
                <w:sz w:val="18"/>
                <w:szCs w:val="18"/>
                <w:highlight w:val="none"/>
                <w:lang w:eastAsia="zh-CN" w:bidi="ar"/>
              </w:rPr>
              <w:t>和</w:t>
            </w:r>
            <w:r>
              <w:rPr>
                <w:rFonts w:hint="default" w:ascii="Times New Roman" w:hAnsi="Times New Roman" w:eastAsia="仿宋_GB2312" w:cs="仿宋_GB2312"/>
                <w:color w:val="000000"/>
                <w:kern w:val="0"/>
                <w:sz w:val="18"/>
                <w:szCs w:val="18"/>
                <w:highlight w:val="none"/>
                <w:lang w:val="en-US" w:eastAsia="zh-CN" w:bidi="ar"/>
              </w:rPr>
              <w:t>部门年度目标管理，并签订目标责任书，严格实行绩效考核。（考核的文件、通报、图片</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highlight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2.辖区政府将示范区建设实施方案相关工作纳入各部门绩效考核。</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（1）抽取2</w:t>
            </w:r>
            <w:r>
              <w:rPr>
                <w:rFonts w:hint="eastAsia" w:ascii="Times New Roman" w:hAnsi="Times New Roman" w:eastAsia="仿宋_GB2312" w:cs="Times New Roman"/>
                <w:color w:val="000000" w:themeColor="text1"/>
                <w:sz w:val="18"/>
                <w:szCs w:val="18"/>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highlight w:val="none"/>
                <w14:textFill>
                  <w14:solidFill>
                    <w14:schemeClr w14:val="tx1"/>
                  </w14:solidFill>
                </w14:textFill>
              </w:rPr>
              <w:t>3个相关部门职能科室，询问相关职责知晓与执行情况。部门履职率达100%，8分。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8</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查阅资料、现场询问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辖区政府将示范区建设实施方案相关工作纳入各部门绩效考核。</w:t>
            </w:r>
            <w:r>
              <w:rPr>
                <w:rFonts w:hint="default" w:ascii="Times New Roman" w:hAnsi="Times New Roman" w:eastAsia="仿宋_GB2312" w:cs="仿宋_GB2312"/>
                <w:color w:val="000000"/>
                <w:kern w:val="0"/>
                <w:sz w:val="18"/>
                <w:szCs w:val="18"/>
                <w:highlight w:val="none"/>
                <w:lang w:val="en-US" w:eastAsia="zh-CN" w:bidi="ar"/>
              </w:rPr>
              <w:t>领导小组各成员单位需每年召开本单位会议，保证全体员工对本部门政策的知晓与落实情况到位，并对本单位员工定期召开相关培训</w:t>
            </w:r>
            <w:r>
              <w:rPr>
                <w:rFonts w:hint="eastAsia" w:ascii="Times New Roman" w:hAnsi="Times New Roman" w:eastAsia="仿宋_GB2312" w:cs="仿宋_GB2312"/>
                <w:color w:val="000000"/>
                <w:kern w:val="0"/>
                <w:sz w:val="18"/>
                <w:szCs w:val="18"/>
                <w:highlight w:val="none"/>
                <w:lang w:val="en-US" w:eastAsia="zh-CN" w:bidi="ar"/>
              </w:rPr>
              <w:t>等</w:t>
            </w:r>
            <w:r>
              <w:rPr>
                <w:rFonts w:hint="default" w:ascii="Times New Roman" w:hAnsi="Times New Roman" w:eastAsia="仿宋_GB2312" w:cs="仿宋_GB2312"/>
                <w:color w:val="000000"/>
                <w:kern w:val="0"/>
                <w:sz w:val="18"/>
                <w:szCs w:val="18"/>
                <w:highlight w:val="none"/>
                <w:lang w:val="en-US" w:eastAsia="zh-CN" w:bidi="ar"/>
              </w:rPr>
              <w:t>。（查会议通知、会议记录、签到表、培训及宣传资料、图片</w:t>
            </w:r>
            <w:r>
              <w:rPr>
                <w:rFonts w:hint="eastAsia" w:ascii="Times New Roman" w:hAnsi="Times New Roman" w:eastAsia="仿宋_GB2312" w:cs="仿宋_GB2312"/>
                <w:color w:val="000000"/>
                <w:kern w:val="0"/>
                <w:sz w:val="18"/>
                <w:szCs w:val="18"/>
                <w:lang w:val="en-US" w:eastAsia="zh-CN" w:bidi="ar"/>
              </w:rPr>
              <w:t>等相关材料</w:t>
            </w:r>
            <w:r>
              <w:rPr>
                <w:rFonts w:hint="default" w:ascii="Times New Roman" w:hAnsi="Times New Roman" w:eastAsia="仿宋_GB2312" w:cs="仿宋_GB2312"/>
                <w:color w:val="000000"/>
                <w:kern w:val="0"/>
                <w:sz w:val="18"/>
                <w:szCs w:val="18"/>
                <w:highlight w:val="none"/>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4"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二、环境支持</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（50分</w:t>
            </w:r>
            <w:r>
              <w:rPr>
                <w:rFonts w:hint="default" w:ascii="Times New Roman" w:hAnsi="Times New Roman" w:cs="Times New Roman"/>
                <w:color w:val="000000" w:themeColor="text1"/>
                <w:sz w:val="18"/>
                <w:szCs w:val="18"/>
                <w14:textFill>
                  <w14:solidFill>
                    <w14:schemeClr w14:val="tx1"/>
                  </w14:solidFill>
                </w14:textFill>
              </w:rPr>
              <w:t>）</w:t>
            </w: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二、环境支持</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（50分</w:t>
            </w:r>
            <w:r>
              <w:rPr>
                <w:rFonts w:hint="default" w:ascii="Times New Roman" w:hAnsi="Times New Roman" w:cs="Times New Roman"/>
                <w:color w:val="000000" w:themeColor="text1"/>
                <w:sz w:val="18"/>
                <w:szCs w:val="18"/>
                <w14:textFill>
                  <w14:solidFill>
                    <w14:schemeClr w14:val="tx1"/>
                  </w14:solidFill>
                </w14:textFill>
              </w:rPr>
              <w:t>）</w:t>
            </w: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pStyle w:val="2"/>
              <w:rPr>
                <w:rFonts w:hint="default" w:ascii="Times New Roman" w:hAnsi="Times New Roman"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二、环境支持</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（50分</w:t>
            </w:r>
            <w:r>
              <w:rPr>
                <w:rFonts w:hint="default" w:ascii="Times New Roman" w:hAnsi="Times New Roman" w:cs="Times New Roman"/>
                <w:color w:val="000000" w:themeColor="text1"/>
                <w:sz w:val="18"/>
                <w:szCs w:val="18"/>
                <w14:textFill>
                  <w14:solidFill>
                    <w14:schemeClr w14:val="tx1"/>
                  </w14:solidFill>
                </w14:textFill>
              </w:rPr>
              <w:t>）</w:t>
            </w:r>
          </w:p>
          <w:p>
            <w:pPr>
              <w:pStyle w:val="2"/>
              <w:rPr>
                <w:rFonts w:hint="default" w:ascii="Times New Roman" w:hAnsi="Times New Roman"/>
              </w:rPr>
            </w:pPr>
          </w:p>
          <w:p>
            <w:pPr>
              <w:pStyle w:val="2"/>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（一）开展全民健康生活方式行动，实施健康细胞工程建设，构建全方位健康支持性环境。</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（22分）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rPr>
            </w:pPr>
            <w:r>
              <w:rPr>
                <w:rFonts w:hint="default" w:ascii="Times New Roman" w:hAnsi="Times New Roman" w:eastAsia="仿宋_GB2312" w:cs="Times New Roman"/>
                <w:color w:val="000000" w:themeColor="text1"/>
                <w:sz w:val="18"/>
                <w:szCs w:val="18"/>
                <w14:textFill>
                  <w14:solidFill>
                    <w14:schemeClr w14:val="tx1"/>
                  </w14:solidFill>
                </w14:textFill>
              </w:rPr>
              <w:t>（一）开展全民健康生活方式行动，实施健康细胞工程建设，构建全方位健康支持性环境。（22分）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w:t>
            </w: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1.开展健康家庭、社区（村）、企业、机关（单位）、医院、学校、餐厅（食堂）、市场（超市、商场）建设，数量逐年增加。</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（1）开展健康家庭创建活动的社区（村）占辖区社区（村）总数的30%以上，2分；20</w:t>
            </w:r>
            <w:r>
              <w:rPr>
                <w:rFonts w:hint="eastAsia" w:ascii="Times New Roman" w:hAnsi="Times New Roman" w:eastAsia="仿宋_GB2312" w:cs="Times New Roman"/>
                <w:color w:val="000000" w:themeColor="text1"/>
                <w:sz w:val="18"/>
                <w:szCs w:val="18"/>
                <w:highlight w:val="none"/>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highlight w:val="none"/>
                <w14:textFill>
                  <w14:solidFill>
                    <w14:schemeClr w14:val="tx1"/>
                  </w14:solidFill>
                </w14:textFill>
              </w:rPr>
              <w:t>30%，1分；20%以下不得分。每个社区至少评选10个及以上健康家庭，不达标者酌情扣分。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（2）创建健康社区（村）、企业、机关（单位）、医院、学校、餐厅（食堂）、</w:t>
            </w: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市场（超市、商场）占同类单位总数的30%以上，每类得1分；20</w:t>
            </w:r>
            <w:r>
              <w:rPr>
                <w:rFonts w:hint="eastAsia" w:ascii="Times New Roman" w:hAnsi="Times New Roman" w:eastAsia="仿宋_GB2312" w:cs="Times New Roman"/>
                <w:color w:val="000000" w:themeColor="text1"/>
                <w:kern w:val="0"/>
                <w:sz w:val="18"/>
                <w:szCs w:val="18"/>
                <w:highlight w:val="none"/>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30%，每类得0.5分，20%以下不得分。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（3）查阅名单，随机抽查每类1个单位，发现有1个不达标的该类别不得分。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highlight w:val="none"/>
                <w14:textFill>
                  <w14:solidFill>
                    <w14:schemeClr w14:val="tx1"/>
                  </w14:solidFill>
                </w14:textFill>
              </w:rPr>
            </w:pPr>
            <w:r>
              <w:rPr>
                <w:rFonts w:hint="default" w:ascii="Times New Roman" w:hAnsi="Times New Roman" w:eastAsia="仿宋_GB2312" w:cs="Times New Roman"/>
                <w:color w:val="000000" w:themeColor="text1"/>
                <w:sz w:val="18"/>
                <w:szCs w:val="18"/>
                <w:highlight w:val="none"/>
                <w14:textFill>
                  <w14:solidFill>
                    <w14:schemeClr w14:val="tx1"/>
                  </w14:solidFill>
                </w14:textFill>
              </w:rPr>
              <w:t>（4）复审：开展健康家庭评选活动的社区（村）占辖区社区（村）总数的比例每年递增3%或达到40%以上得2分；其他健康细胞占同类单位总数的比例每年递增3%或达到30%以上，每类1分，每年增加比例未达到要求者该类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t>9</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查阅资料，查看健康支持性环境名单，随机抽查每类1个</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领导小组相关单位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default" w:ascii="Times New Roman" w:hAnsi="Times New Roman" w:eastAsia="仿宋_GB2312" w:cs="仿宋_GB2312"/>
                <w:color w:val="000000"/>
                <w:kern w:val="0"/>
                <w:sz w:val="18"/>
                <w:szCs w:val="18"/>
                <w:highlight w:val="none"/>
                <w:lang w:val="en-US" w:eastAsia="zh-CN" w:bidi="ar"/>
              </w:rPr>
              <w:t>1.各镇街提供的社区或村名单及创建名单</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default" w:ascii="Times New Roman" w:hAnsi="Times New Roman" w:eastAsia="仿宋_GB2312" w:cs="仿宋_GB2312"/>
                <w:color w:val="000000"/>
                <w:kern w:val="0"/>
                <w:sz w:val="18"/>
                <w:szCs w:val="18"/>
                <w:highlight w:val="none"/>
                <w:lang w:val="en-US" w:eastAsia="zh-CN" w:bidi="ar"/>
              </w:rPr>
              <w:t>2.各牵头单位提供的辖区相应健康细胞名单及创建名单</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eastAsia" w:ascii="Times New Roman" w:hAnsi="Times New Roman" w:eastAsia="仿宋_GB2312" w:cs="仿宋_GB2312"/>
                <w:color w:val="000000"/>
                <w:kern w:val="0"/>
                <w:sz w:val="18"/>
                <w:szCs w:val="18"/>
                <w:highlight w:val="none"/>
                <w:lang w:val="en-US" w:eastAsia="zh-CN" w:bidi="ar"/>
              </w:rPr>
              <w:t>3.现场查看</w:t>
            </w:r>
          </w:p>
          <w:p>
            <w:pPr>
              <w:pStyle w:val="9"/>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themeColor="text1"/>
                <w:kern w:val="0"/>
                <w:sz w:val="18"/>
                <w:szCs w:val="18"/>
                <w:highlight w:val="none"/>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2.开展健康主题广场（公园）、步道（健康街道）等健康支持性环境建设，数量逐年增加。</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（1）规划建设健康主题广场（公园）、步道（健康街道）等，每建设1类，得1分，满分2分。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（2）现场评估发现1个不达标，该类别不得分。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（3）复审：健康主题广场（公园）、步道（健康街道）等数量逐年有增加或每类建设数量达到3个，每类1分，满分2分，未达到要求者该类别不得分。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查阅资料，查看健康支持性环境名单</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市政园林中心、</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里口山管理服务中心、</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各镇街</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color w:val="000000"/>
                <w:kern w:val="0"/>
                <w:sz w:val="18"/>
                <w:szCs w:val="18"/>
                <w:highlight w:val="none"/>
                <w:lang w:val="en-US" w:eastAsia="zh-CN" w:bidi="ar"/>
              </w:rPr>
            </w:pPr>
            <w:r>
              <w:rPr>
                <w:rFonts w:hint="eastAsia" w:ascii="Times New Roman" w:hAnsi="Times New Roman" w:eastAsia="仿宋_GB2312" w:cs="仿宋_GB2312"/>
                <w:color w:val="000000"/>
                <w:kern w:val="0"/>
                <w:sz w:val="18"/>
                <w:szCs w:val="18"/>
                <w:highlight w:val="none"/>
                <w:lang w:val="en-US" w:eastAsia="zh-CN" w:bidi="ar"/>
              </w:rPr>
              <w:t>1.</w:t>
            </w:r>
            <w:r>
              <w:rPr>
                <w:rFonts w:hint="default" w:ascii="Times New Roman" w:hAnsi="Times New Roman" w:eastAsia="仿宋_GB2312" w:cs="仿宋_GB2312"/>
                <w:color w:val="000000"/>
                <w:kern w:val="0"/>
                <w:sz w:val="18"/>
                <w:szCs w:val="18"/>
                <w:highlight w:val="none"/>
                <w:lang w:val="en-US" w:eastAsia="zh-CN" w:bidi="ar"/>
              </w:rPr>
              <w:t>各牵头单位</w:t>
            </w:r>
            <w:r>
              <w:rPr>
                <w:rFonts w:hint="eastAsia" w:ascii="Times New Roman" w:hAnsi="Times New Roman" w:eastAsia="仿宋_GB2312" w:cs="仿宋_GB2312"/>
                <w:color w:val="000000"/>
                <w:kern w:val="0"/>
                <w:sz w:val="18"/>
                <w:szCs w:val="18"/>
                <w:highlight w:val="none"/>
                <w:lang w:val="en-US" w:eastAsia="zh-CN" w:bidi="ar"/>
              </w:rPr>
              <w:t>提供</w:t>
            </w:r>
            <w:r>
              <w:rPr>
                <w:rFonts w:hint="default" w:ascii="Times New Roman" w:hAnsi="Times New Roman" w:eastAsia="仿宋_GB2312" w:cs="仿宋_GB2312"/>
                <w:color w:val="000000"/>
                <w:kern w:val="0"/>
                <w:sz w:val="18"/>
                <w:szCs w:val="18"/>
                <w:highlight w:val="none"/>
                <w:lang w:val="en-US" w:eastAsia="zh-CN" w:bidi="ar"/>
              </w:rPr>
              <w:t>广场（公园)、步道的规划方案及相应照片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lang w:val="en-US" w:eastAsia="zh-CN"/>
              </w:rPr>
            </w:pPr>
            <w:r>
              <w:rPr>
                <w:rFonts w:hint="eastAsia" w:ascii="Times New Roman" w:hAnsi="Times New Roman" w:eastAsia="仿宋_GB2312" w:cs="仿宋_GB2312"/>
                <w:color w:val="000000"/>
                <w:kern w:val="0"/>
                <w:sz w:val="18"/>
                <w:szCs w:val="18"/>
                <w:highlight w:val="none"/>
                <w:lang w:val="en-US" w:eastAsia="zh-CN" w:bidi="ar"/>
              </w:rPr>
              <w:t>2.现场查看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3.开展</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一评二控三减四健</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（健康评估、控烟、控酒、减盐、减油、减糖、健康口腔、健康体重、健康骨骼、健康心理）专项行动。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（1）开展专项行动</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每开展一项得0.5分，获得省级及以上奖励1次得1分，满分7分。减盐行动为必选项，未开展该项不得分。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（2）食盐与食用油的摄入量低于全省平均水平10%以上,各1分。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（3）复审：开展专项行动、每开展一项得0.7分。食盐与食用油的摄入量5年下降10%或低于全省平均水平10%以上，各1分，未达到要求者不得分。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9</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各单位下发的三减三健文件及组织的活动（通知、签到表、照片、总结或报道）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9"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4.培养基层健康指导员</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（1）配备健康指导员的村（社区）比例达到60%，得2分，不达标不得分。</w:t>
            </w:r>
          </w:p>
          <w:p>
            <w:pPr>
              <w:keepNext w:val="0"/>
              <w:keepLines w:val="0"/>
              <w:pageBreakBefore w:val="0"/>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w:t>
            </w:r>
            <w:r>
              <w:rPr>
                <w:rFonts w:hint="default" w:ascii="Times New Roman" w:hAnsi="Times New Roman" w:eastAsia="仿宋_GB2312" w:cs="Times New Roman"/>
                <w:color w:val="000000" w:themeColor="text1"/>
                <w:spacing w:val="-10"/>
                <w:sz w:val="18"/>
                <w:szCs w:val="18"/>
                <w14:textFill>
                  <w14:solidFill>
                    <w14:schemeClr w14:val="tx1"/>
                  </w14:solidFill>
                </w14:textFill>
              </w:rPr>
              <w:t>复审：配备健康指导员的村（社区）比例年增加10%或达到90%以上，得2分，未达到要求者不得分。</w:t>
            </w:r>
          </w:p>
        </w:tc>
        <w:tc>
          <w:tcPr>
            <w:tcW w:w="704"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w:t>
            </w:r>
          </w:p>
        </w:tc>
        <w:tc>
          <w:tcPr>
            <w:tcW w:w="681"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eastAsia="仿宋_GB2312" w:cs="Times New Roman"/>
                <w:color w:val="000000" w:themeColor="text1"/>
                <w:sz w:val="18"/>
                <w:szCs w:val="18"/>
                <w:highlight w:val="none"/>
                <w:lang w:val="en-US" w:eastAsia="zh-CN"/>
                <w14:textFill>
                  <w14:solidFill>
                    <w14:schemeClr w14:val="tx1"/>
                  </w14:solidFill>
                </w14:textFill>
              </w:rPr>
              <w:t>里口山管理服务中心、</w:t>
            </w:r>
            <w:r>
              <w:rPr>
                <w:rFonts w:hint="default" w:ascii="Times New Roman" w:hAnsi="Times New Roman" w:eastAsia="仿宋_GB2312" w:cs="Times New Roman"/>
                <w:color w:val="000000" w:themeColor="text1"/>
                <w:sz w:val="18"/>
                <w:szCs w:val="18"/>
                <w:highlight w:val="none"/>
                <w:lang w:val="en-US" w:eastAsia="zh-CN"/>
                <w14:textFill>
                  <w14:solidFill>
                    <w14:schemeClr w14:val="tx1"/>
                  </w14:solidFill>
                </w14:textFill>
              </w:rPr>
              <w:t>各镇街</w:t>
            </w:r>
          </w:p>
        </w:tc>
        <w:tc>
          <w:tcPr>
            <w:tcW w:w="297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highlight w:val="none"/>
                <w:lang w:eastAsia="zh-CN"/>
                <w14:textFill>
                  <w14:solidFill>
                    <w14:schemeClr w14:val="tx1"/>
                  </w14:solidFill>
                </w14:textFill>
              </w:rPr>
              <w:t>村（社区）及基层指导员名单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（二）为群众提供方便、可及的自助式健康检测服务。（8分）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1.社区设立自助式健康检测点，检测内容包括身高、体重、腰围、血压等。（不含设在医疗卫生机构内的）</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（1）设置</w:t>
            </w:r>
            <w:r>
              <w:rPr>
                <w:rFonts w:hint="default" w:ascii="Times New Roman" w:hAnsi="Times New Roman" w:eastAsia="仿宋_GB2312" w:cs="Times New Roman"/>
                <w:color w:val="000000" w:themeColor="text1"/>
                <w:spacing w:val="-6"/>
                <w:sz w:val="18"/>
                <w:szCs w:val="18"/>
                <w14:textFill>
                  <w14:solidFill>
                    <w14:schemeClr w14:val="tx1"/>
                  </w14:solidFill>
                </w14:textFill>
              </w:rPr>
              <w:t>自助式健康检测点的社区比例不低于30%，4分；20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30%，2分；20%以下不得分。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（2）复审：自助式健康检测点逐年增加5%或达到40%，4分，未达到要求者不得分。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查阅检测点名单，现场随机抽查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各镇街、</w:t>
            </w:r>
            <w:r>
              <w:rPr>
                <w:rFonts w:hint="eastAsia"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里口山管理服务中心、</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自助检测点名单及社区名单、照片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2.社区卫生服务中心和乡镇卫生院设置自助式健康检测点，并提供个体化健康指导。</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（1）设置健康检测点的机构覆盖率＞80%，2分；70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80%，1分；70%以下不得分。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w:t>
            </w:r>
            <w:r>
              <w:rPr>
                <w:rFonts w:hint="default" w:ascii="Times New Roman" w:hAnsi="Times New Roman" w:eastAsia="仿宋_GB2312" w:cs="Times New Roman"/>
                <w:color w:val="000000" w:themeColor="text1"/>
                <w:spacing w:val="-6"/>
                <w:sz w:val="18"/>
                <w:szCs w:val="18"/>
                <w14:textFill>
                  <w14:solidFill>
                    <w14:schemeClr w14:val="tx1"/>
                  </w14:solidFill>
                </w14:textFill>
              </w:rPr>
              <w:t>提供个性化健康指导的机构比例＞50%，2分；30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50%，1分；30%以下不得分。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现场查看</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Theme="minorEastAsia" w:cstheme="minorBidi"/>
                <w:kern w:val="2"/>
                <w:sz w:val="21"/>
                <w:szCs w:val="22"/>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设置健康检测点的机构名单及提供个性化指导的名单，指导的照片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（三）开展全民健身运动，普及公共体育设施，提高经常参加体育锻炼人口比例。</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1.社区建设15分钟健身圈，完善居民健身公共服务体系。</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（1）社区15分钟健身圈的覆盖率≥90%，1分；70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90%，0.5分；70%以下不得分。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（2）设备完好100%，0.5分；其余0分。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（3）人均体育场地面积不低于2平米，0.5分。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在《规划》中划出10分钟健身圈及人均体育场地面积</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设备完好照片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2.公共体育场地、有条件的企事业、学校的体育场地免费或低收费向社区居民开放。</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（1）公共体育场地、设施免费或低收费开放比例100%，1分；其余0分。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（2）有条件的单位免费或低收费开放比例≥30%，1分；30%以下不得分。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出台的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文件及有序开放名单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3.机关</w:t>
            </w:r>
            <w:r>
              <w:rPr>
                <w:rFonts w:hint="default" w:ascii="Times New Roman" w:hAnsi="Times New Roman" w:eastAsia="仿宋_GB2312" w:cs="Times New Roman"/>
                <w:color w:val="000000" w:themeColor="text1"/>
                <w:spacing w:val="-10"/>
                <w:kern w:val="0"/>
                <w:sz w:val="18"/>
                <w:szCs w:val="18"/>
                <w14:textFill>
                  <w14:solidFill>
                    <w14:schemeClr w14:val="tx1"/>
                  </w14:solidFill>
                </w14:textFill>
              </w:rPr>
              <w:t>、企事业单位开展工间（前）健身活动，组织符合单位特点的健身和竞赛活动。</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（1）开展工间（前）健身活动单位覆盖率≥80%，1分；80%以下不得分。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（2）每年机关、企事业单位组织开展至少1次健身竞赛活动，1分；未开展不得分。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1.出台</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2.组织的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各类健身</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活动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4.实施青少年体育活动促进计划。</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中、小学生每天锻炼1小时的比例达到100%，2分；80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100%，1分；80%以下不得分。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出台的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5.提高经常参加体育锻炼人口比例，提倡科学健身，促进体医融合。</w:t>
            </w:r>
          </w:p>
        </w:tc>
        <w:tc>
          <w:tcPr>
            <w:tcW w:w="2445" w:type="dxa"/>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（1）经常参加体育锻炼人口比例≥40%,1分；35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40%，0.5分；35%以下不得分。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（2）开展国民体质健康监测，为居民提供个体化运动处方，1分；未开展不得分。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出台的</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相关</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文件及个性化活动照片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（四）开展烟草控制，降低人群吸烟率。</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1.辖区室内公共场所、工作场所和公共交通工具设置禁止吸烟警语和标识。</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辖区100%的室内公共场所和工作场所设置禁止吸烟警语和标识，3分；95%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100%,1分；95%以下不得分。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现场查看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auto"/>
                <w:kern w:val="0"/>
                <w:sz w:val="18"/>
                <w:szCs w:val="18"/>
              </w:rPr>
            </w:pPr>
            <w:r>
              <w:rPr>
                <w:rFonts w:hint="default" w:ascii="Times New Roman" w:hAnsi="Times New Roman" w:eastAsia="仿宋_GB2312" w:cs="Times New Roman"/>
                <w:color w:val="auto"/>
                <w:kern w:val="0"/>
                <w:sz w:val="18"/>
                <w:szCs w:val="18"/>
              </w:rPr>
              <w:t>2.禁止烟草广告。</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18"/>
                <w:szCs w:val="18"/>
              </w:rPr>
            </w:pPr>
            <w:r>
              <w:rPr>
                <w:rFonts w:hint="default" w:ascii="Times New Roman" w:hAnsi="Times New Roman" w:eastAsia="仿宋_GB2312" w:cs="Times New Roman"/>
                <w:color w:val="auto"/>
                <w:sz w:val="18"/>
                <w:szCs w:val="18"/>
              </w:rPr>
              <w:t>（1）辖区有禁止烟草广告的政策文件，0.5分。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auto"/>
                <w:sz w:val="18"/>
                <w:szCs w:val="18"/>
              </w:rPr>
            </w:pPr>
            <w:r>
              <w:rPr>
                <w:rFonts w:hint="default" w:ascii="Times New Roman" w:hAnsi="Times New Roman" w:eastAsia="仿宋_GB2312" w:cs="Times New Roman"/>
                <w:color w:val="auto"/>
                <w:sz w:val="18"/>
                <w:szCs w:val="18"/>
              </w:rPr>
              <w:t>（2）辖区未发现烟草广告，0.5分。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rPr>
            </w:pPr>
            <w:r>
              <w:rPr>
                <w:rFonts w:hint="default" w:ascii="Times New Roman" w:hAnsi="Times New Roman" w:eastAsia="仿宋_GB2312" w:cs="Times New Roman"/>
                <w:color w:val="auto"/>
                <w:kern w:val="0"/>
                <w:sz w:val="18"/>
                <w:szCs w:val="18"/>
              </w:rPr>
              <w:t>1</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default" w:ascii="Times New Roman" w:hAnsi="Times New Roman" w:eastAsia="仿宋_GB2312" w:cs="Times New Roman"/>
                <w:color w:val="auto"/>
                <w:kern w:val="0"/>
                <w:sz w:val="18"/>
                <w:szCs w:val="18"/>
                <w:lang w:val="en-US" w:eastAsia="zh-CN"/>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eastAsia" w:ascii="Times New Roman" w:hAnsi="Times New Roman" w:eastAsia="仿宋_GB2312" w:cs="Times New Roman"/>
                <w:color w:val="auto"/>
                <w:kern w:val="0"/>
                <w:sz w:val="18"/>
                <w:szCs w:val="18"/>
                <w:lang w:val="en-US" w:eastAsia="zh-CN"/>
              </w:rPr>
              <w:t>区市场监督管理局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Times New Roman"/>
                <w:color w:val="auto"/>
                <w:kern w:val="0"/>
                <w:sz w:val="18"/>
                <w:szCs w:val="18"/>
                <w:lang w:eastAsia="zh-CN"/>
              </w:rPr>
              <w:t>出台的</w:t>
            </w:r>
            <w:r>
              <w:rPr>
                <w:rFonts w:hint="eastAsia" w:ascii="Times New Roman" w:hAnsi="Times New Roman" w:eastAsia="仿宋_GB2312" w:cs="Times New Roman"/>
                <w:color w:val="auto"/>
                <w:kern w:val="0"/>
                <w:sz w:val="18"/>
                <w:szCs w:val="18"/>
                <w:lang w:val="en-US" w:eastAsia="zh-CN"/>
              </w:rPr>
              <w:t>相关</w:t>
            </w:r>
            <w:r>
              <w:rPr>
                <w:rFonts w:hint="default" w:ascii="Times New Roman" w:hAnsi="Times New Roman" w:eastAsia="仿宋_GB2312" w:cs="Times New Roman"/>
                <w:color w:val="auto"/>
                <w:kern w:val="0"/>
                <w:sz w:val="18"/>
                <w:szCs w:val="18"/>
                <w:lang w:eastAsia="zh-CN"/>
              </w:rPr>
              <w:t>文件</w:t>
            </w:r>
            <w:r>
              <w:rPr>
                <w:rFonts w:hint="eastAsia" w:ascii="Times New Roman" w:hAnsi="Times New Roman" w:eastAsia="仿宋_GB2312" w:cs="Times New Roman"/>
                <w:color w:val="auto"/>
                <w:kern w:val="0"/>
                <w:sz w:val="18"/>
                <w:szCs w:val="18"/>
                <w:lang w:eastAsia="zh-CN"/>
              </w:rPr>
              <w:t>、</w:t>
            </w:r>
            <w:r>
              <w:rPr>
                <w:rFonts w:hint="eastAsia" w:ascii="Times New Roman" w:hAnsi="Times New Roman" w:eastAsia="仿宋_GB2312" w:cs="Times New Roman"/>
                <w:color w:val="auto"/>
                <w:kern w:val="0"/>
                <w:sz w:val="18"/>
                <w:szCs w:val="18"/>
                <w:lang w:val="en-US" w:eastAsia="zh-CN"/>
              </w:rPr>
              <w:t>现场查看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3.建设无烟党政机关、无烟医疗卫生计生机构、无烟学校。</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（1）覆盖率均达100%，2分；低于100%不得分。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（2）抽查发现1个单位不合格，不得分。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局、领导小组各成员单位</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无烟单位的名单及比率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4.辖区各级医疗机构开展简短戒烟服务培训，二级及以上医疗机构提供简短戒烟服务。</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(1)开展简短戒烟服务培训的医疗机构比例≥80%，1分；80%以下不得分。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(2)提供简短戒烟服务的医疗机构比例100%，1分；100%以下不得分。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医疗机构包括辖区驻地的一、二、三级医疗机构和妇幼保健院。</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查阅资料、现场抽查</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提供服务的医疗机构名单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5.降低辖区15岁以上成年人吸烟率。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(1)15岁以上成人吸烟率低于22%，2分。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(2)复审：15岁以上成人吸烟率逐年下降，5年降低10%；5年降低未达到10%不得分。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查阅</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社会因素调查报告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1"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三、体系整合</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（30分）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（一）建立防治结合、分工协作、优势互补、上下联动的慢性病综合防治体系。</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1.建立完善慢性病防控服务体系和分工明确、上下联动的工作机制。</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（1）辖区卫生健康行政部门制订实施慢性病防控服务体系建设的方案，4分。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（2）明确专业公共卫生机构、医院和基层医疗卫生机构职责，4分。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8</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《环翠区慢性病防控服务体系建设方案》包括指标、内容、方法、措施、职责分工、督导、实施步骤、资金预算。《环翠区三高共管六病同防实施方案》</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《环翠区基本公共卫生服务项目考核办法的通知》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2.建立完善信息共享、互联互通等的工作机制，推进慢性病防、治、管的整合。</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（1）卫生健康行政部门负责督导慢性病防控服务体系的有效运行，2分。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（2）建立完善慢性病防控服务体系的运行、质控、绩效评价机制，2分。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（3）辖区开展医联体、医共体等建设，将慢性病防控作为县域医联体、医共体的重点内容。疾控、医院对基层医疗卫生机构进行的技术指导，建立有效的协作机制，2分。</w:t>
            </w:r>
          </w:p>
          <w:p>
            <w:pPr>
              <w:keepNext w:val="0"/>
              <w:keepLines w:val="0"/>
              <w:pageBreakBefore w:val="0"/>
              <w:widowControl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（4）疾控机构指导乡镇（街道）对辖区居民电子健康档案及健康相关信息、干预效果进行分析评估，提供优化策略，1分。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7</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卫生健康局对疾控和医疗机构的督导考核的通知、结果、奖惩</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医防融合、基本公卫、双向转诊、三级诊疗</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、医联体、医共体</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的相关文件</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疾控机构和医疗机构对基层医疗机构的指导和支援和合作，对口支援的通知和总结</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1"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（二）加强慢性病防控队伍建设。（15分）</w:t>
            </w:r>
          </w:p>
          <w:p>
            <w:pPr>
              <w:pStyle w:val="2"/>
              <w:rPr>
                <w:rFonts w:hint="default" w:ascii="Times New Roman" w:hAnsi="Times New Roman"/>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1.辖区疾病预防控制机构按职能有独立的慢性病防控科室，配备专职人员。</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（1）疾病预防控制机构有独立的慢性病防控科室，2分。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（2）专职人员占本机构专业人员总数的比例≥10%，2分；5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10%，1分；低于5%不得分。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（3）每年接受上级专业培训不少于2次，1分。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关于成立威海市环翠区疾病预防控制中心的通知</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疾控和监督合并的通知</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关于公布慢性病和地方病防制科科室人员名单的通知</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关于杨翠红等同志任免职的通知</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参与市级、省级培训的通知和照片</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疾控对医疗机构培训的通知、签到、照片、课件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2.二级以上医院设立公共卫生科，配备公共卫生专业人员，履行相应的公共卫生职责。</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（1）二级以上医院</w:t>
            </w:r>
            <w:r>
              <w:rPr>
                <w:rFonts w:hint="default" w:ascii="Times New Roman" w:hAnsi="Times New Roman" w:eastAsia="仿宋_GB2312" w:cs="Times New Roman"/>
                <w:color w:val="000000" w:themeColor="text1"/>
                <w:kern w:val="0"/>
                <w:sz w:val="18"/>
                <w:szCs w:val="18"/>
                <w14:textFill>
                  <w14:solidFill>
                    <w14:schemeClr w14:val="tx1"/>
                  </w14:solidFill>
                </w14:textFill>
              </w:rPr>
              <w:t>设立公共卫生科，1分；</w:t>
            </w:r>
            <w:r>
              <w:rPr>
                <w:rFonts w:hint="default" w:ascii="Times New Roman" w:hAnsi="Times New Roman" w:eastAsia="仿宋_GB2312" w:cs="Times New Roman"/>
                <w:color w:val="000000" w:themeColor="text1"/>
                <w:sz w:val="18"/>
                <w:szCs w:val="18"/>
                <w14:textFill>
                  <w14:solidFill>
                    <w14:schemeClr w14:val="tx1"/>
                  </w14:solidFill>
                </w14:textFill>
              </w:rPr>
              <w:t>有承担疾病预防控制工作的部门，1分。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（2）二级以上医院有专职的公共卫生人员承担慢性病防控工作，1分。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（3）二级以上医院每年组织对辖区基层医疗机构的慢病专业培训不少于2次且基层慢性病防治人员培训率达90%以上，2分；培训率80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90%，1分，低于80%不得分。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二级医疗机构成立公共卫生科的通知（包括人员设置）</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二级医疗机构对基层医疗机构培训的通知、签到、照片、课件</w:t>
            </w:r>
          </w:p>
          <w:p>
            <w:pPr>
              <w:pStyle w:val="9"/>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3.基层医疗卫生机构加强公共卫生服务能力建设，承担所在区域慢性病防控工作。</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（1）基层医疗机构设有单独的科室负责慢性病防控工作，1分。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（2）基层医疗机构有专职人员承担慢性病防控工作，2分。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（3）基层医疗机构每年接受上级培训不少于2次，1分。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（4）基层医疗机构每年组织对村医或社区卫生服务站医护人员的培训不少于2次且培训率达到90%以上，1分。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各基层医疗机构成立公共卫生科的通知（包括人员设置）</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仿宋_GB2312"/>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基层医疗机构接受上级培</w:t>
            </w:r>
            <w:r>
              <w:rPr>
                <w:rFonts w:hint="default" w:ascii="Times New Roman" w:hAnsi="Times New Roman" w:eastAsia="仿宋_GB2312" w:cs="仿宋_GB2312"/>
                <w:color w:val="000000" w:themeColor="text1"/>
                <w:kern w:val="0"/>
                <w:sz w:val="18"/>
                <w:szCs w:val="18"/>
                <w:lang w:eastAsia="zh-CN"/>
                <w14:textFill>
                  <w14:solidFill>
                    <w14:schemeClr w14:val="tx1"/>
                  </w14:solidFill>
                </w14:textFill>
              </w:rPr>
              <w:t>训的通知及照片</w:t>
            </w:r>
          </w:p>
          <w:p>
            <w:pPr>
              <w:pStyle w:val="9"/>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基层医疗机构对村医或卫生服务站医护人员培训的通知、签到、照片、课件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0"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四、健康教育与健康促进</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（28分）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四、健康教育与健康促进</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（28分）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（一）通过多种渠道积极开展慢性病防治全民健康教育。</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1.广泛开展健康教育，定期传播慢性病防治和健康素养知识和技能。</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利用社会主流媒体和互联网等新媒体广泛开展慢性病防治和健康教育，每月不少于2次，2分。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default" w:ascii="Times New Roman" w:hAnsi="Times New Roman" w:eastAsia="仿宋_GB2312" w:cs="Times New Roman"/>
                <w:color w:val="auto"/>
                <w:kern w:val="0"/>
                <w:sz w:val="18"/>
                <w:szCs w:val="18"/>
                <w:lang w:val="en-US" w:eastAsia="zh-CN"/>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auto"/>
                <w:kern w:val="0"/>
                <w:sz w:val="18"/>
                <w:szCs w:val="18"/>
                <w:lang w:val="en-US" w:eastAsia="zh-CN"/>
              </w:rPr>
            </w:pPr>
            <w:r>
              <w:rPr>
                <w:rFonts w:hint="default" w:ascii="Times New Roman" w:hAnsi="Times New Roman" w:eastAsia="仿宋_GB2312" w:cs="Times New Roman"/>
                <w:color w:val="auto"/>
                <w:kern w:val="0"/>
                <w:sz w:val="18"/>
                <w:szCs w:val="18"/>
                <w:lang w:val="en-US" w:eastAsia="zh-CN"/>
              </w:rPr>
              <w:t>区融媒体中心、区</w:t>
            </w:r>
            <w:r>
              <w:rPr>
                <w:rFonts w:hint="default" w:ascii="Times New Roman" w:hAnsi="Times New Roman" w:eastAsia="仿宋_GB2312" w:cs="Times New Roman"/>
                <w:color w:val="auto"/>
                <w:kern w:val="0"/>
                <w:sz w:val="18"/>
                <w:szCs w:val="18"/>
                <w:lang w:eastAsia="zh-CN"/>
              </w:rPr>
              <w:t>卫生健康</w:t>
            </w:r>
            <w:r>
              <w:rPr>
                <w:rFonts w:hint="default" w:ascii="Times New Roman" w:hAnsi="Times New Roman" w:eastAsia="仿宋_GB2312" w:cs="Times New Roman"/>
                <w:color w:val="auto"/>
                <w:kern w:val="0"/>
                <w:sz w:val="18"/>
                <w:szCs w:val="18"/>
                <w:lang w:val="en-US" w:eastAsia="zh-CN"/>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Times New Roman"/>
                <w:color w:val="auto"/>
                <w:kern w:val="0"/>
                <w:sz w:val="18"/>
                <w:szCs w:val="18"/>
                <w:lang w:eastAsia="zh-CN" w:bidi="ar-SA"/>
              </w:rPr>
              <w:t>各类宣传的</w:t>
            </w:r>
            <w:r>
              <w:rPr>
                <w:rFonts w:hint="default" w:ascii="Times New Roman" w:hAnsi="Times New Roman" w:eastAsia="仿宋_GB2312" w:cs="Times New Roman"/>
                <w:color w:val="auto"/>
                <w:kern w:val="0"/>
                <w:sz w:val="18"/>
                <w:szCs w:val="18"/>
                <w:lang w:val="en-US" w:eastAsia="zh-CN" w:bidi="ar-SA"/>
              </w:rPr>
              <w:t>统计表，</w:t>
            </w:r>
            <w:r>
              <w:rPr>
                <w:rFonts w:hint="default" w:ascii="Times New Roman" w:hAnsi="Times New Roman" w:eastAsia="仿宋_GB2312" w:cs="Times New Roman"/>
                <w:color w:val="auto"/>
                <w:kern w:val="0"/>
                <w:sz w:val="18"/>
                <w:szCs w:val="18"/>
                <w:lang w:eastAsia="zh-CN" w:bidi="ar-SA"/>
              </w:rPr>
              <w:t>宣传的照片或者网络宣传的</w:t>
            </w:r>
            <w:r>
              <w:rPr>
                <w:rFonts w:hint="default" w:ascii="Times New Roman" w:hAnsi="Times New Roman" w:eastAsia="仿宋_GB2312" w:cs="Times New Roman"/>
                <w:color w:val="auto"/>
                <w:kern w:val="0"/>
                <w:sz w:val="18"/>
                <w:szCs w:val="18"/>
                <w:lang w:val="en-US" w:eastAsia="zh-CN" w:bidi="ar-SA"/>
              </w:rPr>
              <w:t>截图等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9"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2.开展社会性大型健康日活动，扩大传播慢性病防治和慢病健康素养知识和技能的范围。</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辖区每年至少开展4次健康主题日大型宣传活动，应包括肿瘤宣传周、全国高血压日、世界糖尿病日、全民健康生活方式日、爱牙日、世界脑卒中日等，2分。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大型活动是指参与人数超过300人(含分会场)。</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宣传日</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活动</w:t>
            </w: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统计表汇总，总结和照片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3.各社区设有健康教育宣传阵地，向居民普及慢性病防控的知识与技能。</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（1）健康教育活动室在当地社区的覆盖率达85%，1分。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（2）健康宣传栏社区覆盖率≥90%，内容至少2个月更新1次，1分。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（3）社区健康讲座每年≥4次，每次不少于50人，1分。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各镇街、</w:t>
            </w: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里口山管理服务中心</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健康教育活动室、宣传栏</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健康教育讲座</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的</w:t>
            </w: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计划和分布表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4.开展幼儿园、中小学校健康行为方式教育。</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（1）幼儿园、中小学校开设健康教育课覆盖率达100%，1分。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（2）健康教育课包括营养均衡、口腔保健、健康体重、视力保护等内容，每学期以班级为单位，课程≥6学时，2分；低于6学时不得分。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幼儿园和中小学的课程表，课件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（二）提高居民重点慢性病核心知识知晓率和居民健康素养水平。（10分）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1.提高居民重点慢性病核心知识知晓率。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居民重点慢性病核心知识知晓率≥60%，6分；50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60%，4分；低于50%不得分。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慢性病社会因素调查报</w:t>
            </w:r>
            <w:r>
              <w:rPr>
                <w:rFonts w:hint="default" w:ascii="Times New Roman" w:hAnsi="Times New Roman" w:eastAsia="仿宋_GB2312" w:cs="Times New Roman"/>
                <w:color w:val="000000" w:themeColor="text1"/>
                <w:kern w:val="0"/>
                <w:sz w:val="18"/>
                <w:szCs w:val="18"/>
                <w:lang w:eastAsia="zh-CN" w:bidi="ar-SA"/>
                <w14:textFill>
                  <w14:solidFill>
                    <w14:schemeClr w14:val="tx1"/>
                  </w14:solidFill>
                </w14:textFill>
              </w:rPr>
              <w:t>，调查方法及知晓率数值需要明确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2.提高居民健康素养水平。</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居民健康素养水平达到20%或高于全省平均水平，4分；15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20%，3分；15%以下不得分。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健康素养调查，调查方法及健康素养水平具体数值需要明确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1"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（三）发挥社会团体和群众组织在慢性病防控中的积极作用。</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（8分）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1.辖区开展群众性健身运动。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（1）有5个及以上的群众健身团体，1分。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（2）配有体育指导员和志愿者，社会体育指导员数量占总人口的2.3‰以上，1分。达不到不得分。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复审：成立1个以上群众健身团队的社区（村）的比例达到60%以上，1分，不足60%不得分。配有体育指导员和志愿者，社会体育指导员数量占总人口的2.3‰以上，1分。达不到不得分。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pStyle w:val="11"/>
              <w:keepNext w:val="0"/>
              <w:keepLines w:val="0"/>
              <w:pageBreakBefore w:val="0"/>
              <w:widowControl/>
              <w:suppressLineNumbers w:val="0"/>
              <w:kinsoku/>
              <w:wordWrap/>
              <w:overflowPunct/>
              <w:topLinePunct w:val="0"/>
              <w:autoSpaceDE/>
              <w:autoSpaceDN/>
              <w:bidi w:val="0"/>
              <w:adjustRightInd/>
              <w:snapToGrid/>
              <w:spacing w:before="0" w:beforeLines="0" w:beforeAutospacing="0" w:after="0" w:afterLines="0" w:afterAutospacing="0" w:line="220" w:lineRule="exact"/>
              <w:ind w:left="0" w:right="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t>群众健身团体和体育指导员一览表</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2.每年至少开展1次多部门组织的集体性健身活动。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定期开展政府支持、企事业单位承担参与并积极支持的健身活动，每年≥1次，2分；未开展不得分。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多部门组织的集体性健身活动的总结、照片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3.鼓励社区慢性病患者积极参与社区自我健康管理活动。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有自我健康管理小组并规范开展的社区覆盖率达到50%，4分；40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50%，2分；40%以下不得分。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自我管理小组的统计表，活动记录表，总结，工作方案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3"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（87分）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（87分）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五、慢性病全程管理（87分）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pStyle w:val="2"/>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五、慢性病全程管理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（87分）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（一）规范健康体检，开展高危人群筛查与干预，加强癌症、心脑血管疾病等重大慢性病的早期发现与管理。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（21分）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（一）规范健康体检，开展高危人群筛查与干预，加强癌症、心脑血管疾病等重大慢性病的早期发现与管理。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（21分）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1.开展学生、老年人等重点人群和职工定期健康体检和健康指导。</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(1)学生健康体检率≥90%，2分；80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90%，1分；80%以下不得分。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(2)65岁及以上老年人健康体检率≥90%，2分；80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90%，1分；80%以下不得分。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（3）每2年1次体检并开展健康指导的机关事业单位和员工数超过50人的企业的比例≥50%，3分；40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50%，2分；40%以下不得分。</w:t>
            </w:r>
          </w:p>
        </w:tc>
        <w:tc>
          <w:tcPr>
            <w:tcW w:w="704"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7</w:t>
            </w:r>
          </w:p>
        </w:tc>
        <w:tc>
          <w:tcPr>
            <w:tcW w:w="681"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查阅资料</w:t>
            </w:r>
          </w:p>
        </w:tc>
        <w:tc>
          <w:tcPr>
            <w:tcW w:w="727" w:type="dxa"/>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局、区总工会、区</w:t>
            </w: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highlight w:val="none"/>
                <w:lang w:val="en-US" w:eastAsia="zh-CN"/>
                <w14:textFill>
                  <w14:solidFill>
                    <w14:schemeClr w14:val="tx1"/>
                  </w14:solidFill>
                </w14:textFill>
              </w:rPr>
              <w:t>局</w:t>
            </w:r>
          </w:p>
        </w:tc>
        <w:tc>
          <w:tcPr>
            <w:tcW w:w="297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right="0"/>
              <w:jc w:val="left"/>
              <w:textAlignment w:val="auto"/>
              <w:rPr>
                <w:rFonts w:hint="eastAsia" w:ascii="Times New Roman" w:hAnsi="Times New Roman" w:eastAsia="仿宋_GB2312" w:cs="仿宋_GB2312"/>
                <w:sz w:val="18"/>
                <w:szCs w:val="18"/>
                <w:highlight w:val="none"/>
                <w:lang w:eastAsia="zh-CN"/>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环翠区教育和体育局对中小学生健康体检实施方案；区卫生健康局提供老年人健康体检率；</w:t>
            </w:r>
          </w:p>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highlight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highlight w:val="none"/>
                <w:lang w:eastAsia="zh-CN"/>
                <w14:textFill>
                  <w14:solidFill>
                    <w14:schemeClr w14:val="tx1"/>
                  </w14:solidFill>
                </w14:textFill>
              </w:rPr>
              <w:t>区总工会提交机关事业单位和员工体检名单和比例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2.应用推广成熟的适宜技术，早期发现诊治患者，及时纳入基本公共卫生服务管理。</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（1）医疗机构18岁以上就诊者首诊测血压率≥90%，0.7分；低于90%不得分。二级以上综合医疗机构和专科医院开展脑卒中、冠心病和恶性肿瘤的机会性筛查，每项0.5分。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（2）医疗机构开展肥胖与超重人群筛查，为有需要的居民提供维持健康体重的个性化健康指导，开展比例超过85%，1分，低于85%不得分。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（3）开展心脑血管疾病、重点癌症、糖尿病、慢性阻塞性肺病等重大慢性病的筛查和早期诊断，每项1.2分，满分4.8分。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（4）具备血糖、血脂、简易肺功能测定和大便隐血检测等4种技术并提供服务的社区卫生服务中心和乡镇卫生院的比例≥50%，2分；40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50%，1分；低于40%不得分。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（5）提高加强个人健康档案与健康体检信息的利用，发现血压偏高、糖尿病前期和血脂异常高危人群登记率≥100%，2分；高危人群纳入健康管理率≥30%，2分。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14</w:t>
            </w:r>
          </w:p>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提供各级医疗卫生机构首诊血压率以及心脑血管肿瘤等早起筛查方案、各级医疗机构肥胖人群筛查方案以及居民个性化健康指导工作内容、提供各级医疗机构血糖血脂等技术服务内容和基本公共卫生管理。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（二）建立分级诊疗制度，推进家庭医生签约服务，开展高血压、糖尿病等重点慢性病规范化管理。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（24分）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（二）建立分级诊疗制度，推进家庭医生签约服务，开展高血压、糖尿病等重点慢性病规范化管理。</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（24分）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1.开展基层首诊、双向转诊、急慢分治、上下联动的慢性病分级诊疗服务。</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（1）建立分级诊疗制度，1分。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（2）落实并开展高血压与糖尿病基层首诊、双向转诊、急慢分治、上下联动的分级诊疗服务，基层医疗机构门诊量占比≥50%，3分。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（3）依</w:t>
            </w:r>
            <w:r>
              <w:rPr>
                <w:rFonts w:hint="default" w:ascii="Times New Roman" w:hAnsi="Times New Roman" w:eastAsia="仿宋_GB2312" w:cs="Times New Roman"/>
                <w:color w:val="000000" w:themeColor="text1"/>
                <w:spacing w:val="-10"/>
                <w:sz w:val="18"/>
                <w:szCs w:val="18"/>
                <w14:textFill>
                  <w14:solidFill>
                    <w14:schemeClr w14:val="tx1"/>
                  </w14:solidFill>
                </w14:textFill>
              </w:rPr>
              <w:t>托信息平台实现分级诊疗，2分。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区卫生健康局提供分级诊疗制度和互联网信息平台内容。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2.实施高血压达标行动，推进家庭医生签约服务，签约团队负责提供约定的基本医疗、公共卫生和健康管理服务。</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（1）家庭医生签约服务覆盖率≥本省平均水平30%，3分；25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30%，2分；15</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25%，１分；低于15%不得分。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（2）执行标准化诊疗方案的基层医疗卫生机构达到80%以上，得3分，60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80%，2分；50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60%，１分；低于50%不得分。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查阅省级统计数据</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家庭医生签约服务覆盖率以及内容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3.提高18岁以上人群高血压、糖尿病知晓率。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（1）18岁以上高血压知晓率≥60%，2分；40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60%，1分；低于40%不得分。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pacing w:val="-6"/>
                <w:sz w:val="18"/>
                <w:szCs w:val="18"/>
                <w14:textFill>
                  <w14:solidFill>
                    <w14:schemeClr w14:val="tx1"/>
                  </w14:solidFill>
                </w14:textFill>
              </w:rPr>
            </w:pPr>
            <w:r>
              <w:rPr>
                <w:rFonts w:hint="default" w:ascii="Times New Roman" w:hAnsi="Times New Roman" w:eastAsia="仿宋_GB2312" w:cs="Times New Roman"/>
                <w:color w:val="000000" w:themeColor="text1"/>
                <w:spacing w:val="-6"/>
                <w:sz w:val="18"/>
                <w:szCs w:val="18"/>
                <w14:textFill>
                  <w14:solidFill>
                    <w14:schemeClr w14:val="tx1"/>
                  </w14:solidFill>
                </w14:textFill>
              </w:rPr>
              <w:t>（2）18岁以上糖尿病知晓率≥50%，2分；30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50％，1分；低于30%不得分。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eastAsia" w:ascii="Times New Roman" w:hAnsi="Times New Roman" w:eastAsia="仿宋_GB2312" w:cs="Times New Roman"/>
                <w:color w:val="000000" w:themeColor="text1"/>
                <w:sz w:val="18"/>
                <w:szCs w:val="18"/>
                <w:lang w:eastAsia="zh-CN"/>
                <w14:textFill>
                  <w14:solidFill>
                    <w14:schemeClr w14:val="tx1"/>
                  </w14:solidFill>
                </w14:textFill>
              </w:rPr>
              <w:t>查阅健康素养调查报告、社会因素调查报告；</w:t>
            </w:r>
            <w:r>
              <w:rPr>
                <w:rFonts w:hint="default" w:ascii="Times New Roman" w:hAnsi="Times New Roman" w:eastAsia="仿宋_GB2312" w:cs="Times New Roman"/>
                <w:color w:val="000000" w:themeColor="text1"/>
                <w:sz w:val="18"/>
                <w:szCs w:val="18"/>
                <w14:textFill>
                  <w14:solidFill>
                    <w14:schemeClr w14:val="tx1"/>
                  </w14:solidFill>
                </w14:textFill>
              </w:rPr>
              <w:t>高血压、糖尿病等重点慢性病知晓率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8"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4.提高35岁以上人群高血压、糖尿病患者管理率。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（1）35岁以上高血压患者规范管理率高于全省平均水平5%，2分；高于3</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5%，1分；低于3%不得分。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（2）35</w:t>
            </w:r>
            <w:r>
              <w:rPr>
                <w:rFonts w:hint="default" w:ascii="Times New Roman" w:hAnsi="Times New Roman" w:eastAsia="仿宋_GB2312" w:cs="Times New Roman"/>
                <w:color w:val="000000" w:themeColor="text1"/>
                <w:spacing w:val="-8"/>
                <w:sz w:val="18"/>
                <w:szCs w:val="18"/>
                <w14:textFill>
                  <w14:solidFill>
                    <w14:schemeClr w14:val="tx1"/>
                  </w14:solidFill>
                </w14:textFill>
              </w:rPr>
              <w:t>岁以上糖尿病患者规范管理率高于全省平均水平5%，2分；高于3</w:t>
            </w:r>
            <w:r>
              <w:rPr>
                <w:rFonts w:hint="eastAsia" w:ascii="Times New Roman" w:hAnsi="Times New Roman" w:eastAsia="仿宋_GB2312" w:cs="Times New Roman"/>
                <w:color w:val="000000" w:themeColor="text1"/>
                <w:spacing w:val="-8"/>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8"/>
                <w:sz w:val="18"/>
                <w:szCs w:val="18"/>
                <w14:textFill>
                  <w14:solidFill>
                    <w14:schemeClr w14:val="tx1"/>
                  </w14:solidFill>
                </w14:textFill>
              </w:rPr>
              <w:t>5%，1分；低于3%不得分。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提供高血压、糖尿病等重点慢性病规范化管理内容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5.提高管理人群高血压、糖尿病患者的控制率。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（1）高血压患者血压控制率高于全省平均水平5%，2分；高于3</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5%，1分；低于3%不得分。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（2）糖尿病患者血糖控制率高于全省平均水平5%，2分；高于3</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5%，1分；低于3%不得分。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卫生健康</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区卫生健康局提供高血压、糖尿病等重点慢性病规范化管理内容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（三）在重点人群中开展口腔疾病防治。</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（6分）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1.中小学校及托幼机构限制销售高糖饮料和零食。实施儿童窝沟封闭，控制12岁儿童患龋率。</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（1）辖区中小学校及托幼机构有限制销售高糖饮料和零食政策和措施，1分；其余0分。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（2）辖区内实施儿童窝沟封闭的学校比例≥60%，1.5分；50</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60%，1分；低于50%不得分。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pacing w:val="-10"/>
                <w:sz w:val="18"/>
                <w:szCs w:val="18"/>
                <w14:textFill>
                  <w14:solidFill>
                    <w14:schemeClr w14:val="tx1"/>
                  </w14:solidFill>
                </w14:textFill>
              </w:rPr>
              <w:t>（3）辖区12岁儿童患龋率低于25%，1.5分；不达标不得分</w:t>
            </w:r>
            <w:r>
              <w:rPr>
                <w:rFonts w:hint="default" w:ascii="Times New Roman" w:hAnsi="Times New Roman" w:eastAsia="仿宋_GB2312" w:cs="Times New Roman"/>
                <w:color w:val="000000" w:themeColor="text1"/>
                <w:sz w:val="18"/>
                <w:szCs w:val="18"/>
                <w14:textFill>
                  <w14:solidFill>
                    <w14:schemeClr w14:val="tx1"/>
                  </w14:solidFill>
                </w14:textFill>
              </w:rPr>
              <w:t>。</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教育和体育</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局、</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区教育和体育局需提供限制高糖饮料和零食、龋齿等方案和措施；</w:t>
            </w:r>
            <w:r>
              <w:rPr>
                <w:rFonts w:hint="default" w:ascii="Times New Roman" w:hAnsi="Times New Roman" w:eastAsia="仿宋_GB2312" w:cs="仿宋_GB2312"/>
                <w:color w:val="000000" w:themeColor="text1"/>
                <w:kern w:val="0"/>
                <w:sz w:val="18"/>
                <w:szCs w:val="18"/>
                <w:lang w:eastAsia="zh-CN"/>
                <w14:textFill>
                  <w14:solidFill>
                    <w14:schemeClr w14:val="tx1"/>
                  </w14:solidFill>
                </w14:textFill>
              </w:rPr>
              <w:t>区卫生健康局提供健窝沟封闭方案和儿童龋齿率。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5"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2.建立完善口腔健康服务体系。</w:t>
            </w:r>
          </w:p>
        </w:tc>
        <w:tc>
          <w:tcPr>
            <w:tcW w:w="2445" w:type="dxa"/>
            <w:vAlign w:val="center"/>
          </w:tcPr>
          <w:p>
            <w:pPr>
              <w:keepNext w:val="0"/>
              <w:keepLines w:val="0"/>
              <w:pageBreakBefore w:val="0"/>
              <w:widowControl/>
              <w:kinsoku/>
              <w:wordWrap/>
              <w:overflowPunct/>
              <w:topLinePunct w:val="0"/>
              <w:autoSpaceDE/>
              <w:autoSpaceDN/>
              <w:bidi w:val="0"/>
              <w:adjustRightInd/>
              <w:snapToGrid/>
              <w:spacing w:line="220" w:lineRule="exact"/>
              <w:jc w:val="both"/>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依托辖区医疗机构建立口腔疾病防治指导中心，2分；未建立，不得分。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口腔防治指导中心内容和数量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（四）完善区域信息平台，实现医疗卫生机构间互联互通、协同应用。</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1.建立区域卫生信息平台，实现公共卫生服务、诊疗信息互联互通、协同应用。</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（1）建立县级全民健康信息平台，或基于市平台建设虚拟平台，2分。</w:t>
            </w:r>
          </w:p>
          <w:p>
            <w:pPr>
              <w:keepNext w:val="0"/>
              <w:keepLines w:val="0"/>
              <w:pageBreakBefore w:val="0"/>
              <w:kinsoku/>
              <w:wordWrap/>
              <w:overflowPunct/>
              <w:topLinePunct w:val="0"/>
              <w:autoSpaceDE/>
              <w:autoSpaceDN/>
              <w:bidi w:val="0"/>
              <w:adjustRightInd/>
              <w:snapToGrid/>
              <w:spacing w:line="20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（2）建设全县统一的基层卫生健康信息综合管理系统，2分。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（3）专业公共卫生机构、二级及以上医院和基层医疗卫生机构之间实现互联互通和信息共享，3分。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（4）实现电子健康档案和电子病历的连续记录和信息共享，3分。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w:t>
            </w:r>
            <w:r>
              <w:rPr>
                <w:rFonts w:hint="default" w:ascii="Times New Roman" w:hAnsi="Times New Roman" w:eastAsia="仿宋_GB2312" w:cs="Times New Roman"/>
                <w:color w:val="000000" w:themeColor="text1"/>
                <w:sz w:val="18"/>
                <w:szCs w:val="18"/>
                <w14:textFill>
                  <w14:solidFill>
                    <w14:schemeClr w14:val="tx1"/>
                  </w14:solidFill>
                </w14:textFill>
              </w:rPr>
              <w:t>级全民健康提供信息平以及互联互通信息共享等方案和照片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7"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2.应用互联网+、健康大数据提供便捷、高效的健康管理服务。</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（1）应用</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互联网+</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技术为签约服务的患者提供健康管理和诊疗服务，2分。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（2）全县普遍应用电子健康卡，3分。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互联网+签约服务内容和方案以及电子健康卡照片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（五）中西医并重，发挥中医药在慢性病预防、保健、诊疗、康复中的作用。</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（7分）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1.辖区各社区卫生服务中心、乡镇卫生院有中医综合服务区。</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设有中医综合服务区的社区卫生服务中心、乡镇卫生院比例达100%，3分，不达标不得分。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区中医综合服务区方案和占比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2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2.开展中医药养生保健知识的宣传及中医适宜技术推广。</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（1）宣传中医药养生保健知识，2分。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（2）推广中医适宜技术，2分。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各级医疗机构宣传中医药养生保健知识、技术等照片和方案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六）做好基本医疗保险、城乡居民大病保险和医疗救助重大疾病保障的衔接，保障药品供应。</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（7分）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1.做好基本医疗保险、城乡居民大病保险和医疗救助重大疾病保障。</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（1）落实基本医疗保险、大病保险和医疗救助重大疾病保障等相关政策，2分。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（2）提高签约患者的医疗保障水平和残疾人、流动人口、低收入等人群医疗救助水平的具体措施，2分。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区医保局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仿宋_GB2312"/>
                <w:kern w:val="2"/>
                <w:sz w:val="18"/>
                <w:szCs w:val="18"/>
                <w:lang w:val="en-US" w:eastAsia="zh-CN" w:bidi="ar-SA"/>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相关政策方案和照片特别是</w:t>
            </w:r>
            <w:r>
              <w:rPr>
                <w:rFonts w:hint="default" w:ascii="Times New Roman" w:hAnsi="Times New Roman" w:eastAsia="仿宋_GB2312" w:cs="仿宋_GB2312"/>
                <w:sz w:val="18"/>
                <w:szCs w:val="18"/>
                <w:lang w:eastAsia="zh-CN"/>
              </w:rPr>
              <w:t>残疾人群等特殊人群救助措施和方案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2.基层医疗卫生机构配备国家或省相关指南、推荐方案建议的高血压、糖尿病等重点慢性病治疗药品，优先使用基本药物。</w:t>
            </w:r>
          </w:p>
        </w:tc>
        <w:tc>
          <w:tcPr>
            <w:tcW w:w="2445" w:type="dxa"/>
            <w:vAlign w:val="center"/>
          </w:tcPr>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（1）全部配备国家或省相关指南方案推荐药品种类的基层医疗卫生机构比例达到80%以上，1分；不达标不得分。</w:t>
            </w:r>
          </w:p>
          <w:p>
            <w:pPr>
              <w:keepNext w:val="0"/>
              <w:keepLines w:val="0"/>
              <w:pageBreakBefore w:val="0"/>
              <w:kinsoku/>
              <w:wordWrap/>
              <w:overflowPunct/>
              <w:topLinePunct w:val="0"/>
              <w:autoSpaceDE/>
              <w:autoSpaceDN/>
              <w:bidi w:val="0"/>
              <w:adjustRightInd/>
              <w:snapToGrid/>
              <w:spacing w:line="20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（2）实施高血压、糖尿病治疗基本药物全额保障，2分；未实施不得分。</w:t>
            </w:r>
          </w:p>
        </w:tc>
        <w:tc>
          <w:tcPr>
            <w:tcW w:w="704"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20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药品种类的基层医疗卫生机构按要求配置比例和方案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2"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（七）动员社会力量参与慢性病防控工作，促进医养结合。</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（7分）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1.政府引导、市场驱动、社会力量参与，为慢性病患者提供健康管理服务。</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（1）有效引进社会资本参与慢性病防控，1分。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（2）商业健康保险参与医疗救助，1分。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（3）通过向社会力量购买服务的方式，为慢性病患者提供健康管理服务，2分。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查看区慢病管理中心运行情况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1"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2.促进慢性病全程防治管理服务与居家养老、社区养老和机构养老服务融合。</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医</w:t>
            </w:r>
            <w:r>
              <w:rPr>
                <w:rFonts w:hint="default" w:ascii="Times New Roman" w:hAnsi="Times New Roman" w:eastAsia="仿宋_GB2312" w:cs="Times New Roman"/>
                <w:color w:val="000000" w:themeColor="text1"/>
                <w:spacing w:val="-6"/>
                <w:sz w:val="18"/>
                <w:szCs w:val="18"/>
                <w14:textFill>
                  <w14:solidFill>
                    <w14:schemeClr w14:val="tx1"/>
                  </w14:solidFill>
                </w14:textFill>
              </w:rPr>
              <w:t>疗机构向居家养老、社区养老与机构养老的老年人提供医养结合的健康养老服务覆盖比例≥80%,2分；60</w:t>
            </w:r>
            <w:r>
              <w:rPr>
                <w:rFonts w:hint="eastAsia" w:ascii="Times New Roman" w:hAnsi="Times New Roman" w:eastAsia="仿宋_GB2312" w:cs="Times New Roman"/>
                <w:color w:val="000000" w:themeColor="text1"/>
                <w:spacing w:val="-6"/>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pacing w:val="-6"/>
                <w:sz w:val="18"/>
                <w:szCs w:val="18"/>
                <w14:textFill>
                  <w14:solidFill>
                    <w14:schemeClr w14:val="tx1"/>
                  </w14:solidFill>
                </w14:textFill>
              </w:rPr>
              <w:t>80%，1分；低于60%不得分。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、区民政局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auto"/>
                <w:kern w:val="0"/>
                <w:sz w:val="18"/>
                <w:szCs w:val="18"/>
                <w:lang w:val="en-US" w:eastAsia="zh-CN" w:bidi="ar-SA"/>
              </w:rPr>
            </w:pPr>
            <w:r>
              <w:rPr>
                <w:rFonts w:hint="default" w:ascii="Times New Roman" w:hAnsi="Times New Roman" w:eastAsia="仿宋_GB2312" w:cs="Times New Roman"/>
                <w:color w:val="auto"/>
                <w:kern w:val="0"/>
                <w:sz w:val="18"/>
                <w:szCs w:val="18"/>
                <w:lang w:eastAsia="zh-CN"/>
              </w:rPr>
              <w:t>查看医疗</w:t>
            </w:r>
            <w:r>
              <w:rPr>
                <w:rFonts w:hint="eastAsia" w:ascii="Times New Roman" w:hAnsi="Times New Roman" w:eastAsia="仿宋_GB2312" w:cs="Times New Roman"/>
                <w:color w:val="auto"/>
                <w:kern w:val="0"/>
                <w:sz w:val="18"/>
                <w:szCs w:val="18"/>
                <w:lang w:eastAsia="zh-CN"/>
              </w:rPr>
              <w:t>机</w:t>
            </w:r>
            <w:r>
              <w:rPr>
                <w:rFonts w:hint="default" w:ascii="Times New Roman" w:hAnsi="Times New Roman" w:eastAsia="仿宋_GB2312" w:cs="Times New Roman"/>
                <w:color w:val="auto"/>
                <w:kern w:val="0"/>
                <w:sz w:val="18"/>
                <w:szCs w:val="18"/>
                <w:lang w:eastAsia="zh-CN"/>
              </w:rPr>
              <w:t>构老年医学科和医养结合服务设置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2"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六、监测评估</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（30分）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（一）开展过程质量控制和重点慢性病监测工作。</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1.规范开展覆盖辖区慢性病及相关危险因素监测，掌握辖区重点慢性病状况、影响因素和疾病负担。</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全人群的死因监测、慢病与营养监测、心脑血管疾病、肿瘤、慢阻肺等重点慢性病登记报告达到基本技术指标，向政府及有关部门提交监测报告。</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（1）死因监测，2分；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（2）每5年1次慢病与营养监测，2分；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（3）心脑血管疾病报告，2分；</w:t>
            </w:r>
          </w:p>
          <w:p>
            <w:pPr>
              <w:keepNext w:val="0"/>
              <w:keepLines w:val="0"/>
              <w:pageBreakBefore w:val="0"/>
              <w:kinsoku/>
              <w:wordWrap/>
              <w:overflowPunct/>
              <w:topLinePunct w:val="0"/>
              <w:autoSpaceDE/>
              <w:autoSpaceDN/>
              <w:bidi w:val="0"/>
              <w:adjustRightInd/>
              <w:snapToGrid/>
              <w:spacing w:line="220" w:lineRule="exact"/>
              <w:textAlignment w:val="auto"/>
              <w:rPr>
                <w:rFonts w:hint="eastAsia" w:ascii="Times New Roman" w:hAnsi="Times New Roman" w:eastAsia="仿宋_GB2312" w:cs="Times New Roman"/>
                <w:color w:val="000000" w:themeColor="text1"/>
                <w:sz w:val="18"/>
                <w:szCs w:val="18"/>
                <w:lang w:eastAsia="zh-CN"/>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（4）肿瘤随访登记，2分；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（5）慢阻肺监测，2分；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eastAsia" w:ascii="Times New Roman" w:hAnsi="Times New Roman" w:eastAsia="仿宋_GB2312" w:cs="Times New Roman"/>
                <w:color w:val="000000" w:themeColor="text1"/>
                <w:sz w:val="18"/>
                <w:szCs w:val="18"/>
                <w:lang w:val="en-US" w:eastAsia="zh-CN"/>
                <w14:textFill>
                  <w14:solidFill>
                    <w14:schemeClr w14:val="tx1"/>
                  </w14:solidFill>
                </w14:textFill>
              </w:rPr>
              <w:t>6</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住院伤害监测，1分。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11</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疾控死因监测、慢性病与营养监测（含心脑血管事件监测、慢性阻塞性肺伤害监测）等分年度分析报告，查各级医疗机构辖区肿瘤随访登记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4"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2.慢性病监测数据互联互通。</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利用慢病监测信息管理系统，实现辖区县级以上医疗机构慢病监测数据与省级慢病监测平台实现自动推送，做到重点慢性病监测数据互联互通，4分；其余0分。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4</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区疾控死因系统、肿瘤系统、公共卫生系统慢性病监测数据。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6"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（二）开展慢性病防控社会因素调查，定期发布调查结果。</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（15分）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1.辖区每5年开展一次慢性病防控社会因素调查。</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（1）规范制定慢性病防控社会因素调查方案，1分。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（2）综合运用社会学、流行病学及管理学理论与方法开展社会因素调查，完成调查报告，2分。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（3）报告信息来源权威、准确、多元、综合，报告结构完整，有背景、方法、现状与主要问题、资源分析、预期目标、主要对策与具体措施等内容，分。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（4）报告调查结果清晰、调查依据正确、对策合乎逻辑、目标设定科学、措施设计得当，2分。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（5）报告结果用于反馈示范区建设及慢性病综合防控工作，2分。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9</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区疾控慢性病及社会影响因素状况调查实施方案，及调查报告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3"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2.辖区政府发布人群慢性病防控有关健康信息。</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（1）辖区政府每5年发布含慢性病防控内容的综合健康报告，3分。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（2）综合健康报告主要结果用于政府工作报告，3分。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6</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政府发布含慢性病防控内容的综合健康报告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0" w:hRule="atLeast"/>
          <w:jc w:val="center"/>
        </w:trPr>
        <w:tc>
          <w:tcPr>
            <w:tcW w:w="678" w:type="dxa"/>
            <w:vMerge w:val="restart"/>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黑体"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七、创新引领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sz w:val="18"/>
                <w:szCs w:val="18"/>
                <w14:textFill>
                  <w14:solidFill>
                    <w14:schemeClr w14:val="tx1"/>
                  </w14:solidFill>
                </w14:textFill>
              </w:rPr>
            </w:pPr>
            <w:r>
              <w:rPr>
                <w:rFonts w:hint="default" w:ascii="Times New Roman" w:hAnsi="Times New Roman" w:eastAsia="黑体" w:cs="Times New Roman"/>
                <w:color w:val="000000" w:themeColor="text1"/>
                <w:sz w:val="18"/>
                <w:szCs w:val="18"/>
                <w14:textFill>
                  <w14:solidFill>
                    <w14:schemeClr w14:val="tx1"/>
                  </w14:solidFill>
                </w14:textFill>
              </w:rPr>
              <w:t>（30分）</w:t>
            </w:r>
          </w:p>
        </w:tc>
        <w:tc>
          <w:tcPr>
            <w:tcW w:w="754" w:type="dxa"/>
            <w:vMerge w:val="restart"/>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慢性病综合防控工作有特色、可复制、可推广。</w:t>
            </w:r>
          </w:p>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（30分）</w:t>
            </w: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1.倡导慢性病综合防控工作与当地社会、文化等建设和公共服务、公共产品供给相结合。</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慢性病综合防控工作与辖区社区文化建设、健康城市建设、文明创建、公共服务与公共产品等相关项目有机衔接整合，以达到1+1&gt;2的实际效果。建立协同工作机制并有效衔接达3项，10分；1</w:t>
            </w:r>
            <w:r>
              <w:rPr>
                <w:rFonts w:hint="eastAsia" w:ascii="Times New Roman" w:hAnsi="Times New Roman" w:eastAsia="仿宋_GB2312" w:cs="Times New Roman"/>
                <w:color w:val="000000" w:themeColor="text1"/>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sz w:val="18"/>
                <w:szCs w:val="18"/>
                <w14:textFill>
                  <w14:solidFill>
                    <w14:schemeClr w14:val="tx1"/>
                  </w14:solidFill>
                </w14:textFill>
              </w:rPr>
              <w:t>2项，5分。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eastAsia" w:ascii="Times New Roman" w:hAnsi="Times New Roman" w:eastAsia="仿宋_GB2312" w:cs="Times New Roman"/>
                <w:color w:val="000000" w:themeColor="text1"/>
                <w:kern w:val="0"/>
                <w:sz w:val="18"/>
                <w:szCs w:val="18"/>
                <w:lang w:val="en-US" w:eastAsia="zh-CN"/>
                <w14:textFill>
                  <w14:solidFill>
                    <w14:schemeClr w14:val="tx1"/>
                  </w14:solidFill>
                </w14:textFill>
              </w:rPr>
              <w:t>示范区创建与社区文化建设机构结合工作方案、实施方案、工作内容与指标、管理督导办法、评价方法等多方面的融合、实现信息的共享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0" w:hRule="atLeast"/>
          <w:jc w:val="center"/>
        </w:trPr>
        <w:tc>
          <w:tcPr>
            <w:tcW w:w="678" w:type="dxa"/>
            <w:vMerge w:val="continue"/>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kern w:val="0"/>
                <w:sz w:val="18"/>
                <w:szCs w:val="18"/>
                <w14:textFill>
                  <w14:solidFill>
                    <w14:schemeClr w14:val="tx1"/>
                  </w14:solidFill>
                </w14:textFill>
              </w:rPr>
            </w:pPr>
          </w:p>
        </w:tc>
        <w:tc>
          <w:tcPr>
            <w:tcW w:w="754" w:type="dxa"/>
            <w:vMerge w:val="continue"/>
            <w:vAlign w:val="center"/>
          </w:tcPr>
          <w:p>
            <w:pPr>
              <w:keepNext w:val="0"/>
              <w:keepLines w:val="0"/>
              <w:pageBreakBefore w:val="0"/>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w:t>
            </w:r>
            <w:r>
              <w:rPr>
                <w:rFonts w:hint="default" w:ascii="Times New Roman" w:hAnsi="Times New Roman" w:eastAsia="仿宋_GB2312" w:cs="Times New Roman"/>
                <w:color w:val="000000" w:themeColor="text1"/>
                <w:kern w:val="0"/>
                <w:sz w:val="18"/>
                <w:szCs w:val="18"/>
                <w14:textFill>
                  <w14:solidFill>
                    <w14:schemeClr w14:val="tx1"/>
                  </w14:solidFill>
                </w14:textFill>
              </w:rPr>
              <w:t>2.总结有创新、特色案例。</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创新特色案例达2个，案例撰写符合要求，15分；1个，10分。</w:t>
            </w:r>
          </w:p>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案例撰写不符合要求者酌情扣分。案例撰写要求包括：主题鲜明突出防控重点、技术流程清晰，操作性强，可复制、可推广。</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15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典型案例报告</w:t>
            </w:r>
            <w:r>
              <w:rPr>
                <w:rFonts w:hint="eastAsia" w:ascii="Times New Roman" w:hAnsi="Times New Roman" w:eastAsia="仿宋_GB2312" w:cs="Times New Roman"/>
                <w:color w:val="000000" w:themeColor="text1"/>
                <w:kern w:val="0"/>
                <w:sz w:val="18"/>
                <w:szCs w:val="18"/>
                <w:lang w:eastAsia="zh-CN"/>
                <w14:textFill>
                  <w14:solidFill>
                    <w14:schemeClr w14:val="tx1"/>
                  </w14:solidFill>
                </w14:textFill>
              </w:rPr>
              <w:t>，</w:t>
            </w: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相关佐证材料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5" w:hRule="atLeast"/>
          <w:jc w:val="center"/>
        </w:trPr>
        <w:tc>
          <w:tcPr>
            <w:tcW w:w="678" w:type="dxa"/>
            <w:vMerge w:val="continue"/>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cs="Times New Roman"/>
                <w:color w:val="000000" w:themeColor="text1"/>
                <w:kern w:val="0"/>
                <w:sz w:val="18"/>
                <w:szCs w:val="18"/>
                <w14:textFill>
                  <w14:solidFill>
                    <w14:schemeClr w14:val="tx1"/>
                  </w14:solidFill>
                </w14:textFill>
              </w:rPr>
            </w:pPr>
          </w:p>
        </w:tc>
        <w:tc>
          <w:tcPr>
            <w:tcW w:w="754" w:type="dxa"/>
            <w:vMerge w:val="continue"/>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3.示范区建设经验做法起到示范引领作用。</w:t>
            </w: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r>
              <w:rPr>
                <w:rFonts w:hint="default" w:ascii="Times New Roman" w:hAnsi="Times New Roman" w:eastAsia="仿宋_GB2312" w:cs="Times New Roman"/>
                <w:color w:val="000000" w:themeColor="text1"/>
                <w:sz w:val="18"/>
                <w:szCs w:val="18"/>
                <w14:textFill>
                  <w14:solidFill>
                    <w14:schemeClr w14:val="tx1"/>
                  </w14:solidFill>
                </w14:textFill>
              </w:rPr>
              <w:t>示范区工作经验做法被市级及以上推广2项，5分；1项，2分。</w:t>
            </w: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5</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val="en-US" w:eastAsia="zh-CN"/>
                <w14:textFill>
                  <w14:solidFill>
                    <w14:schemeClr w14:val="tx1"/>
                  </w14:solidFill>
                </w14:textFill>
              </w:rPr>
              <w:t>查阅资料、现场评估</w:t>
            </w: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区卫生健康局</w:t>
            </w:r>
          </w:p>
        </w:tc>
        <w:tc>
          <w:tcPr>
            <w:tcW w:w="2978" w:type="dxa"/>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20" w:lineRule="exact"/>
              <w:ind w:left="0" w:leftChars="0" w:right="0" w:rightChars="0"/>
              <w:jc w:val="left"/>
              <w:textAlignment w:val="auto"/>
              <w:rPr>
                <w:rFonts w:hint="default" w:ascii="Times New Roman" w:hAnsi="Times New Roman" w:eastAsia="仿宋_GB2312" w:cs="Times New Roman"/>
                <w:color w:val="000000" w:themeColor="text1"/>
                <w:kern w:val="0"/>
                <w:sz w:val="18"/>
                <w:szCs w:val="18"/>
                <w:lang w:val="en-US" w:eastAsia="zh-CN" w:bidi="ar-SA"/>
                <w14:textFill>
                  <w14:solidFill>
                    <w14:schemeClr w14:val="tx1"/>
                  </w14:solidFill>
                </w14:textFill>
              </w:rPr>
            </w:pPr>
            <w:r>
              <w:rPr>
                <w:rFonts w:hint="default" w:ascii="Times New Roman" w:hAnsi="Times New Roman" w:eastAsia="仿宋_GB2312" w:cs="Times New Roman"/>
                <w:color w:val="000000" w:themeColor="text1"/>
                <w:kern w:val="0"/>
                <w:sz w:val="18"/>
                <w:szCs w:val="18"/>
                <w:lang w:eastAsia="zh-CN"/>
                <w14:textFill>
                  <w14:solidFill>
                    <w14:schemeClr w14:val="tx1"/>
                  </w14:solidFill>
                </w14:textFill>
              </w:rPr>
              <w:t>市级推广证明资料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78"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cs="Times New Roman"/>
                <w:b/>
                <w:color w:val="000000" w:themeColor="text1"/>
                <w:kern w:val="0"/>
                <w:sz w:val="18"/>
                <w:szCs w:val="18"/>
                <w14:textFill>
                  <w14:solidFill>
                    <w14:schemeClr w14:val="tx1"/>
                  </w14:solidFill>
                </w14:textFill>
              </w:rPr>
            </w:pPr>
            <w:r>
              <w:rPr>
                <w:rFonts w:hint="default" w:ascii="Times New Roman" w:hAnsi="Times New Roman" w:cs="Times New Roman"/>
                <w:b/>
                <w:color w:val="000000" w:themeColor="text1"/>
                <w:sz w:val="18"/>
                <w:szCs w:val="18"/>
                <w14:textFill>
                  <w14:solidFill>
                    <w14:schemeClr w14:val="tx1"/>
                  </w14:solidFill>
                </w14:textFill>
              </w:rPr>
              <w:t>合计</w:t>
            </w:r>
          </w:p>
        </w:tc>
        <w:tc>
          <w:tcPr>
            <w:tcW w:w="75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1297" w:type="dxa"/>
            <w:vAlign w:val="center"/>
          </w:tcPr>
          <w:p>
            <w:pPr>
              <w:keepNext w:val="0"/>
              <w:keepLines w:val="0"/>
              <w:pageBreakBefore w:val="0"/>
              <w:widowControl/>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2445" w:type="dxa"/>
            <w:vAlign w:val="center"/>
          </w:tcPr>
          <w:p>
            <w:pPr>
              <w:keepNext w:val="0"/>
              <w:keepLines w:val="0"/>
              <w:pageBreakBefore w:val="0"/>
              <w:kinsoku/>
              <w:wordWrap/>
              <w:overflowPunct/>
              <w:topLinePunct w:val="0"/>
              <w:autoSpaceDE/>
              <w:autoSpaceDN/>
              <w:bidi w:val="0"/>
              <w:adjustRightInd/>
              <w:snapToGrid/>
              <w:spacing w:line="220" w:lineRule="exact"/>
              <w:textAlignment w:val="auto"/>
              <w:rPr>
                <w:rFonts w:hint="default" w:ascii="Times New Roman" w:hAnsi="Times New Roman" w:eastAsia="仿宋_GB2312" w:cs="Times New Roman"/>
                <w:color w:val="000000" w:themeColor="text1"/>
                <w:sz w:val="18"/>
                <w:szCs w:val="18"/>
                <w14:textFill>
                  <w14:solidFill>
                    <w14:schemeClr w14:val="tx1"/>
                  </w14:solidFill>
                </w14:textFill>
              </w:rPr>
            </w:pPr>
          </w:p>
        </w:tc>
        <w:tc>
          <w:tcPr>
            <w:tcW w:w="704"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r>
              <w:rPr>
                <w:rFonts w:hint="default" w:ascii="Times New Roman" w:hAnsi="Times New Roman" w:eastAsia="仿宋_GB2312" w:cs="Times New Roman"/>
                <w:color w:val="000000" w:themeColor="text1"/>
                <w:kern w:val="0"/>
                <w:sz w:val="18"/>
                <w:szCs w:val="18"/>
                <w14:textFill>
                  <w14:solidFill>
                    <w14:schemeClr w14:val="tx1"/>
                  </w14:solidFill>
                </w14:textFill>
              </w:rPr>
              <w:t>300</w:t>
            </w:r>
          </w:p>
        </w:tc>
        <w:tc>
          <w:tcPr>
            <w:tcW w:w="681"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727" w:type="dxa"/>
            <w:vAlign w:val="center"/>
          </w:tcPr>
          <w:p>
            <w:pPr>
              <w:keepNext w:val="0"/>
              <w:keepLines w:val="0"/>
              <w:pageBreakBefore w:val="0"/>
              <w:widowControl/>
              <w:kinsoku/>
              <w:wordWrap/>
              <w:overflowPunct/>
              <w:topLinePunct w:val="0"/>
              <w:autoSpaceDE/>
              <w:autoSpaceDN/>
              <w:bidi w:val="0"/>
              <w:adjustRightInd/>
              <w:snapToGrid/>
              <w:spacing w:line="220" w:lineRule="exact"/>
              <w:jc w:val="center"/>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c>
          <w:tcPr>
            <w:tcW w:w="2978" w:type="dxa"/>
            <w:vAlign w:val="center"/>
          </w:tcPr>
          <w:p>
            <w:pPr>
              <w:keepNext w:val="0"/>
              <w:keepLines w:val="0"/>
              <w:pageBreakBefore w:val="0"/>
              <w:widowControl/>
              <w:kinsoku/>
              <w:wordWrap/>
              <w:overflowPunct/>
              <w:topLinePunct w:val="0"/>
              <w:autoSpaceDE/>
              <w:autoSpaceDN/>
              <w:bidi w:val="0"/>
              <w:adjustRightInd/>
              <w:snapToGrid/>
              <w:spacing w:line="220" w:lineRule="exact"/>
              <w:jc w:val="left"/>
              <w:textAlignment w:val="auto"/>
              <w:rPr>
                <w:rFonts w:hint="default" w:ascii="Times New Roman" w:hAnsi="Times New Roman" w:eastAsia="仿宋_GB2312" w:cs="Times New Roman"/>
                <w:color w:val="000000" w:themeColor="text1"/>
                <w:kern w:val="0"/>
                <w:sz w:val="18"/>
                <w:szCs w:val="18"/>
                <w14:textFill>
                  <w14:solidFill>
                    <w14:schemeClr w14:val="tx1"/>
                  </w14:solidFill>
                </w14:textFill>
              </w:rPr>
            </w:pPr>
          </w:p>
        </w:tc>
      </w:tr>
    </w:tbl>
    <w:p>
      <w:pPr>
        <w:rPr>
          <w:rFonts w:hint="eastAsia" w:ascii="楷体_GB2312" w:hAnsi="楷体_GB2312" w:eastAsia="楷体_GB2312" w:cs="楷体_GB2312"/>
          <w:sz w:val="24"/>
          <w:szCs w:val="24"/>
        </w:rPr>
      </w:pPr>
      <w:r>
        <w:rPr>
          <w:rFonts w:hint="eastAsia" w:ascii="楷体_GB2312" w:hAnsi="楷体_GB2312" w:eastAsia="楷体_GB2312" w:cs="楷体_GB2312"/>
          <w:color w:val="000000" w:themeColor="text1"/>
          <w:sz w:val="24"/>
          <w:szCs w:val="24"/>
          <w14:textFill>
            <w14:solidFill>
              <w14:schemeClr w14:val="tx1"/>
            </w14:solidFill>
          </w14:textFill>
        </w:rPr>
        <w:t>注：</w:t>
      </w:r>
      <w:r>
        <w:rPr>
          <w:rFonts w:hint="eastAsia" w:ascii="楷体_GB2312" w:hAnsi="楷体_GB2312" w:eastAsia="楷体_GB2312" w:cs="楷体_GB2312"/>
          <w:color w:val="000000" w:themeColor="text1"/>
          <w:sz w:val="24"/>
          <w:szCs w:val="24"/>
          <w:lang w:eastAsia="zh-CN"/>
          <w14:textFill>
            <w14:solidFill>
              <w14:schemeClr w14:val="tx1"/>
            </w14:solidFill>
          </w14:textFill>
        </w:rPr>
        <w:t>“</w:t>
      </w:r>
      <w:r>
        <w:rPr>
          <w:rFonts w:hint="eastAsia" w:ascii="楷体_GB2312" w:hAnsi="楷体_GB2312" w:eastAsia="楷体_GB2312" w:cs="楷体_GB2312"/>
          <w:color w:val="000000" w:themeColor="text1"/>
          <w:sz w:val="24"/>
          <w:szCs w:val="24"/>
          <w14:textFill>
            <w14:solidFill>
              <w14:schemeClr w14:val="tx1"/>
            </w14:solidFill>
          </w14:textFill>
        </w:rPr>
        <w:t>★</w:t>
      </w:r>
      <w:r>
        <w:rPr>
          <w:rFonts w:hint="eastAsia" w:ascii="楷体_GB2312" w:hAnsi="楷体_GB2312" w:eastAsia="楷体_GB2312" w:cs="楷体_GB2312"/>
          <w:color w:val="000000" w:themeColor="text1"/>
          <w:sz w:val="24"/>
          <w:szCs w:val="24"/>
          <w:lang w:eastAsia="zh-CN"/>
          <w14:textFill>
            <w14:solidFill>
              <w14:schemeClr w14:val="tx1"/>
            </w14:solidFill>
          </w14:textFill>
        </w:rPr>
        <w:t>”</w:t>
      </w:r>
      <w:r>
        <w:rPr>
          <w:rFonts w:hint="eastAsia" w:ascii="楷体_GB2312" w:hAnsi="楷体_GB2312" w:eastAsia="楷体_GB2312" w:cs="楷体_GB2312"/>
          <w:color w:val="000000" w:themeColor="text1"/>
          <w:sz w:val="24"/>
          <w:szCs w:val="24"/>
          <w14:textFill>
            <w14:solidFill>
              <w14:schemeClr w14:val="tx1"/>
            </w14:solidFill>
          </w14:textFill>
        </w:rPr>
        <w:t>标识指标未完成的，不予验收。</w:t>
      </w:r>
    </w:p>
    <w:p>
      <w:pPr>
        <w:keepNext w:val="0"/>
        <w:keepLines w:val="0"/>
        <w:pageBreakBefore w:val="0"/>
        <w:widowControl w:val="0"/>
        <w:kinsoku/>
        <w:wordWrap/>
        <w:overflowPunct/>
        <w:topLinePunct w:val="0"/>
        <w:autoSpaceDE/>
        <w:autoSpaceDN/>
        <w:bidi w:val="0"/>
        <w:adjustRightInd/>
        <w:spacing w:line="600" w:lineRule="exact"/>
        <w:jc w:val="both"/>
        <w:textAlignment w:val="auto"/>
        <w:rPr>
          <w:rFonts w:hint="default" w:ascii="Times New Roman" w:hAnsi="Times New Roman" w:eastAsia="黑体" w:cs="Times New Roman"/>
          <w:kern w:val="0"/>
          <w:sz w:val="32"/>
          <w:szCs w:val="32"/>
          <w:lang w:eastAsia="zh-CN" w:bidi="hi-IN"/>
        </w:rPr>
      </w:pPr>
    </w:p>
    <w:p>
      <w:pPr>
        <w:keepNext w:val="0"/>
        <w:keepLines w:val="0"/>
        <w:pageBreakBefore w:val="0"/>
        <w:widowControl w:val="0"/>
        <w:kinsoku/>
        <w:wordWrap/>
        <w:overflowPunct/>
        <w:topLinePunct w:val="0"/>
        <w:autoSpaceDE/>
        <w:autoSpaceDN/>
        <w:bidi w:val="0"/>
        <w:adjustRightInd/>
        <w:spacing w:line="600" w:lineRule="exact"/>
        <w:jc w:val="both"/>
        <w:textAlignment w:val="auto"/>
        <w:rPr>
          <w:rFonts w:hint="default" w:ascii="Times New Roman" w:hAnsi="Times New Roman" w:eastAsia="黑体" w:cs="Times New Roman"/>
          <w:kern w:val="0"/>
          <w:sz w:val="32"/>
          <w:szCs w:val="32"/>
          <w:lang w:eastAsia="zh-CN" w:bidi="hi-IN"/>
        </w:rPr>
      </w:pPr>
    </w:p>
    <w:p>
      <w:pPr>
        <w:rPr>
          <w:rFonts w:hint="default" w:ascii="Times New Roman" w:hAnsi="Times New Roman" w:eastAsia="黑体" w:cs="Times New Roman"/>
          <w:kern w:val="0"/>
          <w:sz w:val="32"/>
          <w:szCs w:val="32"/>
          <w:lang w:eastAsia="zh-CN" w:bidi="hi-IN"/>
        </w:rPr>
      </w:pPr>
      <w:r>
        <w:rPr>
          <w:rFonts w:hint="default" w:ascii="Times New Roman" w:hAnsi="Times New Roman" w:eastAsia="黑体" w:cs="Times New Roman"/>
          <w:kern w:val="0"/>
          <w:sz w:val="32"/>
          <w:szCs w:val="32"/>
          <w:lang w:eastAsia="zh-CN" w:bidi="hi-IN"/>
        </w:rPr>
        <w:br w:type="page"/>
      </w: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default" w:ascii="Times New Roman" w:hAnsi="Times New Roman" w:eastAsia="黑体" w:cs="Times New Roman"/>
          <w:kern w:val="0"/>
          <w:sz w:val="32"/>
          <w:szCs w:val="32"/>
          <w:lang w:val="en-US" w:eastAsia="zh-CN" w:bidi="hi-IN"/>
        </w:rPr>
      </w:pPr>
      <w:r>
        <w:rPr>
          <w:rFonts w:hint="default" w:ascii="Times New Roman" w:hAnsi="Times New Roman" w:eastAsia="黑体" w:cs="Times New Roman"/>
          <w:kern w:val="0"/>
          <w:sz w:val="32"/>
          <w:szCs w:val="32"/>
          <w:lang w:eastAsia="zh-CN" w:bidi="hi-IN"/>
        </w:rPr>
        <w:t>附件</w:t>
      </w:r>
      <w:r>
        <w:rPr>
          <w:rFonts w:hint="default" w:ascii="Times New Roman" w:hAnsi="Times New Roman" w:eastAsia="黑体" w:cs="Times New Roman"/>
          <w:kern w:val="0"/>
          <w:sz w:val="32"/>
          <w:szCs w:val="32"/>
          <w:lang w:val="en-US" w:eastAsia="zh-CN" w:bidi="hi-IN"/>
        </w:rPr>
        <w:t>3</w:t>
      </w:r>
    </w:p>
    <w:p>
      <w:pPr>
        <w:keepNext w:val="0"/>
        <w:keepLines w:val="0"/>
        <w:pageBreakBefore w:val="0"/>
        <w:widowControl w:val="0"/>
        <w:kinsoku/>
        <w:wordWrap/>
        <w:overflowPunct w:val="0"/>
        <w:topLinePunct w:val="0"/>
        <w:autoSpaceDE/>
        <w:autoSpaceDN/>
        <w:bidi w:val="0"/>
        <w:adjustRightInd/>
        <w:snapToGrid/>
        <w:spacing w:line="600" w:lineRule="exact"/>
        <w:jc w:val="both"/>
        <w:textAlignment w:val="auto"/>
        <w:rPr>
          <w:rFonts w:hint="default" w:ascii="Times New Roman" w:hAnsi="Times New Roman" w:eastAsia="黑体" w:cs="Times New Roman"/>
          <w:kern w:val="0"/>
          <w:sz w:val="32"/>
          <w:szCs w:val="32"/>
          <w:lang w:val="en-US" w:eastAsia="zh-CN" w:bidi="hi-IN"/>
        </w:rPr>
      </w:pPr>
    </w:p>
    <w:p>
      <w:pPr>
        <w:keepNext w:val="0"/>
        <w:keepLines w:val="0"/>
        <w:pageBreakBefore w:val="0"/>
        <w:widowControl w:val="0"/>
        <w:kinsoku/>
        <w:wordWrap/>
        <w:overflowPunct w:val="0"/>
        <w:topLinePunct w:val="0"/>
        <w:autoSpaceDE/>
        <w:autoSpaceDN/>
        <w:bidi w:val="0"/>
        <w:adjustRightInd/>
        <w:snapToGrid/>
        <w:spacing w:line="600" w:lineRule="exact"/>
        <w:ind w:firstLine="441" w:firstLineChars="100"/>
        <w:jc w:val="center"/>
        <w:textAlignment w:val="auto"/>
        <w:rPr>
          <w:rFonts w:hint="default" w:ascii="Times New Roman" w:hAnsi="Times New Roman" w:eastAsia="方正小标宋简体" w:cs="Times New Roman"/>
          <w:kern w:val="0"/>
          <w:sz w:val="44"/>
          <w:szCs w:val="44"/>
          <w:lang w:bidi="hi-IN"/>
        </w:rPr>
      </w:pPr>
      <w:r>
        <w:rPr>
          <w:rFonts w:hint="default" w:ascii="Times New Roman" w:hAnsi="Times New Roman" w:eastAsia="方正小标宋简体" w:cs="Times New Roman"/>
          <w:kern w:val="0"/>
          <w:sz w:val="44"/>
          <w:szCs w:val="44"/>
          <w:lang w:bidi="hi-IN"/>
        </w:rPr>
        <w:t>环翠区省级慢性非传染性疾病综合防控</w:t>
      </w:r>
    </w:p>
    <w:p>
      <w:pPr>
        <w:keepNext w:val="0"/>
        <w:keepLines w:val="0"/>
        <w:pageBreakBefore w:val="0"/>
        <w:widowControl w:val="0"/>
        <w:kinsoku/>
        <w:wordWrap/>
        <w:overflowPunct w:val="0"/>
        <w:topLinePunct w:val="0"/>
        <w:autoSpaceDE/>
        <w:autoSpaceDN/>
        <w:bidi w:val="0"/>
        <w:adjustRightInd/>
        <w:snapToGrid/>
        <w:spacing w:line="600" w:lineRule="exact"/>
        <w:ind w:firstLine="441" w:firstLineChars="100"/>
        <w:jc w:val="center"/>
        <w:textAlignment w:val="auto"/>
        <w:rPr>
          <w:rFonts w:hint="default" w:ascii="Times New Roman" w:hAnsi="Times New Roman" w:eastAsia="方正小标宋简体" w:cs="Times New Roman"/>
          <w:kern w:val="0"/>
          <w:sz w:val="44"/>
          <w:szCs w:val="44"/>
          <w:lang w:eastAsia="zh-CN" w:bidi="hi-IN"/>
        </w:rPr>
      </w:pPr>
      <w:r>
        <w:rPr>
          <w:rFonts w:hint="default" w:ascii="Times New Roman" w:hAnsi="Times New Roman" w:eastAsia="方正小标宋简体" w:cs="Times New Roman"/>
          <w:kern w:val="0"/>
          <w:sz w:val="44"/>
          <w:szCs w:val="44"/>
          <w:lang w:bidi="hi-IN"/>
        </w:rPr>
        <w:t>示范区</w:t>
      </w:r>
      <w:r>
        <w:rPr>
          <w:rFonts w:hint="default" w:ascii="Times New Roman" w:hAnsi="Times New Roman" w:eastAsia="方正小标宋简体" w:cs="Times New Roman"/>
          <w:kern w:val="0"/>
          <w:sz w:val="44"/>
          <w:szCs w:val="44"/>
          <w:lang w:eastAsia="zh-CN" w:bidi="hi-IN"/>
        </w:rPr>
        <w:t>复审责任分工</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bidi="hi-IN"/>
        </w:rPr>
      </w:pP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44"/>
          <w:szCs w:val="32"/>
          <w:lang w:bidi="hi-IN"/>
        </w:rPr>
      </w:pPr>
      <w:r>
        <w:rPr>
          <w:rFonts w:hint="default" w:ascii="Times New Roman" w:hAnsi="Times New Roman" w:eastAsia="仿宋_GB2312" w:cs="Times New Roman"/>
          <w:kern w:val="0"/>
          <w:sz w:val="32"/>
          <w:szCs w:val="32"/>
          <w:lang w:bidi="hi-IN"/>
        </w:rPr>
        <w:t>为全面推进省级慢性非传染性疾病综合防控示范区（以下简称</w:t>
      </w:r>
      <w:r>
        <w:rPr>
          <w:rFonts w:hint="eastAsia"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慢性病综合防控示范区</w:t>
      </w:r>
      <w:r>
        <w:rPr>
          <w:rFonts w:hint="eastAsia"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复审</w:t>
      </w:r>
      <w:r>
        <w:rPr>
          <w:rFonts w:hint="default" w:ascii="Times New Roman" w:hAnsi="Times New Roman" w:eastAsia="仿宋_GB2312" w:cs="Times New Roman"/>
          <w:kern w:val="0"/>
          <w:sz w:val="32"/>
          <w:szCs w:val="32"/>
          <w:lang w:bidi="hi-IN"/>
        </w:rPr>
        <w:t>工作，进一步完善</w:t>
      </w:r>
      <w:r>
        <w:rPr>
          <w:rFonts w:hint="default" w:ascii="Times New Roman" w:hAnsi="Times New Roman" w:eastAsia="仿宋_GB2312" w:cs="Times New Roman"/>
          <w:kern w:val="0"/>
          <w:sz w:val="32"/>
          <w:szCs w:val="32"/>
          <w:lang w:eastAsia="zh-CN" w:bidi="hi-IN"/>
        </w:rPr>
        <w:t>示范区责任分工</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使各项指标落实到人</w:t>
      </w:r>
      <w:r>
        <w:rPr>
          <w:rFonts w:hint="default" w:ascii="Times New Roman" w:hAnsi="Times New Roman" w:eastAsia="仿宋_GB2312" w:cs="Times New Roman"/>
          <w:kern w:val="0"/>
          <w:sz w:val="32"/>
          <w:szCs w:val="32"/>
          <w:lang w:bidi="hi-IN"/>
        </w:rPr>
        <w:t>，根据</w:t>
      </w:r>
      <w:r>
        <w:rPr>
          <w:rFonts w:hint="default" w:ascii="Times New Roman" w:hAnsi="Times New Roman" w:eastAsia="仿宋_GB2312" w:cs="Times New Roman"/>
          <w:kern w:val="0"/>
          <w:sz w:val="32"/>
          <w:szCs w:val="32"/>
          <w:lang w:eastAsia="zh-CN" w:bidi="hi-IN"/>
        </w:rPr>
        <w:t>山东省卫生健康委《关于印发</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山东省慢性非传染性疾病综合防控示范区建设管理办法（</w:t>
      </w:r>
      <w:r>
        <w:rPr>
          <w:rFonts w:hint="default" w:ascii="Times New Roman" w:hAnsi="Times New Roman" w:eastAsia="仿宋_GB2312" w:cs="Times New Roman"/>
          <w:kern w:val="0"/>
          <w:sz w:val="32"/>
          <w:szCs w:val="32"/>
          <w:lang w:val="en-US" w:eastAsia="zh-CN" w:bidi="hi-IN"/>
        </w:rPr>
        <w:t>2019版</w:t>
      </w:r>
      <w:r>
        <w:rPr>
          <w:rFonts w:hint="default"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w:t>
      </w:r>
      <w:r>
        <w:rPr>
          <w:rFonts w:hint="default" w:ascii="Times New Roman" w:hAnsi="Times New Roman" w:eastAsia="仿宋_GB2312" w:cs="Times New Roman"/>
          <w:kern w:val="0"/>
          <w:sz w:val="32"/>
          <w:szCs w:val="32"/>
          <w:lang w:eastAsia="zh-CN" w:bidi="hi-IN"/>
        </w:rPr>
        <w:t>的通知》（鲁卫疾控</w:t>
      </w:r>
      <w:r>
        <w:rPr>
          <w:rFonts w:hint="default" w:ascii="Times New Roman" w:hAnsi="Times New Roman" w:eastAsia="仿宋_GB2312" w:cs="Times New Roman"/>
          <w:color w:val="000000"/>
          <w:kern w:val="0"/>
          <w:sz w:val="32"/>
          <w:szCs w:val="32"/>
        </w:rPr>
        <w:t>〔201</w:t>
      </w:r>
      <w:r>
        <w:rPr>
          <w:rFonts w:hint="default" w:ascii="Times New Roman" w:hAnsi="Times New Roman" w:eastAsia="仿宋_GB2312" w:cs="Times New Roman"/>
          <w:color w:val="000000"/>
          <w:kern w:val="0"/>
          <w:sz w:val="32"/>
          <w:szCs w:val="32"/>
          <w:lang w:val="en-US" w:eastAsia="zh-CN"/>
        </w:rPr>
        <w:t>9</w:t>
      </w:r>
      <w:r>
        <w:rPr>
          <w:rFonts w:hint="default" w:ascii="Times New Roman" w:hAnsi="Times New Roman" w:eastAsia="仿宋_GB2312" w:cs="Times New Roman"/>
          <w:color w:val="000000"/>
          <w:kern w:val="0"/>
          <w:sz w:val="32"/>
          <w:szCs w:val="32"/>
        </w:rPr>
        <w:t>〕</w:t>
      </w:r>
      <w:r>
        <w:rPr>
          <w:rFonts w:hint="default" w:ascii="Times New Roman" w:hAnsi="Times New Roman" w:eastAsia="仿宋_GB2312" w:cs="Times New Roman"/>
          <w:color w:val="000000"/>
          <w:kern w:val="0"/>
          <w:sz w:val="32"/>
          <w:szCs w:val="32"/>
          <w:lang w:val="en-US" w:eastAsia="zh-CN"/>
        </w:rPr>
        <w:t>10</w:t>
      </w:r>
      <w:r>
        <w:rPr>
          <w:rFonts w:hint="default" w:ascii="Times New Roman" w:hAnsi="Times New Roman" w:eastAsia="仿宋_GB2312" w:cs="Times New Roman"/>
          <w:kern w:val="0"/>
          <w:sz w:val="32"/>
          <w:szCs w:val="32"/>
          <w:lang w:bidi="hi-IN"/>
        </w:rPr>
        <w:t>号</w:t>
      </w:r>
      <w:r>
        <w:rPr>
          <w:rFonts w:hint="default" w:ascii="Times New Roman" w:hAnsi="Times New Roman" w:eastAsia="仿宋_GB2312" w:cs="Times New Roman"/>
          <w:kern w:val="0"/>
          <w:sz w:val="32"/>
          <w:szCs w:val="32"/>
          <w:lang w:eastAsia="zh-CN" w:bidi="hi-IN"/>
        </w:rPr>
        <w:t>）</w:t>
      </w:r>
      <w:r>
        <w:rPr>
          <w:rFonts w:hint="default" w:ascii="Times New Roman" w:hAnsi="Times New Roman" w:eastAsia="仿宋_GB2312" w:cs="Times New Roman"/>
          <w:kern w:val="0"/>
          <w:sz w:val="32"/>
          <w:szCs w:val="32"/>
          <w:lang w:bidi="hi-IN"/>
        </w:rPr>
        <w:t>，现制定</w:t>
      </w:r>
      <w:r>
        <w:rPr>
          <w:rFonts w:hint="default" w:ascii="Times New Roman" w:hAnsi="Times New Roman" w:eastAsia="仿宋_GB2312" w:cs="Times New Roman"/>
          <w:kern w:val="0"/>
          <w:sz w:val="32"/>
          <w:szCs w:val="32"/>
          <w:lang w:eastAsia="zh-CN" w:bidi="hi-IN"/>
        </w:rPr>
        <w:t>示范区复审责任分工</w:t>
      </w:r>
      <w:r>
        <w:rPr>
          <w:rFonts w:hint="default" w:ascii="Times New Roman" w:hAnsi="Times New Roman" w:eastAsia="仿宋_GB2312" w:cs="Times New Roman"/>
          <w:kern w:val="0"/>
          <w:sz w:val="32"/>
          <w:szCs w:val="32"/>
          <w:lang w:bidi="hi-IN"/>
        </w:rPr>
        <w:t>如下：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黑体" w:cs="Times New Roman"/>
          <w:kern w:val="0"/>
          <w:sz w:val="32"/>
          <w:szCs w:val="32"/>
          <w:lang w:eastAsia="zh-CN" w:bidi="hi-IN"/>
        </w:rPr>
      </w:pPr>
      <w:r>
        <w:rPr>
          <w:rFonts w:hint="default" w:ascii="Times New Roman" w:hAnsi="Times New Roman" w:eastAsia="黑体" w:cs="Times New Roman"/>
          <w:kern w:val="0"/>
          <w:sz w:val="32"/>
          <w:szCs w:val="32"/>
          <w:lang w:eastAsia="zh-CN" w:bidi="hi-IN"/>
        </w:rPr>
        <w:t>一、责任分工范围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highlight w:val="none"/>
          <w:lang w:eastAsia="zh-CN" w:bidi="hi-IN"/>
        </w:rPr>
      </w:pPr>
      <w:r>
        <w:rPr>
          <w:rFonts w:hint="default" w:ascii="Times New Roman" w:hAnsi="Times New Roman" w:eastAsia="仿宋_GB2312" w:cs="Times New Roman"/>
          <w:kern w:val="0"/>
          <w:sz w:val="32"/>
          <w:szCs w:val="32"/>
          <w:lang w:eastAsia="zh-CN" w:bidi="hi-IN"/>
        </w:rPr>
        <w:t>各镇政府、街道办事处；</w:t>
      </w:r>
      <w:r>
        <w:rPr>
          <w:rFonts w:hint="default" w:ascii="Times New Roman" w:hAnsi="Times New Roman" w:eastAsia="仿宋_GB2312" w:cs="Times New Roman"/>
          <w:kern w:val="0"/>
          <w:sz w:val="32"/>
          <w:szCs w:val="32"/>
          <w:lang w:bidi="hi-IN"/>
        </w:rPr>
        <w:t>区委宣传部、区</w:t>
      </w:r>
      <w:r>
        <w:rPr>
          <w:rFonts w:hint="default" w:ascii="Times New Roman" w:hAnsi="Times New Roman" w:eastAsia="仿宋_GB2312" w:cs="Times New Roman"/>
          <w:kern w:val="0"/>
          <w:sz w:val="32"/>
          <w:szCs w:val="32"/>
          <w:lang w:eastAsia="zh-CN" w:bidi="hi-IN"/>
        </w:rPr>
        <w:t>委区</w:t>
      </w:r>
      <w:r>
        <w:rPr>
          <w:rFonts w:hint="default" w:ascii="Times New Roman" w:hAnsi="Times New Roman" w:eastAsia="仿宋_GB2312" w:cs="Times New Roman"/>
          <w:kern w:val="0"/>
          <w:sz w:val="32"/>
          <w:szCs w:val="32"/>
          <w:lang w:bidi="hi-IN"/>
        </w:rPr>
        <w:t>直机关工委、区总工会、</w:t>
      </w:r>
      <w:r>
        <w:rPr>
          <w:rFonts w:hint="default" w:ascii="Times New Roman" w:hAnsi="Times New Roman" w:eastAsia="仿宋_GB2312" w:cs="Times New Roman"/>
          <w:color w:val="000000"/>
          <w:kern w:val="0"/>
          <w:sz w:val="32"/>
          <w:szCs w:val="32"/>
          <w:lang w:bidi="hi-IN"/>
        </w:rPr>
        <w:t>团区委</w:t>
      </w:r>
      <w:r>
        <w:rPr>
          <w:rFonts w:hint="default" w:ascii="Times New Roman" w:hAnsi="Times New Roman" w:eastAsia="仿宋_GB2312" w:cs="Times New Roman"/>
          <w:kern w:val="0"/>
          <w:sz w:val="32"/>
          <w:szCs w:val="32"/>
          <w:lang w:bidi="hi-IN"/>
        </w:rPr>
        <w:t>、区妇联</w:t>
      </w:r>
      <w:r>
        <w:rPr>
          <w:rFonts w:hint="default" w:ascii="Times New Roman" w:hAnsi="Times New Roman" w:eastAsia="仿宋_GB2312" w:cs="Times New Roman"/>
          <w:kern w:val="0"/>
          <w:sz w:val="32"/>
          <w:szCs w:val="32"/>
          <w:highlight w:val="none"/>
          <w:lang w:bidi="hi-IN"/>
        </w:rPr>
        <w:t>、</w:t>
      </w:r>
      <w:r>
        <w:rPr>
          <w:rFonts w:hint="default" w:ascii="Times New Roman" w:hAnsi="Times New Roman" w:eastAsia="仿宋_GB2312" w:cs="Times New Roman"/>
          <w:kern w:val="0"/>
          <w:sz w:val="32"/>
          <w:szCs w:val="32"/>
          <w:lang w:eastAsia="zh-CN" w:bidi="hi-IN"/>
        </w:rPr>
        <w:t>区融媒体中心、</w:t>
      </w:r>
      <w:r>
        <w:rPr>
          <w:rFonts w:hint="default" w:ascii="Times New Roman" w:hAnsi="Times New Roman" w:eastAsia="仿宋_GB2312" w:cs="Times New Roman"/>
          <w:kern w:val="0"/>
          <w:sz w:val="32"/>
          <w:szCs w:val="32"/>
          <w:highlight w:val="none"/>
          <w:lang w:bidi="hi-IN"/>
        </w:rPr>
        <w:t>区</w:t>
      </w:r>
      <w:r>
        <w:rPr>
          <w:rFonts w:hint="default" w:ascii="Times New Roman" w:hAnsi="Times New Roman" w:eastAsia="仿宋_GB2312" w:cs="Times New Roman"/>
          <w:kern w:val="0"/>
          <w:sz w:val="32"/>
          <w:szCs w:val="32"/>
          <w:highlight w:val="none"/>
          <w:lang w:eastAsia="zh-CN" w:bidi="hi-IN"/>
        </w:rPr>
        <w:t>发展</w:t>
      </w:r>
      <w:r>
        <w:rPr>
          <w:rFonts w:hint="eastAsia" w:ascii="Times New Roman" w:hAnsi="Times New Roman" w:eastAsia="仿宋_GB2312" w:cs="Times New Roman"/>
          <w:kern w:val="0"/>
          <w:sz w:val="32"/>
          <w:szCs w:val="32"/>
          <w:highlight w:val="none"/>
          <w:lang w:eastAsia="zh-CN" w:bidi="hi-IN"/>
        </w:rPr>
        <w:t>和</w:t>
      </w:r>
      <w:r>
        <w:rPr>
          <w:rFonts w:hint="default" w:ascii="Times New Roman" w:hAnsi="Times New Roman" w:eastAsia="仿宋_GB2312" w:cs="Times New Roman"/>
          <w:kern w:val="0"/>
          <w:sz w:val="32"/>
          <w:szCs w:val="32"/>
          <w:highlight w:val="none"/>
          <w:lang w:eastAsia="zh-CN" w:bidi="hi-IN"/>
        </w:rPr>
        <w:t>改革局</w:t>
      </w:r>
      <w:r>
        <w:rPr>
          <w:rFonts w:hint="default" w:ascii="Times New Roman" w:hAnsi="Times New Roman" w:eastAsia="仿宋_GB2312" w:cs="Times New Roman"/>
          <w:kern w:val="0"/>
          <w:sz w:val="32"/>
          <w:szCs w:val="32"/>
          <w:highlight w:val="none"/>
          <w:lang w:bidi="hi-IN"/>
        </w:rPr>
        <w:t>、区教育和</w:t>
      </w:r>
      <w:r>
        <w:rPr>
          <w:rFonts w:hint="default" w:ascii="Times New Roman" w:hAnsi="Times New Roman" w:eastAsia="仿宋_GB2312" w:cs="Times New Roman"/>
          <w:kern w:val="0"/>
          <w:sz w:val="32"/>
          <w:szCs w:val="32"/>
          <w:lang w:eastAsia="zh-CN" w:bidi="hi-IN"/>
        </w:rPr>
        <w:t>体育</w:t>
      </w:r>
      <w:r>
        <w:rPr>
          <w:rFonts w:hint="default" w:ascii="Times New Roman" w:hAnsi="Times New Roman" w:eastAsia="仿宋_GB2312" w:cs="Times New Roman"/>
          <w:kern w:val="0"/>
          <w:sz w:val="32"/>
          <w:szCs w:val="32"/>
          <w:lang w:bidi="hi-IN"/>
        </w:rPr>
        <w:t>局、区科技局、</w:t>
      </w:r>
      <w:r>
        <w:rPr>
          <w:rFonts w:hint="default" w:ascii="Times New Roman" w:hAnsi="Times New Roman" w:eastAsia="仿宋_GB2312" w:cs="Times New Roman"/>
          <w:kern w:val="0"/>
          <w:sz w:val="32"/>
          <w:szCs w:val="32"/>
          <w:lang w:eastAsia="zh-CN" w:bidi="hi-IN"/>
        </w:rPr>
        <w:t>区工业和信息化局、</w:t>
      </w:r>
      <w:r>
        <w:rPr>
          <w:rFonts w:hint="default" w:ascii="Times New Roman" w:hAnsi="Times New Roman" w:eastAsia="仿宋_GB2312" w:cs="Times New Roman"/>
          <w:kern w:val="0"/>
          <w:sz w:val="32"/>
          <w:szCs w:val="32"/>
          <w:lang w:bidi="hi-IN"/>
        </w:rPr>
        <w:t>区民政局、区财政局、区</w:t>
      </w:r>
      <w:r>
        <w:rPr>
          <w:rFonts w:hint="default" w:ascii="Times New Roman" w:hAnsi="Times New Roman" w:eastAsia="仿宋_GB2312" w:cs="Times New Roman"/>
          <w:kern w:val="0"/>
          <w:sz w:val="32"/>
          <w:szCs w:val="32"/>
          <w:lang w:eastAsia="zh-CN" w:bidi="hi-IN"/>
        </w:rPr>
        <w:t>人力资源和社会保障</w:t>
      </w:r>
      <w:r>
        <w:rPr>
          <w:rFonts w:hint="default" w:ascii="Times New Roman" w:hAnsi="Times New Roman" w:eastAsia="仿宋_GB2312" w:cs="Times New Roman"/>
          <w:kern w:val="0"/>
          <w:sz w:val="32"/>
          <w:szCs w:val="32"/>
          <w:lang w:bidi="hi-IN"/>
        </w:rPr>
        <w:t>局、区</w:t>
      </w:r>
      <w:r>
        <w:rPr>
          <w:rFonts w:hint="default" w:ascii="Times New Roman" w:hAnsi="Times New Roman" w:eastAsia="仿宋_GB2312" w:cs="Times New Roman"/>
          <w:kern w:val="0"/>
          <w:sz w:val="32"/>
          <w:szCs w:val="32"/>
          <w:lang w:eastAsia="zh-CN" w:bidi="hi-IN"/>
        </w:rPr>
        <w:t>住房和城乡建设</w:t>
      </w:r>
      <w:r>
        <w:rPr>
          <w:rFonts w:hint="default" w:ascii="Times New Roman" w:hAnsi="Times New Roman" w:eastAsia="仿宋_GB2312" w:cs="Times New Roman"/>
          <w:kern w:val="0"/>
          <w:sz w:val="32"/>
          <w:szCs w:val="32"/>
          <w:lang w:bidi="hi-IN"/>
        </w:rPr>
        <w:t>局、</w:t>
      </w:r>
      <w:r>
        <w:rPr>
          <w:rFonts w:hint="default" w:ascii="Times New Roman" w:hAnsi="Times New Roman" w:eastAsia="仿宋_GB2312" w:cs="Times New Roman"/>
          <w:kern w:val="0"/>
          <w:sz w:val="32"/>
          <w:szCs w:val="32"/>
          <w:lang w:eastAsia="zh-CN" w:bidi="hi-IN"/>
        </w:rPr>
        <w:t>区商务局、</w:t>
      </w:r>
      <w:r>
        <w:rPr>
          <w:rFonts w:hint="default" w:ascii="Times New Roman" w:hAnsi="Times New Roman" w:eastAsia="仿宋_GB2312" w:cs="Times New Roman"/>
          <w:kern w:val="0"/>
          <w:sz w:val="32"/>
          <w:szCs w:val="32"/>
          <w:lang w:bidi="hi-IN"/>
        </w:rPr>
        <w:t>区</w:t>
      </w:r>
      <w:r>
        <w:rPr>
          <w:rFonts w:hint="default" w:ascii="Times New Roman" w:hAnsi="Times New Roman" w:eastAsia="仿宋_GB2312" w:cs="Times New Roman"/>
          <w:kern w:val="0"/>
          <w:sz w:val="32"/>
          <w:szCs w:val="32"/>
          <w:lang w:eastAsia="zh-CN" w:bidi="hi-IN"/>
        </w:rPr>
        <w:t>文化和旅游</w:t>
      </w:r>
      <w:r>
        <w:rPr>
          <w:rFonts w:hint="default" w:ascii="Times New Roman" w:hAnsi="Times New Roman" w:eastAsia="仿宋_GB2312" w:cs="Times New Roman"/>
          <w:kern w:val="0"/>
          <w:sz w:val="32"/>
          <w:szCs w:val="32"/>
          <w:lang w:bidi="hi-IN"/>
        </w:rPr>
        <w:t>局、区卫生</w:t>
      </w:r>
      <w:r>
        <w:rPr>
          <w:rFonts w:hint="default" w:ascii="Times New Roman" w:hAnsi="Times New Roman" w:eastAsia="仿宋_GB2312" w:cs="Times New Roman"/>
          <w:kern w:val="0"/>
          <w:sz w:val="32"/>
          <w:szCs w:val="32"/>
          <w:lang w:eastAsia="zh-CN" w:bidi="hi-IN"/>
        </w:rPr>
        <w:t>健康</w:t>
      </w:r>
      <w:r>
        <w:rPr>
          <w:rFonts w:hint="default" w:ascii="Times New Roman" w:hAnsi="Times New Roman" w:eastAsia="仿宋_GB2312" w:cs="Times New Roman"/>
          <w:kern w:val="0"/>
          <w:sz w:val="32"/>
          <w:szCs w:val="32"/>
          <w:lang w:bidi="hi-IN"/>
        </w:rPr>
        <w:t>局、</w:t>
      </w:r>
      <w:r>
        <w:rPr>
          <w:rFonts w:hint="eastAsia" w:ascii="Times New Roman" w:hAnsi="Times New Roman" w:eastAsia="仿宋_GB2312" w:cs="Times New Roman"/>
          <w:kern w:val="0"/>
          <w:sz w:val="32"/>
          <w:szCs w:val="32"/>
          <w:lang w:eastAsia="zh-CN" w:bidi="hi-IN"/>
        </w:rPr>
        <w:t>区市场监督管理局</w:t>
      </w:r>
      <w:r>
        <w:rPr>
          <w:rFonts w:hint="default" w:ascii="Times New Roman" w:hAnsi="Times New Roman" w:eastAsia="仿宋_GB2312" w:cs="Times New Roman"/>
          <w:kern w:val="0"/>
          <w:sz w:val="32"/>
          <w:szCs w:val="32"/>
          <w:lang w:bidi="hi-IN"/>
        </w:rPr>
        <w:t>、区综合</w:t>
      </w:r>
      <w:r>
        <w:rPr>
          <w:rFonts w:hint="default" w:ascii="Times New Roman" w:hAnsi="Times New Roman" w:eastAsia="仿宋_GB2312" w:cs="Times New Roman"/>
          <w:kern w:val="0"/>
          <w:sz w:val="32"/>
          <w:szCs w:val="32"/>
          <w:lang w:eastAsia="zh-CN" w:bidi="hi-IN"/>
        </w:rPr>
        <w:t>行政</w:t>
      </w:r>
      <w:r>
        <w:rPr>
          <w:rFonts w:hint="default" w:ascii="Times New Roman" w:hAnsi="Times New Roman" w:eastAsia="仿宋_GB2312" w:cs="Times New Roman"/>
          <w:kern w:val="0"/>
          <w:sz w:val="32"/>
          <w:szCs w:val="32"/>
          <w:lang w:bidi="hi-IN"/>
        </w:rPr>
        <w:t>执法局、</w:t>
      </w:r>
      <w:r>
        <w:rPr>
          <w:rFonts w:hint="default" w:ascii="Times New Roman" w:hAnsi="Times New Roman" w:eastAsia="仿宋_GB2312" w:cs="Times New Roman"/>
          <w:kern w:val="0"/>
          <w:sz w:val="32"/>
          <w:szCs w:val="32"/>
          <w:lang w:eastAsia="zh-CN" w:bidi="hi-IN"/>
        </w:rPr>
        <w:t>区</w:t>
      </w:r>
      <w:r>
        <w:rPr>
          <w:rFonts w:hint="eastAsia" w:ascii="Times New Roman" w:hAnsi="Times New Roman" w:eastAsia="仿宋_GB2312" w:cs="Times New Roman"/>
          <w:kern w:val="0"/>
          <w:sz w:val="32"/>
          <w:szCs w:val="32"/>
          <w:lang w:eastAsia="zh-CN" w:bidi="hi-IN"/>
        </w:rPr>
        <w:t>医疗保障</w:t>
      </w:r>
      <w:r>
        <w:rPr>
          <w:rFonts w:hint="default" w:ascii="Times New Roman" w:hAnsi="Times New Roman" w:eastAsia="仿宋_GB2312" w:cs="Times New Roman"/>
          <w:kern w:val="0"/>
          <w:sz w:val="32"/>
          <w:szCs w:val="32"/>
          <w:lang w:eastAsia="zh-CN" w:bidi="hi-IN"/>
        </w:rPr>
        <w:t>局、区市政园林中心、公安环翠分局、</w:t>
      </w:r>
      <w:r>
        <w:rPr>
          <w:rFonts w:hint="default" w:ascii="Times New Roman" w:hAnsi="Times New Roman" w:eastAsia="仿宋_GB2312" w:cs="Times New Roman"/>
          <w:kern w:val="0"/>
          <w:sz w:val="32"/>
          <w:szCs w:val="32"/>
          <w:highlight w:val="none"/>
          <w:lang w:val="en-US" w:eastAsia="zh-CN" w:bidi="hi-IN"/>
        </w:rPr>
        <w:t>里口山管理服务中心</w:t>
      </w:r>
      <w:r>
        <w:rPr>
          <w:rFonts w:hint="default" w:ascii="Times New Roman" w:hAnsi="Times New Roman" w:eastAsia="仿宋_GB2312" w:cs="Times New Roman"/>
          <w:kern w:val="0"/>
          <w:sz w:val="32"/>
          <w:szCs w:val="32"/>
          <w:highlight w:val="none"/>
          <w:lang w:eastAsia="zh-CN" w:bidi="hi-I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黑体" w:cs="Times New Roman"/>
          <w:kern w:val="0"/>
          <w:sz w:val="32"/>
          <w:szCs w:val="32"/>
          <w:lang w:eastAsia="zh-CN" w:bidi="hi-IN"/>
        </w:rPr>
      </w:pPr>
      <w:r>
        <w:rPr>
          <w:rFonts w:hint="eastAsia" w:ascii="Times New Roman" w:hAnsi="Times New Roman" w:eastAsia="黑体" w:cs="Times New Roman"/>
          <w:kern w:val="0"/>
          <w:sz w:val="32"/>
          <w:szCs w:val="32"/>
          <w:lang w:val="en-US" w:eastAsia="zh-CN" w:bidi="hi-IN"/>
        </w:rPr>
        <w:t>二、</w:t>
      </w:r>
      <w:r>
        <w:rPr>
          <w:rFonts w:hint="default" w:ascii="Times New Roman" w:hAnsi="Times New Roman" w:eastAsia="黑体" w:cs="Times New Roman"/>
          <w:kern w:val="0"/>
          <w:sz w:val="32"/>
          <w:szCs w:val="32"/>
          <w:lang w:eastAsia="zh-CN" w:bidi="hi-IN"/>
        </w:rPr>
        <w:t>各单位指标分工</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区委宣传部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bidi="hi-IN"/>
        </w:rPr>
      </w:pPr>
      <w:r>
        <w:rPr>
          <w:rFonts w:hint="default" w:ascii="Times New Roman" w:hAnsi="Times New Roman" w:eastAsia="仿宋_GB2312" w:cs="Times New Roman"/>
          <w:kern w:val="0"/>
          <w:sz w:val="32"/>
          <w:szCs w:val="32"/>
          <w:lang w:val="en-US" w:eastAsia="zh-CN" w:bidi="hi-IN"/>
        </w:rPr>
        <w:t>4.</w:t>
      </w:r>
      <w:r>
        <w:rPr>
          <w:rFonts w:hint="default" w:ascii="Times New Roman" w:hAnsi="Times New Roman" w:eastAsia="仿宋_GB2312" w:cs="Times New Roman"/>
          <w:kern w:val="0"/>
          <w:sz w:val="32"/>
          <w:szCs w:val="32"/>
          <w:lang w:bidi="hi-IN"/>
        </w:rPr>
        <w:t>负责引导社会舆论，指导、协调各新闻单位的工作，做好慢性病防控知识宣传，普及慢性病防控知识，组织发布人群慢性病防控有关健康知识。</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区委区直机关工委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lang w:eastAsia="zh-CN"/>
        </w:rPr>
        <w:t>组织开展</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无烟机关</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创建活动。不定期现场抽查无烟党政机关（单位）。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5.组织开展全民健康生活方式行动，实施健康细胞工程建设，创建健康机关（单位）占同类单位的30%以上。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6.每年机关、企事业单位组织至少一次健身竞赛活动，落实职工工间操制度，要求覆盖示范区机关、事业单位80%以上。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7.对无烟单位、健康机关（单位）进行督导，包括相关文件、过程资料和现场环境建设等。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区总工会</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引导工会组织建立职工参加身体活动和锻炼的制度。在企事业单位落实职工工间操制度，开展工间</w:t>
      </w:r>
      <w:r>
        <w:rPr>
          <w:rFonts w:hint="default" w:ascii="Times New Roman" w:hAnsi="Times New Roman" w:eastAsia="仿宋_GB2312" w:cs="Times New Roman"/>
          <w:color w:val="000000"/>
          <w:kern w:val="0"/>
          <w:sz w:val="32"/>
          <w:szCs w:val="32"/>
          <w:lang w:eastAsia="zh-CN"/>
        </w:rPr>
        <w:t>（前）健身</w:t>
      </w:r>
      <w:r>
        <w:rPr>
          <w:rFonts w:hint="default" w:ascii="Times New Roman" w:hAnsi="Times New Roman" w:eastAsia="仿宋_GB2312" w:cs="Times New Roman"/>
          <w:color w:val="000000"/>
          <w:kern w:val="0"/>
          <w:sz w:val="32"/>
          <w:szCs w:val="32"/>
        </w:rPr>
        <w:t>活动单位覆盖率≥80%</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lang w:val="en-US" w:eastAsia="zh-CN"/>
        </w:rPr>
        <w:t>5.</w:t>
      </w:r>
      <w:r>
        <w:rPr>
          <w:rFonts w:hint="default" w:ascii="Times New Roman" w:hAnsi="Times New Roman" w:eastAsia="仿宋_GB2312" w:cs="Times New Roman"/>
          <w:color w:val="000000"/>
          <w:kern w:val="0"/>
          <w:sz w:val="32"/>
          <w:szCs w:val="32"/>
        </w:rPr>
        <w:t>维护职工健康权益，鼓励企事业单位为职工提供体检机会，员工数超过50人的企业每2年1次体检并开展健康指导，覆盖率</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color w:val="000000"/>
          <w:kern w:val="0"/>
          <w:sz w:val="32"/>
          <w:szCs w:val="32"/>
        </w:rPr>
        <w:t>50%</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6.开展</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eastAsia="zh-CN"/>
        </w:rPr>
        <w:t>一评二控</w:t>
      </w:r>
      <w:r>
        <w:rPr>
          <w:rFonts w:hint="default" w:ascii="Times New Roman" w:hAnsi="Times New Roman" w:eastAsia="仿宋_GB2312" w:cs="Times New Roman"/>
          <w:kern w:val="0"/>
          <w:sz w:val="32"/>
          <w:szCs w:val="32"/>
        </w:rPr>
        <w:t>三减四健</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eastAsia="zh-CN"/>
        </w:rPr>
        <w:t>（健康评估、控烟、控酒、减盐、减油、减糖、健康口腔、健康体重、健康骨骼、健康心理）</w:t>
      </w:r>
      <w:r>
        <w:rPr>
          <w:rFonts w:hint="default" w:ascii="Times New Roman" w:hAnsi="Times New Roman" w:eastAsia="仿宋_GB2312" w:cs="Times New Roman"/>
          <w:kern w:val="0"/>
          <w:sz w:val="32"/>
          <w:szCs w:val="32"/>
        </w:rPr>
        <w:t>相关</w:t>
      </w:r>
      <w:r>
        <w:rPr>
          <w:rFonts w:hint="default" w:ascii="Times New Roman" w:hAnsi="Times New Roman" w:eastAsia="仿宋_GB2312" w:cs="Times New Roman"/>
          <w:kern w:val="0"/>
          <w:sz w:val="32"/>
          <w:szCs w:val="32"/>
          <w:lang w:eastAsia="zh-CN"/>
        </w:rPr>
        <w:t>行动</w:t>
      </w:r>
      <w:r>
        <w:rPr>
          <w:rFonts w:hint="default" w:ascii="Times New Roman" w:hAnsi="Times New Roman" w:eastAsia="仿宋_GB2312" w:cs="Times New Roman"/>
          <w:kern w:val="0"/>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团区委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发动青年志愿者积极参与慢性病综合防控示范区建设活动</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spacing w:val="-4"/>
          <w:sz w:val="32"/>
          <w:szCs w:val="32"/>
          <w:highlight w:val="none"/>
        </w:rPr>
      </w:pPr>
      <w:r>
        <w:rPr>
          <w:rFonts w:hint="default" w:ascii="Times New Roman" w:hAnsi="Times New Roman" w:eastAsia="仿宋_GB2312" w:cs="Times New Roman"/>
          <w:color w:val="000000"/>
          <w:kern w:val="0"/>
          <w:sz w:val="32"/>
          <w:szCs w:val="32"/>
          <w:highlight w:val="none"/>
          <w:lang w:val="en-US" w:eastAsia="zh-CN"/>
        </w:rPr>
        <w:t>5.开展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highlight w:val="none"/>
        </w:rPr>
      </w:pPr>
      <w:r>
        <w:rPr>
          <w:rFonts w:hint="default" w:ascii="Times New Roman" w:hAnsi="Times New Roman" w:eastAsia="楷体_GB2312" w:cs="Times New Roman"/>
          <w:bCs/>
          <w:color w:val="000000"/>
          <w:kern w:val="0"/>
          <w:sz w:val="32"/>
          <w:szCs w:val="32"/>
          <w:highlight w:val="none"/>
        </w:rPr>
        <w:t>区妇联</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推进健康家庭建设，开展健康家庭</w:t>
      </w:r>
      <w:r>
        <w:rPr>
          <w:rFonts w:hint="default" w:ascii="Times New Roman" w:hAnsi="Times New Roman" w:eastAsia="仿宋_GB2312" w:cs="Times New Roman"/>
          <w:color w:val="000000"/>
          <w:kern w:val="0"/>
          <w:sz w:val="32"/>
          <w:szCs w:val="32"/>
          <w:lang w:eastAsia="zh-CN"/>
        </w:rPr>
        <w:t>评选</w:t>
      </w:r>
      <w:r>
        <w:rPr>
          <w:rFonts w:hint="default" w:ascii="Times New Roman" w:hAnsi="Times New Roman" w:eastAsia="仿宋_GB2312" w:cs="Times New Roman"/>
          <w:color w:val="000000"/>
          <w:kern w:val="0"/>
          <w:sz w:val="32"/>
          <w:szCs w:val="32"/>
        </w:rPr>
        <w:t>活动的社区（村）占辖区社区（村）总数的</w:t>
      </w:r>
      <w:r>
        <w:rPr>
          <w:rFonts w:hint="default" w:ascii="Times New Roman" w:hAnsi="Times New Roman" w:eastAsia="仿宋_GB2312" w:cs="Times New Roman"/>
          <w:color w:val="000000"/>
          <w:kern w:val="0"/>
          <w:sz w:val="32"/>
          <w:szCs w:val="32"/>
          <w:lang w:val="en-US" w:eastAsia="zh-CN"/>
        </w:rPr>
        <w:t>40</w:t>
      </w:r>
      <w:r>
        <w:rPr>
          <w:rFonts w:hint="default" w:ascii="Times New Roman" w:hAnsi="Times New Roman" w:eastAsia="仿宋_GB2312" w:cs="Times New Roman"/>
          <w:color w:val="000000"/>
          <w:kern w:val="0"/>
          <w:sz w:val="32"/>
          <w:szCs w:val="32"/>
        </w:rPr>
        <w:t>%以上</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lang w:val="en-US" w:eastAsia="zh-CN"/>
        </w:rPr>
        <w:t>5.</w:t>
      </w:r>
      <w:r>
        <w:rPr>
          <w:rFonts w:hint="default" w:ascii="Times New Roman" w:hAnsi="Times New Roman" w:eastAsia="仿宋_GB2312" w:cs="Times New Roman"/>
          <w:color w:val="000000"/>
          <w:kern w:val="0"/>
          <w:sz w:val="32"/>
          <w:szCs w:val="32"/>
        </w:rPr>
        <w:t>通过发动家庭妇女，普及慢性病知识宣传，落实慢性病干预措施。（活动形式可参考：以妇女为主的健康方式知识讲座</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提倡减盐降压膳食生活</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rPr>
        <w:t>举办以妇女为主的健康膳食知识竞赛等）</w:t>
      </w:r>
      <w:r>
        <w:rPr>
          <w:rFonts w:hint="default" w:ascii="Times New Roman" w:hAnsi="Times New Roman" w:eastAsia="仿宋_GB2312" w:cs="Times New Roman"/>
          <w:color w:val="000000"/>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Times New Roman"/>
          <w:color w:val="000000"/>
          <w:kern w:val="0"/>
          <w:sz w:val="32"/>
          <w:szCs w:val="32"/>
          <w:highlight w:val="none"/>
          <w:lang w:eastAsia="zh-CN"/>
        </w:rPr>
      </w:pPr>
      <w:r>
        <w:rPr>
          <w:rFonts w:hint="default" w:ascii="Times New Roman" w:hAnsi="Times New Roman" w:eastAsia="仿宋_GB2312" w:cs="Times New Roman"/>
          <w:color w:val="000000"/>
          <w:kern w:val="0"/>
          <w:sz w:val="32"/>
          <w:szCs w:val="32"/>
          <w:highlight w:val="none"/>
          <w:lang w:val="en-US" w:eastAsia="zh-CN"/>
        </w:rPr>
        <w:t>6.开展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区融媒体中心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eastAsia="zh-CN"/>
        </w:rPr>
        <w:t>制定卫生健康知识传播计划。</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lang w:eastAsia="zh-CN"/>
        </w:rPr>
        <w:t>利用社会主流媒体和互联网等新媒体</w:t>
      </w:r>
      <w:r>
        <w:rPr>
          <w:rFonts w:hint="default" w:ascii="Times New Roman" w:hAnsi="Times New Roman" w:eastAsia="仿宋_GB2312" w:cs="Times New Roman"/>
          <w:color w:val="auto"/>
          <w:kern w:val="0"/>
          <w:sz w:val="32"/>
          <w:szCs w:val="32"/>
          <w:lang w:eastAsia="zh-CN"/>
        </w:rPr>
        <w:t>，配合相关部门广泛开展慢性病防制和健康教育，每月不少于</w:t>
      </w:r>
      <w:r>
        <w:rPr>
          <w:rFonts w:hint="default" w:ascii="Times New Roman" w:hAnsi="Times New Roman" w:eastAsia="仿宋_GB2312" w:cs="Times New Roman"/>
          <w:color w:val="auto"/>
          <w:kern w:val="0"/>
          <w:sz w:val="32"/>
          <w:szCs w:val="32"/>
          <w:lang w:val="en-US" w:eastAsia="zh-CN"/>
        </w:rPr>
        <w:t>2次（新闻报道除外），普及慢性病防控知识，提高群众慢性病知识知晓率。</w:t>
      </w:r>
    </w:p>
    <w:p>
      <w:pPr>
        <w:keepNext w:val="0"/>
        <w:keepLines w:val="0"/>
        <w:pageBreakBefore w:val="0"/>
        <w:widowControl w:val="0"/>
        <w:tabs>
          <w:tab w:val="left" w:pos="734"/>
        </w:tabs>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color w:val="auto"/>
          <w:kern w:val="0"/>
          <w:sz w:val="32"/>
          <w:szCs w:val="32"/>
          <w:lang w:val="en-US" w:eastAsia="zh-CN"/>
        </w:rPr>
        <w:t>6.</w:t>
      </w:r>
      <w:r>
        <w:rPr>
          <w:rFonts w:hint="default" w:ascii="Times New Roman" w:hAnsi="Times New Roman" w:eastAsia="仿宋_GB2312" w:cs="Times New Roman"/>
          <w:color w:val="auto"/>
          <w:kern w:val="0"/>
          <w:sz w:val="32"/>
          <w:szCs w:val="32"/>
          <w:lang w:eastAsia="zh-CN"/>
        </w:rPr>
        <w:t>强化健康生活方式与行动促进，配合相关部门每</w:t>
      </w:r>
      <w:r>
        <w:rPr>
          <w:rFonts w:hint="default" w:ascii="Times New Roman" w:hAnsi="Times New Roman" w:eastAsia="仿宋_GB2312" w:cs="Times New Roman"/>
          <w:kern w:val="0"/>
          <w:sz w:val="32"/>
          <w:szCs w:val="32"/>
          <w:lang w:eastAsia="zh-CN"/>
        </w:rPr>
        <w:t>周刊播</w:t>
      </w:r>
      <w:r>
        <w:rPr>
          <w:rFonts w:hint="default" w:ascii="Times New Roman" w:hAnsi="Times New Roman" w:eastAsia="仿宋_GB2312" w:cs="Times New Roman"/>
          <w:kern w:val="0"/>
          <w:sz w:val="32"/>
          <w:szCs w:val="32"/>
          <w:lang w:val="en-US" w:eastAsia="zh-CN"/>
        </w:rPr>
        <w:t>1次公共卫生健康信息和公益宣传广告，可以以滚动字幕的方式播放。</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发展</w:t>
      </w:r>
      <w:r>
        <w:rPr>
          <w:rFonts w:hint="eastAsia" w:ascii="Times New Roman" w:hAnsi="Times New Roman" w:eastAsia="楷体_GB2312" w:cs="Times New Roman"/>
          <w:bCs/>
          <w:color w:val="000000"/>
          <w:kern w:val="0"/>
          <w:sz w:val="32"/>
          <w:szCs w:val="32"/>
          <w:lang w:eastAsia="zh-CN"/>
        </w:rPr>
        <w:t>和</w:t>
      </w:r>
      <w:r>
        <w:rPr>
          <w:rFonts w:hint="default" w:ascii="Times New Roman" w:hAnsi="Times New Roman" w:eastAsia="楷体_GB2312" w:cs="Times New Roman"/>
          <w:bCs/>
          <w:color w:val="000000"/>
          <w:kern w:val="0"/>
          <w:sz w:val="32"/>
          <w:szCs w:val="32"/>
          <w:lang w:eastAsia="zh-CN"/>
        </w:rPr>
        <w:t>改革局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eastAsia="zh-CN"/>
        </w:rPr>
      </w:pPr>
      <w:r>
        <w:rPr>
          <w:rFonts w:hint="default" w:ascii="Times New Roman" w:hAnsi="Times New Roman" w:eastAsia="仿宋_GB2312" w:cs="Times New Roman"/>
          <w:color w:val="000000"/>
          <w:kern w:val="0"/>
          <w:sz w:val="32"/>
          <w:szCs w:val="32"/>
          <w:lang w:val="en-US" w:eastAsia="zh-CN"/>
        </w:rPr>
        <w:t>4.</w:t>
      </w:r>
      <w:r>
        <w:rPr>
          <w:rFonts w:hint="default" w:ascii="Times New Roman" w:hAnsi="Times New Roman" w:eastAsia="仿宋_GB2312" w:cs="Times New Roman"/>
          <w:color w:val="000000"/>
          <w:kern w:val="0"/>
          <w:sz w:val="32"/>
          <w:szCs w:val="32"/>
        </w:rPr>
        <w:t>将慢性病防控工作</w:t>
      </w:r>
      <w:r>
        <w:rPr>
          <w:rFonts w:hint="default" w:ascii="Times New Roman" w:hAnsi="Times New Roman" w:eastAsia="仿宋_GB2312" w:cs="Times New Roman"/>
          <w:color w:val="auto"/>
          <w:kern w:val="0"/>
          <w:sz w:val="32"/>
          <w:szCs w:val="32"/>
        </w:rPr>
        <w:t>纳入</w:t>
      </w:r>
      <w:r>
        <w:rPr>
          <w:rFonts w:hint="default" w:ascii="Times New Roman" w:hAnsi="Times New Roman" w:eastAsia="仿宋_GB2312" w:cs="Times New Roman"/>
          <w:color w:val="auto"/>
          <w:kern w:val="0"/>
          <w:sz w:val="32"/>
          <w:szCs w:val="32"/>
          <w:lang w:eastAsia="zh-CN"/>
        </w:rPr>
        <w:t>国民经济和社会发展规划</w:t>
      </w:r>
      <w:r>
        <w:rPr>
          <w:rFonts w:hint="default" w:ascii="Times New Roman" w:hAnsi="Times New Roman" w:eastAsia="仿宋_GB2312" w:cs="Times New Roman"/>
          <w:color w:val="auto"/>
          <w:kern w:val="0"/>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区教育和</w:t>
      </w:r>
      <w:r>
        <w:rPr>
          <w:rFonts w:hint="default" w:ascii="Times New Roman" w:hAnsi="Times New Roman" w:eastAsia="楷体_GB2312" w:cs="Times New Roman"/>
          <w:bCs/>
          <w:color w:val="000000"/>
          <w:kern w:val="0"/>
          <w:sz w:val="32"/>
          <w:szCs w:val="32"/>
          <w:lang w:eastAsia="zh-CN"/>
        </w:rPr>
        <w:t>体育</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制订学生慢性病防控教学计划，督促各类学校开展健康教育活动，实施青少年体育活动推进计划，中小学生每天锻炼时间不少于1小时</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在中小学校和幼儿园开设健康教育课，覆盖率达100%，健康教育课包括营养均衡、口腔保健、健康体重、视力保护等内容，每学期以班级为单位，课程≥6学时</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5.开展</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val="en-US" w:eastAsia="zh-CN"/>
        </w:rPr>
        <w:t>无烟学校</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val="en-US" w:eastAsia="zh-CN"/>
        </w:rPr>
        <w:t>创建活动。不定期现场抽查无烟学校情况。</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6.辖区中小学校及托幼机构有限制销售高糖饮料和零食政策和措施。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积极组织在校学生健康查体，学生健康体检率≥90%</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开展口腔健康知识宣传，逐步提高儿童龋齿发现率、充填及时率</w:t>
      </w:r>
      <w:r>
        <w:rPr>
          <w:rFonts w:hint="default" w:ascii="Times New Roman" w:hAnsi="Times New Roman" w:eastAsia="仿宋_GB2312" w:cs="Times New Roman"/>
          <w:kern w:val="0"/>
          <w:sz w:val="32"/>
          <w:szCs w:val="32"/>
          <w:lang w:eastAsia="zh-CN"/>
        </w:rPr>
        <w:t>，组织辖区小学二年级学生参与儿童龋病预防治疗项目，配合定点医疗机构做好项目实施，辖区内实施窝沟封闭学校覆盖率</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val="en-US" w:eastAsia="zh-CN"/>
        </w:rPr>
        <w:t>60</w:t>
      </w:r>
      <w:r>
        <w:rPr>
          <w:rFonts w:hint="default" w:ascii="Times New Roman" w:hAnsi="Times New Roman" w:eastAsia="仿宋_GB2312" w:cs="Times New Roman"/>
          <w:kern w:val="0"/>
          <w:sz w:val="32"/>
          <w:szCs w:val="32"/>
        </w:rPr>
        <w:t>%，辖区12岁儿童患龋率低于2</w:t>
      </w: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8.</w:t>
      </w:r>
      <w:r>
        <w:rPr>
          <w:rFonts w:hint="default" w:ascii="Times New Roman" w:hAnsi="Times New Roman" w:eastAsia="仿宋_GB2312" w:cs="Times New Roman"/>
          <w:kern w:val="0"/>
          <w:sz w:val="32"/>
          <w:szCs w:val="32"/>
        </w:rPr>
        <w:t>推进健康学校建设，建设健康学校占学校总数的30%以上</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9.</w:t>
      </w:r>
      <w:r>
        <w:rPr>
          <w:rFonts w:hint="default" w:ascii="Times New Roman" w:hAnsi="Times New Roman" w:eastAsia="仿宋_GB2312" w:cs="Times New Roman"/>
          <w:kern w:val="0"/>
          <w:sz w:val="32"/>
          <w:szCs w:val="32"/>
        </w:rPr>
        <w:t>学校体育场地免费或者低收费向社区群众开放</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10.</w:t>
      </w:r>
      <w:r>
        <w:rPr>
          <w:rFonts w:hint="default" w:ascii="Times New Roman" w:hAnsi="Times New Roman" w:eastAsia="仿宋_GB2312" w:cs="Times New Roman"/>
          <w:kern w:val="0"/>
          <w:sz w:val="32"/>
          <w:szCs w:val="32"/>
        </w:rPr>
        <w:t>对无烟学校、健康学校进行督导，包括</w:t>
      </w:r>
      <w:r>
        <w:rPr>
          <w:rFonts w:hint="default" w:ascii="Times New Roman" w:hAnsi="Times New Roman" w:eastAsia="仿宋_GB2312" w:cs="Times New Roman"/>
          <w:kern w:val="0"/>
          <w:sz w:val="32"/>
          <w:szCs w:val="32"/>
          <w:lang w:eastAsia="zh-CN"/>
        </w:rPr>
        <w:t>相关</w:t>
      </w:r>
      <w:r>
        <w:rPr>
          <w:rFonts w:hint="default" w:ascii="Times New Roman" w:hAnsi="Times New Roman" w:eastAsia="仿宋_GB2312" w:cs="Times New Roman"/>
          <w:kern w:val="0"/>
          <w:sz w:val="32"/>
          <w:szCs w:val="32"/>
        </w:rPr>
        <w:t>文件、过程资料和现场环境建设等</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11.组织多部门、群众开展集体性健身活动，每年不少于1次；有5个及以上的群众健身团体，配有体育指导员和志愿者，社会体育指导员数量占总人口的2.3</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以上</w:t>
      </w:r>
      <w:r>
        <w:rPr>
          <w:rFonts w:hint="eastAsia"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val="en-US" w:eastAsia="zh-CN"/>
        </w:rPr>
        <w:t>每年至少开展1次多部门组织的集体性健身活动；成立1个以上群众健身团队的社区（村）的比例达到60%以上。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12.公共体育场地设施免费或低收费向社区居民开放；有条件的单位免费或低收费开放比例≥30%。</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13.定期开展政府支持、企事业单位承担参与并积极支持的健身活动，每年≥1次。</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highlight w:val="none"/>
        </w:rPr>
      </w:pPr>
      <w:r>
        <w:rPr>
          <w:rFonts w:hint="default" w:ascii="Times New Roman" w:hAnsi="Times New Roman" w:eastAsia="仿宋_GB2312" w:cs="Times New Roman"/>
          <w:kern w:val="0"/>
          <w:sz w:val="32"/>
          <w:szCs w:val="32"/>
          <w:highlight w:val="none"/>
          <w:lang w:val="en-US" w:eastAsia="zh-CN"/>
        </w:rPr>
        <w:t>14.</w:t>
      </w:r>
      <w:r>
        <w:rPr>
          <w:rFonts w:hint="default" w:ascii="Times New Roman" w:hAnsi="Times New Roman" w:eastAsia="仿宋_GB2312" w:cs="Times New Roman"/>
          <w:color w:val="000000"/>
          <w:kern w:val="0"/>
          <w:sz w:val="32"/>
          <w:szCs w:val="32"/>
          <w:highlight w:val="none"/>
          <w:lang w:val="en-US" w:eastAsia="zh-CN"/>
        </w:rPr>
        <w:t>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区科技局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仿宋_GB2312"/>
          <w:color w:val="auto"/>
          <w:kern w:val="0"/>
          <w:sz w:val="32"/>
          <w:szCs w:val="32"/>
        </w:rPr>
      </w:pPr>
      <w:r>
        <w:rPr>
          <w:rFonts w:hint="eastAsia" w:ascii="Times New Roman" w:hAnsi="Times New Roman" w:eastAsia="仿宋_GB2312" w:cs="仿宋_GB2312"/>
          <w:color w:val="auto"/>
          <w:kern w:val="0"/>
          <w:sz w:val="32"/>
          <w:szCs w:val="32"/>
          <w:lang w:val="en-US" w:eastAsia="zh-CN"/>
        </w:rPr>
        <w:t>4.</w:t>
      </w:r>
      <w:r>
        <w:rPr>
          <w:rFonts w:hint="eastAsia" w:ascii="Times New Roman" w:hAnsi="Times New Roman" w:eastAsia="仿宋_GB2312" w:cs="仿宋_GB2312"/>
          <w:color w:val="auto"/>
          <w:sz w:val="32"/>
          <w:szCs w:val="32"/>
        </w:rPr>
        <w:t>协助负责慢性病防制适宜技术引进和转化</w:t>
      </w:r>
      <w:r>
        <w:rPr>
          <w:rFonts w:hint="eastAsia" w:ascii="Times New Roman" w:hAnsi="Times New Roman" w:eastAsia="仿宋_GB2312" w:cs="仿宋_GB2312"/>
          <w:color w:val="auto"/>
          <w:kern w:val="0"/>
          <w:sz w:val="32"/>
          <w:szCs w:val="32"/>
        </w:rPr>
        <w:t>等。</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区工业和信息化局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highlight w:val="none"/>
          <w:u w:val="none"/>
          <w:lang w:val="en-US" w:eastAsia="zh-CN"/>
        </w:rPr>
      </w:pPr>
      <w:r>
        <w:rPr>
          <w:rFonts w:hint="default" w:ascii="Times New Roman" w:hAnsi="Times New Roman" w:eastAsia="仿宋_GB2312" w:cs="Times New Roman"/>
          <w:kern w:val="0"/>
          <w:sz w:val="32"/>
          <w:szCs w:val="32"/>
          <w:highlight w:val="none"/>
          <w:u w:val="none"/>
          <w:lang w:val="en-US" w:eastAsia="zh-CN"/>
        </w:rPr>
        <w:t>4.推进工业信息化健康企业建设，建设健康企业占工业信息化企业总数的30%以上。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区民政局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落实因病（高血压、糖尿病、肿瘤等慢性病）致贫困难家庭</w:t>
      </w:r>
      <w:r>
        <w:rPr>
          <w:rFonts w:hint="default" w:ascii="Times New Roman" w:hAnsi="Times New Roman" w:eastAsia="仿宋_GB2312" w:cs="Times New Roman"/>
          <w:kern w:val="0"/>
          <w:sz w:val="32"/>
          <w:szCs w:val="32"/>
          <w:lang w:eastAsia="zh-CN"/>
        </w:rPr>
        <w:t>相关</w:t>
      </w:r>
      <w:r>
        <w:rPr>
          <w:rFonts w:hint="default" w:ascii="Times New Roman" w:hAnsi="Times New Roman" w:eastAsia="仿宋_GB2312" w:cs="Times New Roman"/>
          <w:kern w:val="0"/>
          <w:sz w:val="32"/>
          <w:szCs w:val="32"/>
        </w:rPr>
        <w:t>救助政策</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做好死亡人员殡葬服务环节《死亡医学证明书》查验管理和登记</w:t>
      </w:r>
      <w:r>
        <w:rPr>
          <w:rFonts w:hint="default" w:ascii="Times New Roman" w:hAnsi="Times New Roman" w:eastAsia="仿宋_GB2312" w:cs="Times New Roman"/>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lang w:eastAsia="zh-CN"/>
        </w:rPr>
        <w:t>配合医疗机构</w:t>
      </w:r>
      <w:r>
        <w:rPr>
          <w:rFonts w:hint="default" w:ascii="Times New Roman" w:hAnsi="Times New Roman" w:eastAsia="仿宋_GB2312" w:cs="Times New Roman"/>
          <w:kern w:val="0"/>
          <w:sz w:val="32"/>
          <w:szCs w:val="32"/>
        </w:rPr>
        <w:t>通过居家养老、社区养老与机构养老促进慢性病全程防控管理服务。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区财政局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将慢性病综合防制经费纳入政府预算、决算管理，提供慢性病综合防控示范区建设专项工作经费，经费预算执行率100%，疾控机构有专项慢性病防制业务经费，慢性病防控工作经费占疾控机构业务总经费的比例＞10%。</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人力资源和社会保障局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引进慢性病防控高学历、高层次专业人才。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住房和城乡建设</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区商务局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spacing w:val="-6"/>
          <w:kern w:val="0"/>
          <w:sz w:val="32"/>
          <w:szCs w:val="32"/>
          <w:lang w:val="en-US"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eastAsia="zh-CN"/>
        </w:rPr>
        <w:t>负责辖区商场（</w:t>
      </w:r>
      <w:r>
        <w:rPr>
          <w:rFonts w:hint="default" w:ascii="Times New Roman" w:hAnsi="Times New Roman" w:eastAsia="仿宋_GB2312" w:cs="Times New Roman"/>
          <w:kern w:val="0"/>
          <w:sz w:val="32"/>
          <w:szCs w:val="32"/>
          <w:lang w:val="en-US" w:eastAsia="zh-CN"/>
        </w:rPr>
        <w:t>超市</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lang w:val="en-US" w:eastAsia="zh-CN"/>
        </w:rPr>
        <w:t>慢性病宣传阵地建设，抓好慢性病防制知识进超市宣传活动，引导超市采购食品时登记食品有无营养标签；引导超市（商场）设立低盐食品专柜2处；引导消费者使用碘盐及低钠盐，室内公共场所设置禁止吸烟警语标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5.推进健康市场（超市、商场）建设，创建健康市场数量占市场总数的30%。</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文化和旅游</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区卫生</w:t>
      </w:r>
      <w:r>
        <w:rPr>
          <w:rFonts w:hint="default" w:ascii="Times New Roman" w:hAnsi="Times New Roman" w:eastAsia="楷体_GB2312" w:cs="Times New Roman"/>
          <w:bCs/>
          <w:color w:val="000000"/>
          <w:kern w:val="0"/>
          <w:sz w:val="32"/>
          <w:szCs w:val="32"/>
          <w:lang w:eastAsia="zh-CN"/>
        </w:rPr>
        <w:t>健康</w:t>
      </w:r>
      <w:r>
        <w:rPr>
          <w:rFonts w:hint="default" w:ascii="Times New Roman" w:hAnsi="Times New Roman" w:eastAsia="楷体_GB2312" w:cs="Times New Roman"/>
          <w:bCs/>
          <w:color w:val="000000"/>
          <w:kern w:val="0"/>
          <w:sz w:val="32"/>
          <w:szCs w:val="32"/>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spacing w:val="-6"/>
          <w:kern w:val="0"/>
          <w:sz w:val="32"/>
          <w:szCs w:val="32"/>
          <w:lang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调整技术指导专家组，加强慢性病防制队伍建设和培训，对创建工作进行整体指导考核，为其他成员部门参与创建活动提供技术支持；承担慢性病综合防控工作领导小组办公室日常性工作，每年组织召开领导小组成员部门工作会议1次以上，根据需要召开部门联络员会议；根据人员变动情况调整成员单位慢性病防控工作分管领导及联络员名单；每年组织2次</w:t>
      </w:r>
      <w:r>
        <w:rPr>
          <w:rFonts w:hint="default" w:ascii="Times New Roman" w:hAnsi="Times New Roman" w:eastAsia="仿宋_GB2312" w:cs="Times New Roman"/>
          <w:kern w:val="0"/>
          <w:sz w:val="32"/>
          <w:szCs w:val="32"/>
          <w:lang w:eastAsia="zh-CN"/>
        </w:rPr>
        <w:t>多部门参与的</w:t>
      </w:r>
      <w:r>
        <w:rPr>
          <w:rFonts w:hint="default" w:ascii="Times New Roman" w:hAnsi="Times New Roman" w:eastAsia="仿宋_GB2312" w:cs="Times New Roman"/>
          <w:kern w:val="0"/>
          <w:sz w:val="32"/>
          <w:szCs w:val="32"/>
        </w:rPr>
        <w:t>联合</w:t>
      </w:r>
      <w:r>
        <w:rPr>
          <w:rFonts w:hint="default" w:ascii="Times New Roman" w:hAnsi="Times New Roman" w:eastAsia="仿宋_GB2312" w:cs="Times New Roman"/>
          <w:kern w:val="0"/>
          <w:sz w:val="32"/>
          <w:szCs w:val="32"/>
          <w:lang w:eastAsia="zh-CN"/>
        </w:rPr>
        <w:t>调</w:t>
      </w:r>
      <w:r>
        <w:rPr>
          <w:rFonts w:hint="default" w:ascii="Times New Roman" w:hAnsi="Times New Roman" w:eastAsia="仿宋_GB2312" w:cs="Times New Roman"/>
          <w:spacing w:val="-6"/>
          <w:kern w:val="0"/>
          <w:sz w:val="32"/>
          <w:szCs w:val="32"/>
          <w:lang w:eastAsia="zh-CN"/>
        </w:rPr>
        <w:t>研或</w:t>
      </w:r>
      <w:r>
        <w:rPr>
          <w:rFonts w:hint="default" w:ascii="Times New Roman" w:hAnsi="Times New Roman" w:eastAsia="仿宋_GB2312" w:cs="Times New Roman"/>
          <w:spacing w:val="-6"/>
          <w:kern w:val="0"/>
          <w:sz w:val="32"/>
          <w:szCs w:val="32"/>
        </w:rPr>
        <w:t>督导，并对部门融入慢性病防控政策落实情况进行督导</w:t>
      </w:r>
      <w:r>
        <w:rPr>
          <w:rFonts w:hint="default" w:ascii="Times New Roman" w:hAnsi="Times New Roman" w:eastAsia="仿宋_GB2312" w:cs="Times New Roman"/>
          <w:spacing w:val="-6"/>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健全疾病监测网络和系统，开展全人群居民死</w:t>
      </w:r>
      <w:r>
        <w:rPr>
          <w:rFonts w:hint="default" w:ascii="Times New Roman" w:hAnsi="Times New Roman" w:eastAsia="仿宋_GB2312" w:cs="Times New Roman"/>
          <w:kern w:val="0"/>
          <w:sz w:val="32"/>
          <w:szCs w:val="32"/>
          <w:lang w:eastAsia="zh-CN"/>
        </w:rPr>
        <w:t>因</w:t>
      </w:r>
      <w:r>
        <w:rPr>
          <w:rFonts w:hint="default" w:ascii="Times New Roman" w:hAnsi="Times New Roman" w:eastAsia="仿宋_GB2312" w:cs="Times New Roman"/>
          <w:kern w:val="0"/>
          <w:sz w:val="32"/>
          <w:szCs w:val="32"/>
        </w:rPr>
        <w:t>监测及脑卒中、冠心病和肿瘤发病登记报告工作，监测、报告技术指标符合国家要求；开展全人群慢性病及危险因素抽样调查，掌握人群慢性病及危险因素流行特征</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联合</w:t>
      </w:r>
      <w:r>
        <w:rPr>
          <w:rFonts w:hint="default" w:ascii="Times New Roman" w:hAnsi="Times New Roman" w:eastAsia="仿宋_GB2312" w:cs="Times New Roman"/>
          <w:kern w:val="0"/>
          <w:sz w:val="32"/>
          <w:szCs w:val="32"/>
          <w:lang w:eastAsia="zh-CN"/>
        </w:rPr>
        <w:t>教育</w:t>
      </w:r>
      <w:r>
        <w:rPr>
          <w:rFonts w:hint="default" w:ascii="Times New Roman" w:hAnsi="Times New Roman" w:eastAsia="仿宋_GB2312" w:cs="Times New Roman"/>
          <w:kern w:val="0"/>
          <w:sz w:val="32"/>
          <w:szCs w:val="32"/>
        </w:rPr>
        <w:t>体育、文化</w:t>
      </w:r>
      <w:r>
        <w:rPr>
          <w:rFonts w:hint="default" w:ascii="Times New Roman" w:hAnsi="Times New Roman" w:eastAsia="仿宋_GB2312" w:cs="Times New Roman"/>
          <w:kern w:val="0"/>
          <w:sz w:val="32"/>
          <w:szCs w:val="32"/>
          <w:lang w:eastAsia="zh-CN"/>
        </w:rPr>
        <w:t>和旅游</w:t>
      </w:r>
      <w:r>
        <w:rPr>
          <w:rFonts w:hint="default" w:ascii="Times New Roman" w:hAnsi="Times New Roman" w:eastAsia="仿宋_GB2312" w:cs="Times New Roman"/>
          <w:kern w:val="0"/>
          <w:sz w:val="32"/>
          <w:szCs w:val="32"/>
        </w:rPr>
        <w:t>等部门启动全民健康生活方式行动，每年围绕健康主题宣传日开展4次大型宣传活动；发挥示范引领，以</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健康加油站</w:t>
      </w:r>
      <w:r>
        <w:rPr>
          <w:rFonts w:hint="eastAsia"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形式在社区、医疗卫生机构建立健康指标自助检测点，并提供个体化健康指导</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各级医疗卫生机构积极开展健康医院建设，加强烟草控制，各级医疗卫生机构全面实行禁烟，现场抽查无烟</w:t>
      </w:r>
      <w:r>
        <w:rPr>
          <w:rFonts w:hint="default" w:ascii="Times New Roman" w:hAnsi="Times New Roman" w:eastAsia="仿宋_GB2312" w:cs="Times New Roman"/>
          <w:kern w:val="0"/>
          <w:sz w:val="32"/>
          <w:szCs w:val="32"/>
          <w:lang w:eastAsia="zh-CN"/>
        </w:rPr>
        <w:t>医疗卫生</w:t>
      </w:r>
      <w:r>
        <w:rPr>
          <w:rFonts w:hint="default" w:ascii="Times New Roman" w:hAnsi="Times New Roman" w:eastAsia="仿宋_GB2312" w:cs="Times New Roman"/>
          <w:kern w:val="0"/>
          <w:sz w:val="32"/>
          <w:szCs w:val="32"/>
        </w:rPr>
        <w:t>机构，1个单位不合格不得分；各级医疗机构需要有简短戒烟培训，二级及以上医疗机构设置戒烟门诊，积极指导卫生</w:t>
      </w:r>
      <w:r>
        <w:rPr>
          <w:rFonts w:hint="default" w:ascii="Times New Roman" w:hAnsi="Times New Roman" w:eastAsia="仿宋_GB2312" w:cs="Times New Roman"/>
          <w:kern w:val="0"/>
          <w:sz w:val="32"/>
          <w:szCs w:val="32"/>
          <w:lang w:eastAsia="zh-CN"/>
        </w:rPr>
        <w:t>健康</w:t>
      </w:r>
      <w:r>
        <w:rPr>
          <w:rFonts w:hint="default" w:ascii="Times New Roman" w:hAnsi="Times New Roman" w:eastAsia="仿宋_GB2312" w:cs="Times New Roman"/>
          <w:kern w:val="0"/>
          <w:sz w:val="32"/>
          <w:szCs w:val="32"/>
        </w:rPr>
        <w:t>系统以外的无烟单位创建工作</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8.</w:t>
      </w:r>
      <w:r>
        <w:rPr>
          <w:rFonts w:hint="default" w:ascii="Times New Roman" w:hAnsi="Times New Roman" w:eastAsia="仿宋_GB2312" w:cs="Times New Roman"/>
          <w:kern w:val="0"/>
          <w:sz w:val="32"/>
          <w:szCs w:val="32"/>
        </w:rPr>
        <w:t>加强高血压、糖尿病患者规范化管理，管理评价指标达到国家要求；创新慢性病患者自我管理模式，提高患者自我管理积极性和主动性，逐步扩大自我管理人员队伍与覆盖面；加强对高危人群发现和干预，各级医疗机构实行</w:t>
      </w:r>
      <w:r>
        <w:rPr>
          <w:rFonts w:hint="default" w:ascii="Times New Roman" w:hAnsi="Times New Roman" w:eastAsia="仿宋_GB2312" w:cs="Times New Roman"/>
          <w:kern w:val="0"/>
          <w:sz w:val="32"/>
          <w:szCs w:val="32"/>
          <w:lang w:val="en-US" w:eastAsia="zh-CN"/>
        </w:rPr>
        <w:t>18</w:t>
      </w:r>
      <w:r>
        <w:rPr>
          <w:rFonts w:hint="default" w:ascii="Times New Roman" w:hAnsi="Times New Roman" w:eastAsia="仿宋_GB2312" w:cs="Times New Roman"/>
          <w:kern w:val="0"/>
          <w:sz w:val="32"/>
          <w:szCs w:val="32"/>
        </w:rPr>
        <w:t>岁以上人群首诊测血压制度，加强高血压、糖尿病高危人群干预管理，干预效果评价指标达到国家要求</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9.</w:t>
      </w:r>
      <w:r>
        <w:rPr>
          <w:rFonts w:hint="default" w:ascii="Times New Roman" w:hAnsi="Times New Roman" w:eastAsia="仿宋_GB2312" w:cs="Times New Roman"/>
          <w:kern w:val="0"/>
          <w:sz w:val="32"/>
          <w:szCs w:val="32"/>
        </w:rPr>
        <w:t>建立完善慢性病防控服务体系和分工明确、上下联动的工作机制，制定慢性病防控服务体系建设的方案，明确专业公共卫生机构、医院和基层医疗卫生机构职责；建立完善信息共享、互联互通的工作机制，推进慢性病防、治、管的整合；</w:t>
      </w:r>
      <w:r>
        <w:rPr>
          <w:rFonts w:hint="default" w:ascii="Times New Roman" w:hAnsi="Times New Roman" w:eastAsia="仿宋_GB2312" w:cs="Times New Roman"/>
          <w:kern w:val="0"/>
          <w:sz w:val="32"/>
          <w:szCs w:val="32"/>
          <w:lang w:eastAsia="zh-CN"/>
        </w:rPr>
        <w:t>开展医联体、医共体等建设，将慢性病防控作为县域医联体、医共体的重点内容。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10.</w:t>
      </w:r>
      <w:r>
        <w:rPr>
          <w:rFonts w:hint="default" w:ascii="Times New Roman" w:hAnsi="Times New Roman" w:eastAsia="仿宋_GB2312" w:cs="Times New Roman"/>
          <w:kern w:val="0"/>
          <w:sz w:val="32"/>
          <w:szCs w:val="32"/>
        </w:rPr>
        <w:t>加强慢性病防控队伍建设，辖区疾控机构有独立的慢性病防制科，配备专职人员，每年接受上级培训≥2次；二级以上医院有承担疾病预防控制工作的部门，有专职公共卫生人员承担慢性病防控工作，每年对辖区医疗机构的慢性病培训≥2次；基层医疗机构有单独科室、专职公共卫生人员承担慢性病防控工作，每年接受上级培训不少于4次，每年对村医或社区卫生服务站医护人员培训不少于2次</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11.</w:t>
      </w:r>
      <w:r>
        <w:rPr>
          <w:rFonts w:hint="default" w:ascii="Times New Roman" w:hAnsi="Times New Roman" w:eastAsia="仿宋_GB2312" w:cs="Times New Roman"/>
          <w:kern w:val="0"/>
          <w:sz w:val="32"/>
          <w:szCs w:val="32"/>
        </w:rPr>
        <w:t>建立区域卫生信息平台，依托信息平台落实并开展高血压与糖尿病基层首诊、双向转诊、急慢分治、上下联动的分级诊疗制度，积极推进家庭医生签约服务；</w:t>
      </w:r>
      <w:r>
        <w:rPr>
          <w:rFonts w:hint="default" w:ascii="Times New Roman" w:hAnsi="Times New Roman" w:eastAsia="仿宋_GB2312" w:cs="Times New Roman"/>
          <w:kern w:val="0"/>
          <w:sz w:val="32"/>
          <w:szCs w:val="32"/>
          <w:lang w:eastAsia="zh-CN"/>
        </w:rPr>
        <w:t>建立全民健康信息平台和建设全区统一的基层健康信息综合管理系统实现医疗卫生机构间公共卫生服务、诊疗信息互联互通、协同应用。全区普遍应用电子健康卡，应用互联网</w:t>
      </w:r>
      <w:r>
        <w:rPr>
          <w:rFonts w:hint="default" w:ascii="Times New Roman" w:hAnsi="Times New Roman" w:eastAsia="仿宋_GB2312" w:cs="Times New Roman"/>
          <w:kern w:val="0"/>
          <w:sz w:val="32"/>
          <w:szCs w:val="32"/>
          <w:lang w:val="en-US" w:eastAsia="zh-CN"/>
        </w:rPr>
        <w:t>+、健康大数据技术为签约服务的患者提供健康管理和诊疗服务。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2.</w:t>
      </w:r>
      <w:r>
        <w:rPr>
          <w:rFonts w:hint="default" w:ascii="Times New Roman" w:hAnsi="Times New Roman" w:eastAsia="仿宋_GB2312" w:cs="Times New Roman"/>
          <w:kern w:val="0"/>
          <w:sz w:val="32"/>
          <w:szCs w:val="32"/>
        </w:rPr>
        <w:t>中西医并重，发挥中医药在慢性病预防、保健、诊疗、康复中的作用，宣传中医药养生保健知识、推广中医适宜技术</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3.</w:t>
      </w:r>
      <w:r>
        <w:rPr>
          <w:rFonts w:hint="default" w:ascii="Times New Roman" w:hAnsi="Times New Roman" w:eastAsia="仿宋_GB2312" w:cs="Times New Roman"/>
          <w:kern w:val="0"/>
          <w:sz w:val="32"/>
          <w:szCs w:val="32"/>
        </w:rPr>
        <w:t>提高居民重点慢性病核心知识知晓率和居民健康素养水平，提高18岁以上人群高血压和糖尿病知晓率，降低15岁以上成人吸烟率</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rPr>
        <w:t>医疗机构向居家养老、社区养老与机构养老的老年人提供医养结合的健康养老服务覆盖比例≥80%</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lang w:eastAsia="zh-CN"/>
        </w:rPr>
        <w:t>制定慢性病防控社会因素调查方案，</w:t>
      </w:r>
      <w:r>
        <w:rPr>
          <w:rFonts w:hint="default" w:ascii="Times New Roman" w:hAnsi="Times New Roman" w:eastAsia="仿宋_GB2312" w:cs="Times New Roman"/>
          <w:kern w:val="0"/>
          <w:sz w:val="32"/>
          <w:szCs w:val="32"/>
        </w:rPr>
        <w:t>辖区每5年开展一次慢性病防控社会因素调查，综合运用社会学、流行病学等方法开展社会调查，报告信息来源权威准确，报告结果用于</w:t>
      </w:r>
      <w:r>
        <w:rPr>
          <w:rFonts w:hint="default" w:ascii="Times New Roman" w:hAnsi="Times New Roman" w:eastAsia="仿宋_GB2312" w:cs="Times New Roman"/>
          <w:kern w:val="0"/>
          <w:sz w:val="32"/>
          <w:szCs w:val="32"/>
          <w:lang w:eastAsia="zh-CN"/>
        </w:rPr>
        <w:t>反馈</w:t>
      </w:r>
      <w:r>
        <w:rPr>
          <w:rFonts w:hint="default" w:ascii="Times New Roman" w:hAnsi="Times New Roman" w:eastAsia="仿宋_GB2312" w:cs="Times New Roman"/>
          <w:kern w:val="0"/>
          <w:sz w:val="32"/>
          <w:szCs w:val="32"/>
        </w:rPr>
        <w:t>示范区建设及慢性病综合防控工作计划；辖区政府每5年发布人群慢性病防控有关健康信息</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6.</w:t>
      </w:r>
      <w:r>
        <w:rPr>
          <w:rFonts w:hint="default" w:ascii="Times New Roman" w:hAnsi="Times New Roman" w:eastAsia="仿宋_GB2312" w:cs="Times New Roman"/>
          <w:kern w:val="0"/>
          <w:sz w:val="32"/>
          <w:szCs w:val="32"/>
        </w:rPr>
        <w:t>辖区实施儿童窝沟封闭，社区协同开展健康口腔活动，开展窝沟封闭学校覆盖率≥60%，辖区12岁儿童患龋率低于2</w:t>
      </w:r>
      <w:r>
        <w:rPr>
          <w:rFonts w:hint="default" w:ascii="Times New Roman" w:hAnsi="Times New Roman" w:eastAsia="仿宋_GB2312" w:cs="Times New Roman"/>
          <w:kern w:val="0"/>
          <w:sz w:val="32"/>
          <w:szCs w:val="32"/>
          <w:lang w:val="en-US" w:eastAsia="zh-CN"/>
        </w:rPr>
        <w:t>5</w:t>
      </w:r>
      <w:r>
        <w:rPr>
          <w:rFonts w:hint="default" w:ascii="Times New Roman" w:hAnsi="Times New Roman" w:eastAsia="仿宋_GB2312" w:cs="Times New Roman"/>
          <w:kern w:val="0"/>
          <w:sz w:val="32"/>
          <w:szCs w:val="32"/>
        </w:rPr>
        <w:t>%</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7.</w:t>
      </w:r>
      <w:r>
        <w:rPr>
          <w:rFonts w:hint="default" w:ascii="Times New Roman" w:hAnsi="Times New Roman" w:eastAsia="仿宋_GB2312" w:cs="Times New Roman"/>
          <w:kern w:val="0"/>
          <w:sz w:val="32"/>
          <w:szCs w:val="32"/>
        </w:rPr>
        <w:t>慢性病综合防控工作有特色、可复制、可推广，撰写有创新、有特色的案例，推广示范区成功经验</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18.建立口腔疾病防治指导中心，完善口腔健康服务体系。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19.基层医疗卫生机构配备国家或省相关指南、推荐方案建议的高血压、糖尿病等重点慢性病治疗药品，优先使用基本药物。</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000000"/>
          <w:kern w:val="0"/>
          <w:sz w:val="32"/>
          <w:szCs w:val="32"/>
          <w:highlight w:val="none"/>
          <w:lang w:eastAsia="zh-CN"/>
        </w:rPr>
      </w:pPr>
      <w:r>
        <w:rPr>
          <w:rFonts w:hint="default" w:ascii="Times New Roman" w:hAnsi="Times New Roman" w:eastAsia="仿宋_GB2312" w:cs="Times New Roman"/>
          <w:kern w:val="0"/>
          <w:sz w:val="32"/>
          <w:szCs w:val="32"/>
          <w:highlight w:val="none"/>
          <w:lang w:val="en-US" w:eastAsia="zh-CN"/>
        </w:rPr>
        <w:t>20.</w:t>
      </w:r>
      <w:r>
        <w:rPr>
          <w:rFonts w:hint="default" w:ascii="Times New Roman" w:hAnsi="Times New Roman" w:eastAsia="仿宋_GB2312" w:cs="Times New Roman"/>
          <w:color w:val="000000"/>
          <w:kern w:val="0"/>
          <w:sz w:val="32"/>
          <w:szCs w:val="32"/>
          <w:highlight w:val="none"/>
          <w:lang w:val="en-US" w:eastAsia="zh-CN"/>
        </w:rPr>
        <w:t>开展</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一评二控</w:t>
      </w:r>
      <w:r>
        <w:rPr>
          <w:rFonts w:hint="default" w:ascii="Times New Roman" w:hAnsi="Times New Roman" w:eastAsia="仿宋_GB2312" w:cs="Times New Roman"/>
          <w:color w:val="000000"/>
          <w:kern w:val="0"/>
          <w:sz w:val="32"/>
          <w:szCs w:val="32"/>
          <w:highlight w:val="none"/>
        </w:rPr>
        <w:t>三减四健</w:t>
      </w:r>
      <w:r>
        <w:rPr>
          <w:rFonts w:hint="eastAsia" w:ascii="Times New Roman" w:hAnsi="Times New Roman" w:eastAsia="仿宋_GB2312" w:cs="Times New Roman"/>
          <w:color w:val="000000"/>
          <w:kern w:val="0"/>
          <w:sz w:val="32"/>
          <w:szCs w:val="32"/>
          <w:highlight w:val="none"/>
          <w:lang w:eastAsia="zh-CN"/>
        </w:rPr>
        <w:t>”</w:t>
      </w:r>
      <w:r>
        <w:rPr>
          <w:rFonts w:hint="default" w:ascii="Times New Roman" w:hAnsi="Times New Roman" w:eastAsia="仿宋_GB2312" w:cs="Times New Roman"/>
          <w:color w:val="000000"/>
          <w:kern w:val="0"/>
          <w:sz w:val="32"/>
          <w:szCs w:val="32"/>
          <w:highlight w:val="none"/>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highlight w:val="none"/>
        </w:rPr>
        <w:t>相关</w:t>
      </w:r>
      <w:r>
        <w:rPr>
          <w:rFonts w:hint="default" w:ascii="Times New Roman" w:hAnsi="Times New Roman" w:eastAsia="仿宋_GB2312" w:cs="Times New Roman"/>
          <w:color w:val="000000"/>
          <w:kern w:val="0"/>
          <w:sz w:val="32"/>
          <w:szCs w:val="32"/>
          <w:highlight w:val="none"/>
          <w:lang w:eastAsia="zh-CN"/>
        </w:rPr>
        <w:t>行动</w:t>
      </w:r>
      <w:r>
        <w:rPr>
          <w:rFonts w:hint="default" w:ascii="Times New Roman" w:hAnsi="Times New Roman" w:eastAsia="仿宋_GB2312" w:cs="Times New Roman"/>
          <w:color w:val="000000"/>
          <w:kern w:val="0"/>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楷体_GB2312" w:cs="Times New Roman"/>
          <w:bCs/>
          <w:color w:val="000000"/>
          <w:kern w:val="0"/>
          <w:sz w:val="32"/>
          <w:szCs w:val="32"/>
          <w:lang w:eastAsia="zh-CN"/>
        </w:rPr>
      </w:pPr>
      <w:r>
        <w:rPr>
          <w:rFonts w:hint="eastAsia" w:ascii="Times New Roman" w:hAnsi="Times New Roman" w:eastAsia="楷体_GB2312" w:cs="Times New Roman"/>
          <w:bCs/>
          <w:color w:val="000000"/>
          <w:kern w:val="0"/>
          <w:sz w:val="32"/>
          <w:szCs w:val="32"/>
          <w:lang w:eastAsia="zh-CN"/>
        </w:rPr>
        <w:t>区市场监督管理局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lang w:val="en-US" w:eastAsia="zh-CN"/>
        </w:rPr>
        <w:t>4.</w:t>
      </w:r>
      <w:r>
        <w:rPr>
          <w:rFonts w:hint="eastAsia" w:ascii="Times New Roman" w:hAnsi="Times New Roman" w:eastAsia="仿宋_GB2312" w:cs="Times New Roman"/>
          <w:kern w:val="0"/>
          <w:sz w:val="32"/>
          <w:szCs w:val="32"/>
          <w:lang w:val="en-US" w:eastAsia="zh-CN"/>
        </w:rPr>
        <w:t>加强</w:t>
      </w:r>
      <w:r>
        <w:rPr>
          <w:rFonts w:hint="default" w:ascii="Times New Roman" w:hAnsi="Times New Roman" w:eastAsia="仿宋_GB2312" w:cs="Times New Roman"/>
          <w:kern w:val="0"/>
          <w:sz w:val="32"/>
          <w:szCs w:val="32"/>
        </w:rPr>
        <w:t>烟草广告</w:t>
      </w:r>
      <w:r>
        <w:rPr>
          <w:rFonts w:hint="eastAsia" w:ascii="Times New Roman" w:hAnsi="Times New Roman" w:eastAsia="仿宋_GB2312" w:cs="Times New Roman"/>
          <w:kern w:val="0"/>
          <w:sz w:val="32"/>
          <w:szCs w:val="32"/>
          <w:lang w:eastAsia="zh-CN"/>
        </w:rPr>
        <w:t>发布监测和检查，依法查处发布</w:t>
      </w:r>
      <w:r>
        <w:rPr>
          <w:rFonts w:hint="default" w:ascii="Times New Roman" w:hAnsi="Times New Roman" w:eastAsia="仿宋_GB2312" w:cs="Times New Roman"/>
          <w:kern w:val="0"/>
          <w:sz w:val="32"/>
          <w:szCs w:val="32"/>
        </w:rPr>
        <w:t>烟草广告</w:t>
      </w:r>
      <w:r>
        <w:rPr>
          <w:rFonts w:hint="eastAsia" w:ascii="Times New Roman" w:hAnsi="Times New Roman" w:eastAsia="仿宋_GB2312" w:cs="Times New Roman"/>
          <w:kern w:val="0"/>
          <w:sz w:val="32"/>
          <w:szCs w:val="32"/>
          <w:lang w:eastAsia="zh-CN"/>
        </w:rPr>
        <w:t>违法行为</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color w:val="auto"/>
          <w:kern w:val="0"/>
          <w:sz w:val="32"/>
          <w:szCs w:val="32"/>
          <w:lang w:val="en-US" w:eastAsia="zh-CN"/>
        </w:rPr>
        <w:t>5.</w:t>
      </w:r>
      <w:r>
        <w:rPr>
          <w:rFonts w:hint="eastAsia" w:ascii="Times New Roman" w:hAnsi="Times New Roman" w:eastAsia="仿宋_GB2312" w:cs="Times New Roman"/>
          <w:color w:val="auto"/>
          <w:kern w:val="0"/>
          <w:sz w:val="32"/>
          <w:szCs w:val="32"/>
          <w:lang w:val="en-US" w:eastAsia="zh-CN"/>
        </w:rPr>
        <w:t>协助卫健部门</w:t>
      </w:r>
      <w:r>
        <w:rPr>
          <w:rFonts w:hint="default" w:ascii="Times New Roman" w:hAnsi="Times New Roman" w:eastAsia="仿宋_GB2312" w:cs="Times New Roman"/>
          <w:color w:val="auto"/>
          <w:kern w:val="0"/>
          <w:sz w:val="32"/>
          <w:szCs w:val="32"/>
          <w:lang w:val="en-US" w:eastAsia="zh-CN"/>
        </w:rPr>
        <w:t>推进健康餐厅（</w:t>
      </w:r>
      <w:r>
        <w:rPr>
          <w:rFonts w:hint="default" w:ascii="Times New Roman" w:hAnsi="Times New Roman" w:eastAsia="仿宋_GB2312" w:cs="Times New Roman"/>
          <w:kern w:val="0"/>
          <w:sz w:val="32"/>
          <w:szCs w:val="32"/>
          <w:lang w:val="en-US" w:eastAsia="zh-CN"/>
        </w:rPr>
        <w:t>食堂）建设，健康餐厅（食堂）数量占餐厅（食堂）总数的30%以上。</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6.引导食品生产企业开发和生产低糖、低脂、低盐等有利于健康的食品，加强食品生产质量安全监管，推广食品营养标签。</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rPr>
      </w:pPr>
      <w:r>
        <w:rPr>
          <w:rFonts w:hint="default" w:ascii="Times New Roman" w:hAnsi="Times New Roman" w:eastAsia="楷体_GB2312" w:cs="Times New Roman"/>
          <w:bCs/>
          <w:color w:val="000000"/>
          <w:kern w:val="0"/>
          <w:sz w:val="32"/>
          <w:szCs w:val="32"/>
        </w:rPr>
        <w:t>区综合行政执法局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lang w:val="en-US" w:eastAsia="zh-CN"/>
        </w:rPr>
        <w:t>4.</w:t>
      </w:r>
      <w:r>
        <w:rPr>
          <w:rFonts w:hint="default" w:ascii="Times New Roman" w:hAnsi="Times New Roman" w:eastAsia="仿宋_GB2312" w:cs="Times New Roman"/>
          <w:color w:val="auto"/>
          <w:kern w:val="0"/>
          <w:sz w:val="32"/>
          <w:szCs w:val="32"/>
          <w:lang w:eastAsia="zh-CN"/>
        </w:rPr>
        <w:t>协调</w:t>
      </w:r>
      <w:r>
        <w:rPr>
          <w:rFonts w:hint="eastAsia" w:ascii="Times New Roman" w:hAnsi="Times New Roman" w:eastAsia="仿宋_GB2312" w:cs="Times New Roman"/>
          <w:color w:val="auto"/>
          <w:kern w:val="0"/>
          <w:sz w:val="32"/>
          <w:szCs w:val="32"/>
          <w:lang w:eastAsia="zh-CN"/>
        </w:rPr>
        <w:t>上级单位</w:t>
      </w:r>
      <w:r>
        <w:rPr>
          <w:rFonts w:hint="default" w:ascii="Times New Roman" w:hAnsi="Times New Roman" w:eastAsia="仿宋_GB2312" w:cs="Times New Roman"/>
          <w:color w:val="auto"/>
          <w:kern w:val="0"/>
          <w:sz w:val="32"/>
          <w:szCs w:val="32"/>
          <w:lang w:eastAsia="zh-CN"/>
        </w:rPr>
        <w:t>，配合部门或各镇（街）在公共场所开展户外慢性病防制知识宣传。</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区</w:t>
      </w:r>
      <w:r>
        <w:rPr>
          <w:rFonts w:hint="eastAsia" w:ascii="Times New Roman" w:hAnsi="Times New Roman" w:eastAsia="楷体_GB2312" w:cs="Times New Roman"/>
          <w:bCs/>
          <w:color w:val="000000"/>
          <w:kern w:val="0"/>
          <w:sz w:val="32"/>
          <w:szCs w:val="32"/>
          <w:lang w:eastAsia="zh-CN"/>
        </w:rPr>
        <w:t>医疗保障</w:t>
      </w:r>
      <w:r>
        <w:rPr>
          <w:rFonts w:hint="default" w:ascii="Times New Roman" w:hAnsi="Times New Roman" w:eastAsia="楷体_GB2312" w:cs="Times New Roman"/>
          <w:bCs/>
          <w:color w:val="000000"/>
          <w:kern w:val="0"/>
          <w:sz w:val="32"/>
          <w:szCs w:val="32"/>
          <w:lang w:eastAsia="zh-CN"/>
        </w:rPr>
        <w:t>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4.落实城镇职工和居民慢性病医疗保障政策，做好参保人员</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的医疗保障工作；提高签约患者的医疗保障水平和困难人群医疗救助水平的具体措施。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color w:val="auto"/>
          <w:kern w:val="0"/>
          <w:sz w:val="32"/>
          <w:szCs w:val="32"/>
          <w:lang w:val="en-US" w:eastAsia="zh-CN"/>
        </w:rPr>
      </w:pPr>
      <w:r>
        <w:rPr>
          <w:rFonts w:hint="default" w:ascii="Times New Roman" w:hAnsi="Times New Roman" w:eastAsia="仿宋_GB2312" w:cs="Times New Roman"/>
          <w:color w:val="auto"/>
          <w:kern w:val="0"/>
          <w:sz w:val="32"/>
          <w:szCs w:val="32"/>
          <w:lang w:val="en-US" w:eastAsia="zh-CN"/>
        </w:rPr>
        <w:t>5.落实基本医疗保险、大病保险和医疗救助重大疾病保障等相关政策。</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6.提供居民保险慢性病报销数据资料。</w:t>
      </w:r>
    </w:p>
    <w:p>
      <w:pPr>
        <w:keepNext w:val="0"/>
        <w:keepLines w:val="0"/>
        <w:pageBreakBefore w:val="0"/>
        <w:widowControl w:val="0"/>
        <w:tabs>
          <w:tab w:val="left" w:pos="734"/>
        </w:tabs>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rPr>
        <w:t>区</w:t>
      </w:r>
      <w:r>
        <w:rPr>
          <w:rFonts w:hint="default" w:ascii="Times New Roman" w:hAnsi="Times New Roman" w:eastAsia="楷体_GB2312" w:cs="Times New Roman"/>
          <w:bCs/>
          <w:color w:val="000000"/>
          <w:kern w:val="0"/>
          <w:sz w:val="32"/>
          <w:szCs w:val="32"/>
          <w:lang w:eastAsia="zh-CN"/>
        </w:rPr>
        <w:t>市政园林服务中心</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w:t>
      </w:r>
      <w:r>
        <w:rPr>
          <w:rFonts w:hint="default" w:ascii="Times New Roman" w:hAnsi="Times New Roman" w:eastAsia="仿宋_GB2312" w:cs="Times New Roman"/>
          <w:kern w:val="0"/>
          <w:sz w:val="32"/>
          <w:szCs w:val="32"/>
          <w:lang w:eastAsia="zh-CN"/>
        </w:rPr>
        <w:t>，</w:t>
      </w:r>
      <w:r>
        <w:rPr>
          <w:rFonts w:hint="default" w:ascii="Times New Roman" w:hAnsi="Times New Roman" w:eastAsia="仿宋_GB2312" w:cs="Times New Roman"/>
          <w:kern w:val="0"/>
          <w:sz w:val="32"/>
          <w:szCs w:val="32"/>
        </w:rPr>
        <w:t>按时报送慢性病综合防控示范区建设工作开展情况及总结</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bidi="hi-IN"/>
        </w:rPr>
      </w:pPr>
      <w:r>
        <w:rPr>
          <w:rFonts w:hint="default" w:ascii="Times New Roman" w:hAnsi="Times New Roman" w:eastAsia="仿宋_GB2312" w:cs="Times New Roman"/>
          <w:kern w:val="0"/>
          <w:sz w:val="32"/>
          <w:szCs w:val="32"/>
          <w:lang w:val="en-US" w:eastAsia="zh-CN" w:bidi="hi-IN"/>
        </w:rPr>
        <w:t>2.</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，并开展干预措施。</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bidi="hi-IN"/>
        </w:rPr>
        <w:t>3.</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val="en-US" w:eastAsia="zh-CN"/>
        </w:rPr>
      </w:pPr>
      <w:r>
        <w:rPr>
          <w:rFonts w:hint="default" w:ascii="Times New Roman" w:hAnsi="Times New Roman" w:eastAsia="仿宋_GB2312" w:cs="Times New Roman"/>
          <w:kern w:val="0"/>
          <w:sz w:val="32"/>
          <w:szCs w:val="32"/>
          <w:lang w:val="en-US" w:eastAsia="zh-CN"/>
        </w:rPr>
        <w:t>4.</w:t>
      </w:r>
      <w:r>
        <w:rPr>
          <w:rFonts w:hint="default" w:ascii="Times New Roman" w:hAnsi="Times New Roman" w:eastAsia="仿宋_GB2312" w:cs="Times New Roman"/>
          <w:kern w:val="0"/>
          <w:sz w:val="32"/>
          <w:szCs w:val="32"/>
          <w:lang w:eastAsia="zh-CN"/>
        </w:rPr>
        <w:t>建设健康主题广场（公园）、健康步道</w:t>
      </w:r>
      <w:r>
        <w:rPr>
          <w:rFonts w:hint="default" w:ascii="Times New Roman" w:hAnsi="Times New Roman" w:eastAsia="仿宋_GB2312" w:cs="Times New Roman"/>
          <w:kern w:val="0"/>
          <w:sz w:val="32"/>
          <w:szCs w:val="32"/>
          <w:highlight w:val="none"/>
          <w:lang w:eastAsia="zh-CN"/>
        </w:rPr>
        <w:t>工程各</w:t>
      </w:r>
      <w:r>
        <w:rPr>
          <w:rFonts w:hint="default" w:ascii="Times New Roman" w:hAnsi="Times New Roman" w:eastAsia="仿宋_GB2312" w:cs="Times New Roman"/>
          <w:kern w:val="0"/>
          <w:sz w:val="32"/>
          <w:szCs w:val="32"/>
          <w:highlight w:val="none"/>
          <w:lang w:val="en-US" w:eastAsia="zh-CN"/>
        </w:rPr>
        <w:t>3处</w:t>
      </w:r>
      <w:r>
        <w:rPr>
          <w:rFonts w:hint="default" w:ascii="Times New Roman" w:hAnsi="Times New Roman" w:eastAsia="仿宋_GB2312" w:cs="Times New Roman"/>
          <w:kern w:val="0"/>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lang w:eastAsia="zh-CN"/>
        </w:rPr>
      </w:pPr>
      <w:r>
        <w:rPr>
          <w:rFonts w:hint="default" w:ascii="Times New Roman" w:hAnsi="Times New Roman" w:eastAsia="楷体_GB2312" w:cs="Times New Roman"/>
          <w:bCs/>
          <w:color w:val="000000"/>
          <w:kern w:val="0"/>
          <w:sz w:val="32"/>
          <w:szCs w:val="32"/>
          <w:lang w:eastAsia="zh-CN"/>
        </w:rPr>
        <w:t>公安环翠分局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lang w:val="en-US" w:eastAsia="zh-CN"/>
        </w:rPr>
        <w:t>1.</w:t>
      </w:r>
      <w:r>
        <w:rPr>
          <w:rFonts w:hint="default" w:ascii="Times New Roman" w:hAnsi="Times New Roman" w:eastAsia="仿宋_GB2312" w:cs="Times New Roman"/>
          <w:kern w:val="0"/>
          <w:sz w:val="32"/>
          <w:szCs w:val="32"/>
        </w:rPr>
        <w:t>制定本部门的慢性病综合防控示范区建设实施方案，成立领导小组，按时报送慢性病综合防控示范区建设工作开展情况及总结，</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和干预措施</w:t>
      </w:r>
      <w:r>
        <w:rPr>
          <w:rFonts w:hint="default" w:ascii="Times New Roman" w:hAnsi="Times New Roman" w:eastAsia="仿宋_GB2312" w:cs="Times New Roman"/>
          <w:kern w:val="0"/>
          <w:sz w:val="32"/>
          <w:szCs w:val="32"/>
        </w:rPr>
        <w:t>；单位内要开展健康知识宣传，悬挂健康知识宣传看板，室内公共场所和工作场所设置禁止吸烟警语和标识</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lang w:eastAsia="zh-CN"/>
        </w:rPr>
        <w:t>每年为卫生健康部门提供分性别、分年龄组的人口学资料，抓好死因监测工作中户口注销环节《死亡医学证明书》查验管理，做好居民死亡登记报告工作。</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楷体_GB2312" w:cs="Times New Roman"/>
          <w:bCs/>
          <w:color w:val="000000"/>
          <w:kern w:val="0"/>
          <w:sz w:val="32"/>
          <w:szCs w:val="32"/>
          <w:highlight w:val="none"/>
          <w:lang w:eastAsia="zh-CN"/>
        </w:rPr>
      </w:pPr>
      <w:r>
        <w:rPr>
          <w:rFonts w:hint="default" w:ascii="Times New Roman" w:hAnsi="Times New Roman" w:eastAsia="楷体_GB2312" w:cs="Times New Roman"/>
          <w:bCs/>
          <w:color w:val="000000"/>
          <w:kern w:val="0"/>
          <w:sz w:val="32"/>
          <w:szCs w:val="32"/>
        </w:rPr>
        <w:t>各镇</w:t>
      </w:r>
      <w:r>
        <w:rPr>
          <w:rFonts w:hint="default" w:ascii="Times New Roman" w:hAnsi="Times New Roman" w:eastAsia="楷体_GB2312" w:cs="Times New Roman"/>
          <w:bCs/>
          <w:color w:val="000000"/>
          <w:kern w:val="0"/>
          <w:sz w:val="32"/>
          <w:szCs w:val="32"/>
          <w:lang w:eastAsia="zh-CN"/>
        </w:rPr>
        <w:t>政府（</w:t>
      </w:r>
      <w:r>
        <w:rPr>
          <w:rFonts w:hint="default" w:ascii="Times New Roman" w:hAnsi="Times New Roman" w:eastAsia="楷体_GB2312" w:cs="Times New Roman"/>
          <w:bCs/>
          <w:color w:val="000000"/>
          <w:kern w:val="0"/>
          <w:sz w:val="32"/>
          <w:szCs w:val="32"/>
        </w:rPr>
        <w:t>街道办事处</w:t>
      </w:r>
      <w:r>
        <w:rPr>
          <w:rFonts w:hint="default" w:ascii="Times New Roman" w:hAnsi="Times New Roman" w:eastAsia="楷体_GB2312" w:cs="Times New Roman"/>
          <w:bCs/>
          <w:color w:val="000000"/>
          <w:kern w:val="0"/>
          <w:sz w:val="32"/>
          <w:szCs w:val="32"/>
          <w:lang w:eastAsia="zh-CN"/>
        </w:rPr>
        <w:t>）</w:t>
      </w:r>
      <w:r>
        <w:rPr>
          <w:rFonts w:hint="default" w:ascii="Times New Roman" w:hAnsi="Times New Roman" w:eastAsia="楷体_GB2312" w:cs="Times New Roman"/>
          <w:bCs/>
          <w:color w:val="000000"/>
          <w:kern w:val="0"/>
          <w:sz w:val="32"/>
          <w:szCs w:val="32"/>
          <w:highlight w:val="none"/>
          <w:lang w:eastAsia="zh-CN"/>
        </w:rPr>
        <w:t>、里口山管理服务中心</w:t>
      </w:r>
    </w:p>
    <w:p>
      <w:pPr>
        <w:keepNext w:val="0"/>
        <w:keepLines w:val="0"/>
        <w:pageBreakBefore w:val="0"/>
        <w:widowControl w:val="0"/>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kern w:val="0"/>
          <w:sz w:val="32"/>
          <w:szCs w:val="32"/>
        </w:rPr>
        <w:t>1</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rPr>
        <w:t>制定本辖区的慢性病综合防控示范区建设实施方案，成立领导小组，按时报送慢性病综合防控示范区建设工作开展情况及总结，</w:t>
      </w:r>
      <w:r>
        <w:rPr>
          <w:rFonts w:hint="default" w:ascii="Times New Roman" w:hAnsi="Times New Roman" w:eastAsia="仿宋_GB2312" w:cs="Times New Roman"/>
          <w:kern w:val="0"/>
          <w:sz w:val="32"/>
          <w:szCs w:val="32"/>
          <w:lang w:bidi="hi-IN"/>
        </w:rPr>
        <w:t>将慢性病防控工作融入本部门</w:t>
      </w:r>
      <w:r>
        <w:rPr>
          <w:rFonts w:hint="default" w:ascii="Times New Roman" w:hAnsi="Times New Roman" w:eastAsia="仿宋_GB2312" w:cs="Times New Roman"/>
          <w:kern w:val="0"/>
          <w:sz w:val="32"/>
          <w:szCs w:val="32"/>
          <w:lang w:eastAsia="zh-CN" w:bidi="hi-IN"/>
        </w:rPr>
        <w:t>慢性病危险因素干预、疾病管理相关</w:t>
      </w:r>
      <w:r>
        <w:rPr>
          <w:rFonts w:hint="default" w:ascii="Times New Roman" w:hAnsi="Times New Roman" w:eastAsia="仿宋_GB2312" w:cs="Times New Roman"/>
          <w:kern w:val="0"/>
          <w:sz w:val="32"/>
          <w:szCs w:val="32"/>
          <w:lang w:bidi="hi-IN"/>
        </w:rPr>
        <w:t>政策</w:t>
      </w:r>
      <w:r>
        <w:rPr>
          <w:rFonts w:hint="default" w:ascii="Times New Roman" w:hAnsi="Times New Roman" w:eastAsia="仿宋_GB2312" w:cs="Times New Roman"/>
          <w:kern w:val="0"/>
          <w:sz w:val="32"/>
          <w:szCs w:val="32"/>
          <w:lang w:eastAsia="zh-CN" w:bidi="hi-IN"/>
        </w:rPr>
        <w:t>和干预措施</w:t>
      </w:r>
      <w:r>
        <w:rPr>
          <w:rFonts w:hint="default" w:ascii="Times New Roman" w:hAnsi="Times New Roman" w:eastAsia="仿宋_GB2312" w:cs="Times New Roman"/>
          <w:kern w:val="0"/>
          <w:sz w:val="32"/>
          <w:szCs w:val="32"/>
        </w:rPr>
        <w:t>；机关内要开展控烟及健康知识宣传，张贴健康知识宣传看板，设置室外吸烟区</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lang w:eastAsia="zh-CN"/>
        </w:rPr>
      </w:pPr>
      <w:r>
        <w:rPr>
          <w:rFonts w:hint="default" w:ascii="Times New Roman" w:hAnsi="Times New Roman" w:eastAsia="仿宋_GB2312" w:cs="Times New Roman"/>
          <w:color w:val="000000"/>
          <w:kern w:val="0"/>
          <w:sz w:val="32"/>
          <w:szCs w:val="32"/>
          <w:lang w:val="en-US" w:eastAsia="zh-CN"/>
        </w:rPr>
        <w:t>2.</w:t>
      </w:r>
      <w:r>
        <w:rPr>
          <w:rFonts w:hint="default" w:ascii="Times New Roman" w:hAnsi="Times New Roman" w:eastAsia="仿宋_GB2312" w:cs="Times New Roman"/>
          <w:color w:val="000000"/>
          <w:kern w:val="0"/>
          <w:sz w:val="32"/>
          <w:szCs w:val="32"/>
        </w:rPr>
        <w:t>开展全民健康生活方式行动，实施健康细胞工程建设，各镇（街）积极开展健康社区（村）、健康机关、健康家庭的创建工作</w:t>
      </w:r>
      <w:r>
        <w:rPr>
          <w:rFonts w:hint="default"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val="en-US" w:eastAsia="zh-CN"/>
        </w:rPr>
        <w:t>开展</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一评二控</w:t>
      </w:r>
      <w:r>
        <w:rPr>
          <w:rFonts w:hint="default" w:ascii="Times New Roman" w:hAnsi="Times New Roman" w:eastAsia="仿宋_GB2312" w:cs="Times New Roman"/>
          <w:color w:val="000000"/>
          <w:kern w:val="0"/>
          <w:sz w:val="32"/>
          <w:szCs w:val="32"/>
        </w:rPr>
        <w:t>三减四健</w:t>
      </w:r>
      <w:r>
        <w:rPr>
          <w:rFonts w:hint="eastAsia" w:ascii="Times New Roman" w:hAnsi="Times New Roman" w:eastAsia="仿宋_GB2312" w:cs="Times New Roman"/>
          <w:color w:val="000000"/>
          <w:kern w:val="0"/>
          <w:sz w:val="32"/>
          <w:szCs w:val="32"/>
          <w:lang w:eastAsia="zh-CN"/>
        </w:rPr>
        <w:t>”</w:t>
      </w:r>
      <w:r>
        <w:rPr>
          <w:rFonts w:hint="default" w:ascii="Times New Roman" w:hAnsi="Times New Roman" w:eastAsia="仿宋_GB2312" w:cs="Times New Roman"/>
          <w:color w:val="000000"/>
          <w:kern w:val="0"/>
          <w:sz w:val="32"/>
          <w:szCs w:val="32"/>
          <w:lang w:eastAsia="zh-CN"/>
        </w:rPr>
        <w:t>（健康评估、控烟、控酒、减盐、减油、减糖、健康口腔、健康体重、健康骨骼、健康心理）</w:t>
      </w:r>
      <w:r>
        <w:rPr>
          <w:rFonts w:hint="default" w:ascii="Times New Roman" w:hAnsi="Times New Roman" w:eastAsia="仿宋_GB2312" w:cs="Times New Roman"/>
          <w:color w:val="000000"/>
          <w:kern w:val="0"/>
          <w:sz w:val="32"/>
          <w:szCs w:val="32"/>
        </w:rPr>
        <w:t>相关</w:t>
      </w:r>
      <w:r>
        <w:rPr>
          <w:rFonts w:hint="default" w:ascii="Times New Roman" w:hAnsi="Times New Roman" w:eastAsia="仿宋_GB2312" w:cs="Times New Roman"/>
          <w:color w:val="000000"/>
          <w:kern w:val="0"/>
          <w:sz w:val="32"/>
          <w:szCs w:val="32"/>
          <w:lang w:eastAsia="zh-CN"/>
        </w:rPr>
        <w:t>行动；</w:t>
      </w:r>
      <w:r>
        <w:rPr>
          <w:rFonts w:hint="default" w:ascii="Times New Roman" w:hAnsi="Times New Roman" w:eastAsia="仿宋_GB2312" w:cs="Times New Roman"/>
          <w:kern w:val="0"/>
          <w:sz w:val="32"/>
          <w:szCs w:val="32"/>
        </w:rPr>
        <w:t>创建健康社区（村）占社区（村）总数的30%以上</w:t>
      </w:r>
      <w:r>
        <w:rPr>
          <w:rFonts w:hint="default" w:ascii="Times New Roman" w:hAnsi="Times New Roman" w:eastAsia="仿宋_GB2312" w:cs="Times New Roman"/>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w:t>
      </w:r>
      <w:r>
        <w:rPr>
          <w:rFonts w:hint="default" w:ascii="Times New Roman" w:hAnsi="Times New Roman" w:eastAsia="仿宋_GB2312" w:cs="Times New Roman"/>
          <w:kern w:val="0"/>
          <w:sz w:val="32"/>
          <w:szCs w:val="32"/>
          <w:lang w:val="en-US" w:eastAsia="zh-CN"/>
        </w:rPr>
        <w:t>.</w:t>
      </w:r>
      <w:r>
        <w:rPr>
          <w:rFonts w:hint="default" w:ascii="Times New Roman" w:hAnsi="Times New Roman" w:eastAsia="仿宋_GB2312" w:cs="Times New Roman"/>
          <w:kern w:val="0"/>
          <w:sz w:val="32"/>
          <w:szCs w:val="32"/>
        </w:rPr>
        <w:t>各社区（村）设有健康教育宣传阵地，向居民普及慢性病防控的知识与技能，健康教育活动室覆盖率85%，健康教育宣传栏覆盖率达90%，内容至少2个月更新1次，社区健康讲座每年≥4次，每次不少于50人</w:t>
      </w:r>
      <w:r>
        <w:rPr>
          <w:rFonts w:hint="default" w:ascii="Times New Roman" w:hAnsi="Times New Roman" w:eastAsia="仿宋_GB2312" w:cs="Times New Roman"/>
          <w:kern w:val="0"/>
          <w:sz w:val="32"/>
          <w:szCs w:val="32"/>
          <w:lang w:eastAsia="zh-CN"/>
        </w:rPr>
        <w:t>。</w:t>
      </w:r>
    </w:p>
    <w:p>
      <w:pPr>
        <w:pStyle w:val="5"/>
        <w:keepNext w:val="0"/>
        <w:keepLines w:val="0"/>
        <w:pageBreakBefore w:val="0"/>
        <w:widowControl w:val="0"/>
        <w:kinsoku/>
        <w:wordWrap/>
        <w:overflowPunct/>
        <w:topLinePunct w:val="0"/>
        <w:autoSpaceDE/>
        <w:autoSpaceDN/>
        <w:bidi w:val="0"/>
        <w:adjustRightInd/>
        <w:spacing w:line="600" w:lineRule="exact"/>
        <w:ind w:firstLine="642"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eastAsia="zh-CN"/>
        </w:rPr>
        <w:t>培养基层</w:t>
      </w:r>
      <w:r>
        <w:rPr>
          <w:rFonts w:hint="default" w:ascii="Times New Roman" w:hAnsi="Times New Roman" w:eastAsia="仿宋_GB2312" w:cs="Times New Roman"/>
          <w:sz w:val="32"/>
          <w:szCs w:val="32"/>
        </w:rPr>
        <w:t>健康指导员</w:t>
      </w:r>
      <w:r>
        <w:rPr>
          <w:rFonts w:hint="default" w:ascii="Times New Roman" w:hAnsi="Times New Roman" w:eastAsia="仿宋_GB2312" w:cs="Times New Roman"/>
          <w:sz w:val="32"/>
          <w:szCs w:val="32"/>
          <w:lang w:eastAsia="zh-CN"/>
        </w:rPr>
        <w:t>，配备健康指导员的村（社区）比例达到</w:t>
      </w:r>
      <w:r>
        <w:rPr>
          <w:rFonts w:hint="default" w:ascii="Times New Roman" w:hAnsi="Times New Roman" w:eastAsia="仿宋_GB2312" w:cs="Times New Roman"/>
          <w:sz w:val="32"/>
          <w:szCs w:val="32"/>
          <w:lang w:val="en-US" w:eastAsia="zh-CN"/>
        </w:rPr>
        <w:t>90%以上。</w:t>
      </w:r>
    </w:p>
    <w:p>
      <w:pPr>
        <w:pStyle w:val="5"/>
        <w:keepNext w:val="0"/>
        <w:keepLines w:val="0"/>
        <w:pageBreakBefore w:val="0"/>
        <w:widowControl w:val="0"/>
        <w:kinsoku/>
        <w:wordWrap/>
        <w:overflowPunct/>
        <w:topLinePunct w:val="0"/>
        <w:autoSpaceDE/>
        <w:autoSpaceDN/>
        <w:bidi w:val="0"/>
        <w:adjustRightInd/>
        <w:spacing w:line="600" w:lineRule="exact"/>
        <w:ind w:firstLine="642"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5.社区设立自助式健康检测点，设置比例达到40%。</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Times New Roman"/>
          <w:kern w:val="0"/>
          <w:sz w:val="32"/>
          <w:szCs w:val="32"/>
          <w:lang w:val="en-US" w:eastAsia="zh-CN" w:bidi="hi-I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2" w:firstLineChars="200"/>
        <w:jc w:val="both"/>
        <w:textAlignment w:val="auto"/>
        <w:rPr>
          <w:rFonts w:hint="eastAsia" w:ascii="Times New Roman" w:hAnsi="Times New Roman" w:eastAsia="仿宋_GB2312" w:cs="Times New Roman"/>
          <w:kern w:val="0"/>
          <w:sz w:val="32"/>
          <w:szCs w:val="32"/>
          <w:lang w:val="en-US" w:eastAsia="zh-CN" w:bidi="hi-IN"/>
        </w:rPr>
        <w:sectPr>
          <w:headerReference r:id="rId3" w:type="default"/>
          <w:footerReference r:id="rId4" w:type="default"/>
          <w:pgSz w:w="11905" w:h="16838"/>
          <w:pgMar w:top="1701" w:right="1417" w:bottom="1701" w:left="1417" w:header="851" w:footer="1474" w:gutter="0"/>
          <w:pgNumType w:fmt="decimal"/>
          <w:cols w:space="0" w:num="1"/>
          <w:rtlGutter w:val="0"/>
          <w:docGrid w:type="linesAndChars" w:linePitch="593" w:charSpace="394"/>
        </w:sectPr>
      </w:pPr>
      <w:r>
        <w:rPr>
          <w:rFonts w:hint="eastAsia" w:ascii="Times New Roman" w:hAnsi="Times New Roman" w:eastAsia="仿宋_GB2312" w:cs="Times New Roman"/>
          <w:kern w:val="0"/>
          <w:sz w:val="32"/>
          <w:szCs w:val="32"/>
          <w:lang w:val="en-US" w:eastAsia="zh-CN" w:bidi="hi-IN"/>
        </w:rPr>
        <w:t>备注：各单位档案资料准备的起止时间从2019年1月至2024年5月。</w:t>
      </w:r>
    </w:p>
    <w:p>
      <w:pPr>
        <w:pStyle w:val="2"/>
        <w:ind w:left="0" w:leftChars="0" w:firstLine="0" w:firstLineChars="0"/>
        <w:rPr>
          <w:rFonts w:ascii="Times New Roman" w:hAnsi="Times New Roman" w:eastAsia="黑体" w:cs="黑体"/>
          <w:sz w:val="32"/>
          <w:szCs w:val="32"/>
        </w:rPr>
      </w:pPr>
      <w:r>
        <w:rPr>
          <w:rFonts w:hint="eastAsia" w:ascii="Times New Roman" w:hAnsi="Times New Roman" w:eastAsia="黑体" w:cs="黑体"/>
          <w:sz w:val="32"/>
          <w:szCs w:val="32"/>
        </w:rPr>
        <w:t>附件4</w:t>
      </w:r>
    </w:p>
    <w:p>
      <w:pPr>
        <w:numPr>
          <w:ilvl w:val="0"/>
          <w:numId w:val="0"/>
        </w:numPr>
        <w:jc w:val="center"/>
        <w:rPr>
          <w:rFonts w:hint="eastAsia" w:ascii="Times New Roman" w:hAnsi="Times New Roman" w:eastAsia="文星简小标宋"/>
          <w:sz w:val="44"/>
          <w:szCs w:val="44"/>
          <w:lang w:val="en-US" w:eastAsia="zh-CN"/>
        </w:rPr>
      </w:pPr>
      <w:r>
        <w:rPr>
          <w:rFonts w:hint="eastAsia" w:ascii="Times New Roman" w:hAnsi="Times New Roman" w:eastAsia="文星简小标宋"/>
          <w:sz w:val="44"/>
          <w:szCs w:val="44"/>
          <w:lang w:val="en-US" w:eastAsia="zh-CN"/>
        </w:rPr>
        <w:t>1.</w:t>
      </w:r>
      <w:r>
        <w:rPr>
          <w:rFonts w:hint="eastAsia" w:ascii="Times New Roman" w:hAnsi="Times New Roman" w:eastAsia="文星简小标宋"/>
          <w:sz w:val="44"/>
          <w:szCs w:val="44"/>
        </w:rPr>
        <w:t>健康机关（单位）考核评分表</w:t>
      </w:r>
      <w:r>
        <w:rPr>
          <w:rFonts w:hint="eastAsia" w:ascii="Times New Roman" w:hAnsi="Times New Roman" w:eastAsia="文星简小标宋"/>
          <w:sz w:val="44"/>
          <w:szCs w:val="44"/>
          <w:lang w:eastAsia="zh-CN"/>
        </w:rPr>
        <w:t>（责任单位：领导小组成员单位）</w:t>
      </w:r>
    </w:p>
    <w:tbl>
      <w:tblPr>
        <w:tblStyle w:val="14"/>
        <w:tblpPr w:leftFromText="180" w:rightFromText="180" w:vertAnchor="text" w:horzAnchor="page" w:tblpX="1685" w:tblpY="590"/>
        <w:tblOverlap w:val="never"/>
        <w:tblW w:w="135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7"/>
        <w:gridCol w:w="8487"/>
        <w:gridCol w:w="1729"/>
        <w:gridCol w:w="910"/>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156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r>
              <w:rPr>
                <w:rFonts w:hint="eastAsia" w:ascii="Times New Roman" w:hAnsi="Times New Roman" w:eastAsia="黑体" w:cs="黑体"/>
                <w:b w:val="0"/>
                <w:bCs w:val="0"/>
                <w:color w:val="000000" w:themeColor="text1"/>
                <w:kern w:val="0"/>
                <w:sz w:val="18"/>
                <w:szCs w:val="18"/>
                <w14:textFill>
                  <w14:solidFill>
                    <w14:schemeClr w14:val="tx1"/>
                  </w14:solidFill>
                </w14:textFill>
              </w:rPr>
              <w:t>内容</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评估</w:t>
            </w:r>
            <w:r>
              <w:rPr>
                <w:rFonts w:hint="eastAsia" w:ascii="Times New Roman" w:hAnsi="Times New Roman" w:eastAsia="黑体" w:cs="黑体"/>
                <w:b w:val="0"/>
                <w:bCs w:val="0"/>
                <w:color w:val="000000" w:themeColor="text1"/>
                <w:kern w:val="0"/>
                <w:sz w:val="18"/>
                <w:szCs w:val="18"/>
                <w14:textFill>
                  <w14:solidFill>
                    <w14:schemeClr w14:val="tx1"/>
                  </w14:solidFill>
                </w14:textFill>
              </w:rPr>
              <w:t>方法</w:t>
            </w:r>
          </w:p>
        </w:tc>
        <w:tc>
          <w:tcPr>
            <w:tcW w:w="910"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分值</w:t>
            </w:r>
          </w:p>
        </w:tc>
        <w:tc>
          <w:tcPr>
            <w:tcW w:w="862"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567"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制度保障</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（20分）</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成立全民健康生活方式行动领导小组，单位主管领导任组长</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有全民健康生活方式行动领导小组会议等资料</w:t>
            </w:r>
            <w:r>
              <w:rPr>
                <w:rFonts w:ascii="Times New Roman" w:hAnsi="Times New Roman" w:cs="宋体"/>
                <w:color w:val="000000" w:themeColor="text1"/>
                <w:kern w:val="0"/>
                <w:sz w:val="18"/>
                <w:szCs w:val="18"/>
                <w14:textFill>
                  <w14:solidFill>
                    <w14:schemeClr w14:val="tx1"/>
                  </w14:solidFill>
                </w14:textFill>
              </w:rPr>
              <w:t>）。</w:t>
            </w:r>
          </w:p>
        </w:tc>
        <w:tc>
          <w:tcPr>
            <w:tcW w:w="1729"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查看资料</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有促进健康生活方式的相关制度，如：工间操制度、健身制度、无烟单位制度、促进职工采取健康生活方式等文件</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每制定一条得1分</w:t>
            </w:r>
            <w:r>
              <w:rPr>
                <w:rFonts w:ascii="Times New Roman" w:hAnsi="Times New Roman" w:cs="宋体"/>
                <w:color w:val="000000" w:themeColor="text1"/>
                <w:kern w:val="0"/>
                <w:sz w:val="18"/>
                <w:szCs w:val="18"/>
                <w14:textFill>
                  <w14:solidFill>
                    <w14:schemeClr w14:val="tx1"/>
                  </w14:solidFill>
                </w14:textFill>
              </w:rPr>
              <w:t>）。</w:t>
            </w:r>
          </w:p>
        </w:tc>
        <w:tc>
          <w:tcPr>
            <w:tcW w:w="1729"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4</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有促进健康生活方式的激励机制，如健康职工评选活动、表彰奖励等</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有激励文件及活动资料等</w:t>
            </w:r>
            <w:r>
              <w:rPr>
                <w:rFonts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9"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每2年至少为职工进行1次体检，掌握职工基本健康状况和生活方式基本情况，能根据体检结果对职工进行有针对性的健康指导</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有体检相关资料，至少10名职工体检报告及对职工存在的健康问题进行针对性的健康指导</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随机抽查10名职工</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6</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1567"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环境建设</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（30分）</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环境建设</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（30分）</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室内外环境整洁</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环境整洁舒适，垃圾日产日清</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3</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单位为无烟单位</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机构所属室内外环境没有发现烟头或者吸烟现象；机构主要建筑物入口处、电梯、公共厕所、会议室有禁烟标识和健康提示，机构内无烟草广告和促销等</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6</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有促进身体活动的场地及设施，或有经费支持职工到公共场所开展经常性健身活动</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支持职工到公共场所开展经常性健身活动等资料，如场地及员工活动照片、购买设施发票等</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现场查看，查看资料</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4</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设立固定的宣传栏、板报、橱窗等张贴健康生活方式宣传材料，每年至少更换4次</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有相关照片及更换记录，更换1次得2分。</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8</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为单位职工提供免费测量血压和称体重的场所和设施。</w:t>
            </w:r>
          </w:p>
        </w:tc>
        <w:tc>
          <w:tcPr>
            <w:tcW w:w="1729"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现场查看</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在适宜场所（如电梯口，楼梯转角处）设置健康小贴士，倡导健康生活方式。</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4</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活动开展</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（50分）</w:t>
            </w: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开展爬山、广播操（工间操）比赛、运动会等不同形式的群体性健身活动，每年至少开展1次</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有活动资料，如活动通知、报名表、签到表、活动照片、相关报道等资料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restart"/>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查看资料</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10</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组建2个及以上的健身或运动团队，如乒乓球队、羽毛球队，每月至少组织开展1次活动</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有活动资料，如活动通知、报名表、签到表、活动照片、相关报道等资料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10</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每年至少组织1次健康膳食知识竞赛</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有活动资料，如活动通知、报名表、签到表、活动照片、相关报道等资料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10</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积极邀请公卫、临床、健康教育等方面专家参与单位健康活动，每年为职工至少开展3次健康生活方式相关知识讲座，每次讲座有30%以上职工参与</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有讲座资料，如讲座通知、签到表、活动照片、讲课内容、满意度调查表等资料</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12</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567" w:type="dxa"/>
            <w:vMerge w:val="continue"/>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c>
          <w:tcPr>
            <w:tcW w:w="8487"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为单位职工发放健康生活方式宣传资料与支持工具</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健康生活方式宣传资料与支持工具的样本或照片</w:t>
            </w:r>
            <w:r>
              <w:rPr>
                <w:rFonts w:ascii="Times New Roman" w:hAnsi="Times New Roman" w:cs="宋体"/>
                <w:color w:val="000000" w:themeColor="text1"/>
                <w:kern w:val="0"/>
                <w:sz w:val="18"/>
                <w:szCs w:val="18"/>
                <w14:textFill>
                  <w14:solidFill>
                    <w14:schemeClr w14:val="tx1"/>
                  </w14:solidFill>
                </w14:textFill>
              </w:rPr>
              <w:t>）</w:t>
            </w:r>
            <w:r>
              <w:rPr>
                <w:rFonts w:hint="eastAsia" w:ascii="Times New Roman" w:hAnsi="Times New Roman" w:cs="宋体"/>
                <w:color w:val="000000" w:themeColor="text1"/>
                <w:kern w:val="0"/>
                <w:sz w:val="18"/>
                <w:szCs w:val="18"/>
                <w14:textFill>
                  <w14:solidFill>
                    <w14:schemeClr w14:val="tx1"/>
                  </w14:solidFill>
                </w14:textFill>
              </w:rPr>
              <w:t>。</w:t>
            </w:r>
          </w:p>
        </w:tc>
        <w:tc>
          <w:tcPr>
            <w:tcW w:w="1729"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抽查10名在职职工</w:t>
            </w:r>
          </w:p>
        </w:tc>
        <w:tc>
          <w:tcPr>
            <w:tcW w:w="910"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r>
              <w:rPr>
                <w:rFonts w:hint="eastAsia" w:ascii="Times New Roman" w:hAnsi="Times New Roman" w:cs="宋体"/>
                <w:color w:val="000000" w:themeColor="text1"/>
                <w:kern w:val="0"/>
                <w:sz w:val="18"/>
                <w:szCs w:val="18"/>
                <w14:textFill>
                  <w14:solidFill>
                    <w14:schemeClr w14:val="tx1"/>
                  </w14:solidFill>
                </w14:textFill>
              </w:rPr>
              <w:t>8</w:t>
            </w:r>
          </w:p>
        </w:tc>
        <w:tc>
          <w:tcPr>
            <w:tcW w:w="862" w:type="dxa"/>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cs="宋体"/>
                <w:color w:val="000000" w:themeColor="text1"/>
                <w:kern w:val="0"/>
                <w:sz w:val="18"/>
                <w:szCs w:val="18"/>
                <w14:textFill>
                  <w14:solidFill>
                    <w14:schemeClr w14:val="tx1"/>
                  </w14:solidFill>
                </w14:textFill>
              </w:rPr>
            </w:pPr>
          </w:p>
        </w:tc>
      </w:tr>
    </w:tbl>
    <w:p>
      <w:pPr>
        <w:jc w:val="center"/>
        <w:rPr>
          <w:rFonts w:hint="default" w:ascii="Times New Roman" w:hAnsi="Times New Roman" w:eastAsia="文星简小标宋" w:cs="Times New Roman"/>
          <w:sz w:val="44"/>
          <w:szCs w:val="44"/>
        </w:rPr>
      </w:pPr>
    </w:p>
    <w:p>
      <w:pPr>
        <w:jc w:val="center"/>
        <w:rPr>
          <w:rFonts w:hint="default" w:ascii="Times New Roman" w:hAnsi="Times New Roman" w:eastAsia="文星简小标宋" w:cs="Times New Roman"/>
          <w:sz w:val="44"/>
          <w:szCs w:val="44"/>
        </w:rPr>
      </w:pPr>
    </w:p>
    <w:p>
      <w:pPr>
        <w:jc w:val="center"/>
        <w:rPr>
          <w:rFonts w:hint="eastAsia" w:ascii="Times New Roman" w:hAnsi="Times New Roman" w:eastAsia="文星简小标宋"/>
          <w:sz w:val="44"/>
          <w:szCs w:val="44"/>
          <w:lang w:eastAsia="zh-CN"/>
        </w:rPr>
      </w:pPr>
      <w:r>
        <w:rPr>
          <w:rFonts w:hint="default" w:ascii="Times New Roman" w:hAnsi="Times New Roman" w:eastAsia="文星简小标宋" w:cs="Times New Roman"/>
          <w:sz w:val="44"/>
          <w:szCs w:val="44"/>
        </w:rPr>
        <w:t>2.健</w:t>
      </w:r>
      <w:r>
        <w:rPr>
          <w:rFonts w:hint="eastAsia" w:ascii="Times New Roman" w:hAnsi="Times New Roman" w:eastAsia="文星简小标宋"/>
          <w:sz w:val="44"/>
          <w:szCs w:val="44"/>
        </w:rPr>
        <w:t>康学校考核评估表</w:t>
      </w:r>
      <w:r>
        <w:rPr>
          <w:rFonts w:hint="eastAsia" w:ascii="Times New Roman" w:hAnsi="Times New Roman" w:eastAsia="文星简小标宋"/>
          <w:sz w:val="44"/>
          <w:szCs w:val="44"/>
          <w:lang w:eastAsia="zh-CN"/>
        </w:rPr>
        <w:t>（责任单位：区教育和体育局）</w:t>
      </w:r>
    </w:p>
    <w:tbl>
      <w:tblPr>
        <w:tblStyle w:val="13"/>
        <w:tblW w:w="13556" w:type="dxa"/>
        <w:tblInd w:w="-82" w:type="dxa"/>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Layout w:type="fixed"/>
        <w:tblCellMar>
          <w:top w:w="28" w:type="dxa"/>
          <w:left w:w="27" w:type="dxa"/>
          <w:bottom w:w="28" w:type="dxa"/>
          <w:right w:w="28" w:type="dxa"/>
        </w:tblCellMar>
      </w:tblPr>
      <w:tblGrid>
        <w:gridCol w:w="1429"/>
        <w:gridCol w:w="8433"/>
        <w:gridCol w:w="1649"/>
        <w:gridCol w:w="1092"/>
        <w:gridCol w:w="953"/>
      </w:tblGrid>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528" w:hRule="atLeast"/>
        </w:trPr>
        <w:tc>
          <w:tcPr>
            <w:tcW w:w="1429"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r>
              <w:rPr>
                <w:rFonts w:hint="eastAsia" w:ascii="Times New Roman" w:hAnsi="Times New Roman" w:eastAsia="黑体" w:cs="黑体"/>
                <w:b w:val="0"/>
                <w:bCs w:val="0"/>
                <w:color w:val="000000" w:themeColor="text1"/>
                <w:kern w:val="0"/>
                <w:sz w:val="18"/>
                <w:szCs w:val="18"/>
                <w14:textFill>
                  <w14:solidFill>
                    <w14:schemeClr w14:val="tx1"/>
                  </w14:solidFill>
                </w14:textFill>
              </w:rPr>
              <w:t>内容</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评估方法</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分值</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得分</w:t>
            </w: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restart"/>
            <w:tcBorders>
              <w:top w:val="single" w:color="auto" w:sz="4" w:space="0"/>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组织管理</w:t>
            </w:r>
          </w:p>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（25分）</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校领导、校医、骨干教师等成员组成学校健康领导小组，校领导任组长，领导小组职责分工明确</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签到表、会议记录、照片等</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制定相关工作制度，包括无烟学校制度、学生健康管理制度、保护学生安全制度、每天1小时体育活动制度等。</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580"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制定健康学校建设工作计划、实施方案、进度安排</w:t>
            </w:r>
            <w:r>
              <w:rPr>
                <w:rFonts w:hint="eastAsia" w:ascii="Times New Roman" w:hAnsi="Times New Roman" w:eastAsia="宋体" w:cs="宋体"/>
                <w:color w:val="000000"/>
                <w:kern w:val="0"/>
                <w:sz w:val="18"/>
                <w:szCs w:val="18"/>
                <w:lang w:eastAsia="zh-CN"/>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把健康学校建设工作纳入到学校目标责任制管理，每学年至少有一次健康工作会议</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签到表、会议内容、照片等</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639" w:hRule="atLeast"/>
        </w:trPr>
        <w:tc>
          <w:tcPr>
            <w:tcW w:w="1429" w:type="dxa"/>
            <w:vMerge w:val="continue"/>
            <w:tcBorders>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学校至少有1名专职或兼职人员负责学校卫生管理工作。</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现场询问该人员</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596" w:hRule="atLeast"/>
        </w:trPr>
        <w:tc>
          <w:tcPr>
            <w:tcW w:w="1429" w:type="dxa"/>
            <w:vMerge w:val="restart"/>
            <w:tcBorders>
              <w:top w:val="single" w:color="auto" w:sz="4" w:space="0"/>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环境建设</w:t>
            </w:r>
          </w:p>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（20分）</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校园环境优美、整洁、无烟</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环境照片、无烟标识照片</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学校各项学习、运动和生活设施达到《学校卫生工作条例》所规定要求</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学习、运动、设施照片学校卫生工作条例</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校园内可能发生危险的地方有明显的警示标志。</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639" w:hRule="atLeast"/>
        </w:trPr>
        <w:tc>
          <w:tcPr>
            <w:tcW w:w="1429" w:type="dxa"/>
            <w:vMerge w:val="continue"/>
            <w:tcBorders>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both"/>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校园内没有零食售卖点</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restart"/>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活动开展</w:t>
            </w:r>
          </w:p>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（55）</w:t>
            </w: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以班级为单位健康教育课程开课率达到100%，学生每学期上健康教育课至少达到2学时</w:t>
            </w:r>
            <w:r>
              <w:rPr>
                <w:rFonts w:ascii="Times New Roman" w:hAnsi="Times New Roman" w:eastAsia="宋体" w:cs="宋体"/>
                <w:color w:val="000000"/>
                <w:kern w:val="0"/>
                <w:sz w:val="18"/>
                <w:szCs w:val="18"/>
              </w:rPr>
              <w:t>（课程表）</w:t>
            </w:r>
            <w:r>
              <w:rPr>
                <w:rFonts w:hint="eastAsia" w:ascii="Times New Roman" w:hAnsi="Times New Roman" w:eastAsia="宋体" w:cs="宋体"/>
                <w:color w:val="000000"/>
                <w:kern w:val="0"/>
                <w:sz w:val="18"/>
                <w:szCs w:val="18"/>
              </w:rPr>
              <w:t>。</w:t>
            </w:r>
          </w:p>
        </w:tc>
        <w:tc>
          <w:tcPr>
            <w:tcW w:w="164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查看资料，现场抽查5名学生</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3</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学生每天在校体育活动时间不低于1小时</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1小时体育活动制度、照片</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有食堂的学校，食堂应达到食品卫生安全要求，有专职/兼职营养师，提供学生营养餐。无食堂的学校，必须从具有营养餐配送资格的单位订购学生营养餐</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学校食堂菜单、无食堂的学校需提供配送单位资料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每个年级至少有一名健康生活方式指导员，由老师或学生担任，每月开展健康宣传与指导活动至少1次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健康宣传与指导活动资料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抽查3名健康生活方式指导员</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学校每年利用校园广播、校园刊物、宣传栏等开展健康生活方式内容宣传不少于4次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学校刊物、宣传栏照片</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学校每年在全国学生营养日、全民健康生活方式日、全民健身日、全国爱牙日、世界无烟日、全国高血压日等宣传日组织开展全民健康生活方式宣传活动，每年不少于3次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宣传日组织开展全民健康生活方式宣传活动资料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学生每学期至少参加2次学习健康技能的活动</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学习健康技能的活动资料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学校利用家长、家长信、短信平台等途径向学生家长开展健康教育活动，每年不少于1次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向学生家长开展健康教育活动的资料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000000" w:sz="2" w:space="0"/>
            <w:left w:val="single" w:color="000000" w:sz="2" w:space="0"/>
            <w:bottom w:val="single" w:color="000000" w:sz="2" w:space="0"/>
            <w:right w:val="none" w:color="auto" w:sz="0" w:space="0"/>
            <w:insideH w:val="single" w:color="000000" w:sz="2" w:space="0"/>
            <w:insideV w:val="none" w:color="auto" w:sz="0" w:space="0"/>
          </w:tblBorders>
          <w:tblCellMar>
            <w:top w:w="28" w:type="dxa"/>
            <w:left w:w="27" w:type="dxa"/>
            <w:bottom w:w="28" w:type="dxa"/>
            <w:right w:w="28" w:type="dxa"/>
          </w:tblCellMar>
        </w:tblPrEx>
        <w:trPr>
          <w:trHeight w:val="737" w:hRule="atLeast"/>
        </w:trPr>
        <w:tc>
          <w:tcPr>
            <w:tcW w:w="1429" w:type="dxa"/>
            <w:vMerge w:val="continue"/>
            <w:tcBorders>
              <w:top w:val="single" w:color="auto" w:sz="4" w:space="0"/>
              <w:left w:val="single" w:color="auto" w:sz="4" w:space="0"/>
              <w:bottom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8433" w:type="dxa"/>
            <w:tcBorders>
              <w:top w:val="single" w:color="auto" w:sz="4" w:space="0"/>
              <w:left w:val="single" w:color="auto" w:sz="4" w:space="0"/>
              <w:right w:val="single" w:color="auto" w:sz="4" w:space="0"/>
            </w:tcBorders>
            <w:shd w:val="clear" w:color="auto" w:fill="auto"/>
            <w:tcMar>
              <w:left w:w="27" w:type="dxa"/>
            </w:tcMar>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邀请社区卫生服务中心、交通安全等部门参与学校健康活动，每年至少2次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社区卫生服务中心、交通安全等部门参与学校健康活动的资料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649"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c>
          <w:tcPr>
            <w:tcW w:w="10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9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00" w:lineRule="exact"/>
              <w:ind w:firstLine="198"/>
              <w:jc w:val="center"/>
              <w:textAlignment w:val="auto"/>
              <w:rPr>
                <w:rFonts w:ascii="Times New Roman" w:hAnsi="Times New Roman" w:eastAsia="宋体" w:cs="宋体"/>
                <w:color w:val="000000"/>
                <w:kern w:val="0"/>
                <w:sz w:val="18"/>
                <w:szCs w:val="18"/>
              </w:rPr>
            </w:pPr>
          </w:p>
        </w:tc>
      </w:tr>
    </w:tbl>
    <w:p>
      <w:pPr>
        <w:rPr>
          <w:rFonts w:hint="eastAsia" w:ascii="Times New Roman" w:hAnsi="Times New Roman" w:eastAsia="文星简小标宋"/>
          <w:sz w:val="44"/>
          <w:szCs w:val="44"/>
          <w:highlight w:val="none"/>
          <w:lang w:val="en-US" w:eastAsia="zh-CN"/>
        </w:rPr>
      </w:pPr>
      <w:r>
        <w:rPr>
          <w:rFonts w:hint="eastAsia" w:ascii="Times New Roman" w:hAnsi="Times New Roman" w:eastAsia="文星简小标宋"/>
          <w:sz w:val="44"/>
          <w:szCs w:val="44"/>
          <w:highlight w:val="none"/>
          <w:lang w:val="en-US" w:eastAsia="zh-CN"/>
        </w:rPr>
        <w:br w:type="page"/>
      </w:r>
    </w:p>
    <w:p>
      <w:pPr>
        <w:numPr>
          <w:ilvl w:val="0"/>
          <w:numId w:val="0"/>
        </w:numPr>
        <w:jc w:val="center"/>
        <w:rPr>
          <w:rFonts w:hint="eastAsia" w:ascii="Times New Roman" w:hAnsi="Times New Roman" w:eastAsia="文星简小标宋"/>
          <w:sz w:val="44"/>
          <w:szCs w:val="44"/>
          <w:highlight w:val="none"/>
          <w:lang w:eastAsia="zh-CN"/>
        </w:rPr>
      </w:pPr>
      <w:r>
        <w:rPr>
          <w:rFonts w:hint="eastAsia" w:ascii="Times New Roman" w:hAnsi="Times New Roman" w:eastAsia="文星简小标宋"/>
          <w:sz w:val="44"/>
          <w:szCs w:val="44"/>
          <w:highlight w:val="none"/>
          <w:lang w:val="en-US" w:eastAsia="zh-CN"/>
        </w:rPr>
        <w:t>3.</w:t>
      </w:r>
      <w:r>
        <w:rPr>
          <w:rFonts w:hint="eastAsia" w:ascii="Times New Roman" w:hAnsi="Times New Roman" w:eastAsia="文星简小标宋"/>
          <w:sz w:val="44"/>
          <w:szCs w:val="44"/>
          <w:highlight w:val="none"/>
        </w:rPr>
        <w:t>健康医院考核评估表</w:t>
      </w:r>
      <w:r>
        <w:rPr>
          <w:rFonts w:hint="eastAsia" w:ascii="Times New Roman" w:hAnsi="Times New Roman" w:eastAsia="文星简小标宋"/>
          <w:sz w:val="44"/>
          <w:szCs w:val="44"/>
          <w:highlight w:val="none"/>
          <w:lang w:eastAsia="zh-CN"/>
        </w:rPr>
        <w:t>（责任单位：区卫生健康局）</w:t>
      </w:r>
    </w:p>
    <w:p>
      <w:pPr>
        <w:jc w:val="center"/>
        <w:rPr>
          <w:rFonts w:hint="eastAsia" w:ascii="Times New Roman" w:hAnsi="Times New Roman" w:eastAsia="文星简小标宋"/>
          <w:sz w:val="44"/>
          <w:szCs w:val="44"/>
        </w:rPr>
      </w:pPr>
    </w:p>
    <w:tbl>
      <w:tblPr>
        <w:tblStyle w:val="13"/>
        <w:tblW w:w="13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1"/>
        <w:gridCol w:w="1028"/>
        <w:gridCol w:w="8972"/>
        <w:gridCol w:w="1013"/>
        <w:gridCol w:w="851"/>
        <w:gridCol w:w="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blHeader/>
          <w:jc w:val="center"/>
        </w:trPr>
        <w:tc>
          <w:tcPr>
            <w:tcW w:w="2009" w:type="dxa"/>
            <w:gridSpan w:val="2"/>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w:t>
            </w:r>
          </w:p>
        </w:tc>
        <w:tc>
          <w:tcPr>
            <w:tcW w:w="8972"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指标内容</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评估方法</w:t>
            </w:r>
          </w:p>
        </w:tc>
        <w:tc>
          <w:tcPr>
            <w:tcW w:w="85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分值</w:t>
            </w:r>
          </w:p>
        </w:tc>
        <w:tc>
          <w:tcPr>
            <w:tcW w:w="750"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blHeader/>
          <w:jc w:val="center"/>
        </w:trPr>
        <w:tc>
          <w:tcPr>
            <w:tcW w:w="98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一级指标</w:t>
            </w:r>
          </w:p>
        </w:tc>
        <w:tc>
          <w:tcPr>
            <w:tcW w:w="1028"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二级指标</w:t>
            </w:r>
          </w:p>
        </w:tc>
        <w:tc>
          <w:tcPr>
            <w:tcW w:w="8972"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750"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0" w:hRule="atLeast"/>
          <w:jc w:val="center"/>
        </w:trPr>
        <w:tc>
          <w:tcPr>
            <w:tcW w:w="98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组织管理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组织管理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协调机制</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成立医院主要负责同志牵头的健康医院领导小组，职责分工明确，得1分。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每季度召开2次工作例会，推进健康医院建设。每召开1次工作例会得0.5分，最高1分。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8"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制度建设</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将建设健康医院纳入医院目标责任考核、医院发展规划、服务宗旨。每纳入一个重点文件得0.5分，最高1分。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将控烟工作纳入医院目标责任考核和发展规划，有控烟巡查制度、考评奖惩制度、劝阻制度。每做到一项得0.25分，最高1分。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明确健康医院工作牵头负责部门，明确各个科室职责。有文件支持，得1分。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将针对患者及社区居民开展健康教育工作纳入医护人员绩效考核。有文件支持，得1分。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制定全体员工定期接受健康教育与健康医院继续教育或专题培训制度。有文件支持，得1分。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7"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全体员工定期体检，接受健康管理。有文件支持，得1分。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组织实施</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有固定的科室和人员负责全院健康医院与健康教育工作的组织管理和技术指导。有健康主管科室，得1分。有健康专职人员，得1分。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6"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每个临床和医技科室有人专/兼职负责本科室的健康教育工作，得0.5分。设有控烟监督和巡查员，得0.5分。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Times New Roman" w:hAnsi="Times New Roman"/>
                <w:lang w:val="en-US" w:eastAsia="zh-CN"/>
              </w:rPr>
            </w:pPr>
            <w:r>
              <w:rPr>
                <w:rFonts w:hint="eastAsia" w:ascii="Times New Roman" w:hAnsi="Times New Roman" w:eastAsia="宋体" w:cs="宋体"/>
                <w:color w:val="000000"/>
                <w:kern w:val="0"/>
                <w:sz w:val="18"/>
                <w:szCs w:val="18"/>
                <w:lang w:bidi="ar"/>
              </w:rPr>
              <w:t>每年制定健康医院工作年度计划，得1分（年度计划有重点工作领域、内容具体、分工到人、有时间进度表符合要求，每项做到得0.5分，最高1分</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包括医院健康资源和健康问题评估、工作目标、任务分工、时间进度等</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2"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定期开展员工健康医院建设培训，开展控烟培训。每开展一次专题培训得0.5分，最高2分。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8"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每年全面总结健康医院工作，总结经验和问题，接受上级部门的考核评估（有总结报告得1分。总结报告内容具体，经验亮点突出，下一步工作思路清晰，最高1分）。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3"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保障措施</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有健康医院与健康教育必备的场所、宣传阵地和设备（有专门健康教育教室得1分。有宣传栏等健康教育阵地得0.5分。有专用设备得0.5分）。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保证健康医院与健康教育专项工作经费（医院设健康教育专项经费得1分，如超过10万再得1分）。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0" w:hRule="atLeast"/>
          <w:jc w:val="center"/>
        </w:trPr>
        <w:tc>
          <w:tcPr>
            <w:tcW w:w="98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健康环境（13分）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诊疗环境</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设咨询台，设置导医标识，方便患者就诊。候诊区提供与就诊人数相匹配的候诊座椅，为患者提供安全、私密的就诊环境（有咨询台得1分，导医标识明显清晰，得1分，候诊区座椅够用，得1分，健康检查时保护患者隐私，得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9"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医院整体环境卫生，生活垃圾和医疗废物分类收集，处置及时。厕所卫生，有洗手设施（医疗废物与生活垃圾分类处置得1分。垃圾处置及时得1分，随机进入一个厕所，干净整洁有洗手设施得1分）。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6"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辐射安全、医疗废弃物等标识清晰、明显（有明显的辐射安全标识，得1分。有明显的医疗废弃物标识，得1分）。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2"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人文环境</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医务人员对待患者和蔼和亲，使用文明礼貌用语（随机进入诊室，医务人员态度和蔼、使用文明用语，得1分）。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3"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考虑残疾人、老年人、孕产妇等特殊人群的需求，如绿色通道、优先窗口等。每符合一项要求，最高得2分。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根据需要提供安全的食品和饮用水。符合要求，得1分。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981"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无烟医院</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（17分）</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无烟医院</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（17分）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无烟环境</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医院室内完全禁止吸烟，所有室内场所没有烟头，没有吸烟者。发现烟头扣1分，发现吸烟者扣1分。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医院所属区域有明显的禁烟标识。所有建筑物入口处、候诊区、会议室、厕所、走廊、电梯、楼梯等公共区域有明显的禁烟标识。每个缺乏无烟标识的公共区域扣1分，扣完为止。</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4"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院内不销售烟草制品。如发现，扣2分。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院内无烟草广告、促销和赞助。如发现，扣1分。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无烟宣传</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有控烟宣传材料。有一类控烟传播材料得1分，最高4分。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开展以控烟为主题的宣传活动，如讲座、咨询等（开展一次控烟主题的宣传活动得1分，最高2分）。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戒烟服务</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在相应科室设戒烟服务医生和咨询电话，开展戒烟服务和咨询（有科室提供戒烟服务，得1分。有专人提供戒烟咨询，得1分）。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jc w:val="center"/>
        </w:trPr>
        <w:tc>
          <w:tcPr>
            <w:tcW w:w="981"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医生询问门诊、住院患者的吸烟史，对其中的吸烟者进行简短戒烟干预并有记录（开展门诊患者戒烟干预，得1分。开展住院患者戒烟干预，得1分）。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5" w:hRule="atLeast"/>
          <w:jc w:val="center"/>
        </w:trPr>
        <w:tc>
          <w:tcPr>
            <w:tcW w:w="981" w:type="dxa"/>
            <w:vMerge w:val="restart"/>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pStyle w:val="2"/>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pStyle w:val="2"/>
              <w:rPr>
                <w:rFonts w:hint="eastAsia" w:ascii="Times New Roman" w:hAnsi="Times New Roman"/>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健康教育（50分）</w:t>
            </w:r>
          </w:p>
          <w:p>
            <w:pPr>
              <w:pStyle w:val="2"/>
              <w:rPr>
                <w:rFonts w:hint="eastAsia" w:ascii="Times New Roman" w:hAnsi="Times New Roman" w:eastAsia="宋体" w:cs="宋体"/>
                <w:color w:val="000000"/>
                <w:kern w:val="0"/>
                <w:sz w:val="18"/>
                <w:szCs w:val="18"/>
                <w:lang w:bidi="ar"/>
              </w:rPr>
            </w:pPr>
          </w:p>
          <w:p>
            <w:pPr>
              <w:pStyle w:val="2"/>
              <w:rPr>
                <w:rFonts w:hint="eastAsia" w:ascii="Times New Roman" w:hAnsi="Times New Roman" w:eastAsia="宋体" w:cs="宋体"/>
                <w:color w:val="000000"/>
                <w:kern w:val="0"/>
                <w:sz w:val="18"/>
                <w:szCs w:val="18"/>
                <w:lang w:bidi="ar"/>
              </w:rPr>
            </w:pPr>
          </w:p>
          <w:p>
            <w:pPr>
              <w:pStyle w:val="2"/>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bidi="ar"/>
              </w:rPr>
            </w:pP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健康教育（50分）</w:t>
            </w: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患者健康促进</w:t>
            </w:r>
          </w:p>
        </w:tc>
        <w:tc>
          <w:tcPr>
            <w:tcW w:w="8972" w:type="dxa"/>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各科室制定门诊和健康教育工作流程和要点（内外妇儿等重点科室制定门诊健康教育流程和要点，每个科室得1分，最高4分）。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各科室制定住院患者在住院期间和出院后的健康教育工作流程和要点（内外妇儿等重点科室制定住院健康教育流程和要点，每个科室得1分，最高4分）。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6"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个临床科室开展健康教育服务，有针对不同病种的健康教育档案记录:1.开展患者健康评估。2.为患者提供改进健康、促进疾病康复的个性化建议。3.患者出院时，给予患者或家属合理化的出院健康指导或建议。4.患者出院后，通过与社区合作、随访等方式，持续提供健康建议（每个科室有针对某病种或健康问题的全套健康教育工作记录，得1分，每个科室最高3分。全院最高得15分，可区分门诊和住院科室）。</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15</w:t>
            </w:r>
          </w:p>
        </w:tc>
        <w:tc>
          <w:tcPr>
            <w:tcW w:w="750"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6" w:hRule="atLeast"/>
          <w:jc w:val="center"/>
        </w:trPr>
        <w:tc>
          <w:tcPr>
            <w:tcW w:w="981" w:type="dxa"/>
            <w:vMerge w:val="continue"/>
            <w:tcBorders>
              <w:left w:val="single" w:color="auto" w:sz="4" w:space="0"/>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集中候诊区、治疗区（如输液室）、门诊科室、住院科室合理使用健康传播材料（如摆放健康教育资料，张贴健康海报或健康提示，播放健康视频等</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每类诊疗区能合理使用健康传播材料，得1分，最高4分）。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continue"/>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2" w:hRule="atLeast"/>
          <w:jc w:val="center"/>
        </w:trPr>
        <w:tc>
          <w:tcPr>
            <w:tcW w:w="981" w:type="dxa"/>
            <w:vMerge w:val="continue"/>
            <w:tcBorders>
              <w:top w:val="single" w:color="auto" w:sz="4" w:space="0"/>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设置健康教育宣传栏，县级及以上医院每月更换一次，基层医疗卫生机构每两月更换一次（有健康教育宣传栏得1分，定期更换得2分）。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top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3" w:hRule="atLeast"/>
          <w:jc w:val="center"/>
        </w:trPr>
        <w:tc>
          <w:tcPr>
            <w:tcW w:w="981" w:type="dxa"/>
            <w:vMerge w:val="continue"/>
            <w:tcBorders>
              <w:left w:val="single" w:color="auto" w:sz="4" w:space="0"/>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社区健康促进</w:t>
            </w:r>
          </w:p>
        </w:tc>
        <w:tc>
          <w:tcPr>
            <w:tcW w:w="8972" w:type="dxa"/>
            <w:tcBorders>
              <w:bottom w:val="single" w:color="auto" w:sz="4" w:space="0"/>
            </w:tcBorders>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制定针对社区居民的健康教育工作流程和健康教育要点（有针对社区居民的健康教育工作流程，得1分。有一套常见疾病的健康教育工作要点，得2分）。</w:t>
            </w:r>
          </w:p>
        </w:tc>
        <w:tc>
          <w:tcPr>
            <w:tcW w:w="1013"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现场查看</w:t>
            </w:r>
          </w:p>
        </w:tc>
        <w:tc>
          <w:tcPr>
            <w:tcW w:w="85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6" w:hRule="atLeast"/>
          <w:jc w:val="center"/>
        </w:trPr>
        <w:tc>
          <w:tcPr>
            <w:tcW w:w="981" w:type="dxa"/>
            <w:vMerge w:val="continue"/>
            <w:tcBorders>
              <w:top w:val="single" w:color="auto" w:sz="4" w:space="0"/>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开展面向社区的健康讲座、健康咨询、义诊、健康烹调大赛、健康训练营、健康生活方式倡导等健康活动。每开展一次活动得0.5分，最高4分。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tcBorders>
              <w:top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continue"/>
            <w:tcBorders>
              <w:top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4"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通过广播、电视、报纸、网站和新媒体对公众开展健康教育。每开展一次活动得0.5分，最高3分。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38"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restart"/>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职工健康促进</w:t>
            </w: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每年对全体员工进行体检，建立健康档案，开展健康评估（每年体检得1分。建立健康档案得1分。为每个员工开展健康评估得2分）。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4</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3"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根据员工主要健康问题，开展健康管理，有具体的干预措施</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发现员工主要健康问题，得1分。有健康管理计划，得1分。开展健康干预，得1分</w:t>
            </w:r>
            <w:r>
              <w:rPr>
                <w:rFonts w:hint="eastAsia" w:ascii="Times New Roman" w:hAnsi="Times New Roman" w:eastAsia="宋体" w:cs="宋体"/>
                <w:color w:val="000000"/>
                <w:kern w:val="0"/>
                <w:sz w:val="18"/>
                <w:szCs w:val="18"/>
                <w:lang w:eastAsia="zh-CN" w:bidi="ar"/>
              </w:rPr>
              <w:t>）</w:t>
            </w:r>
            <w:r>
              <w:rPr>
                <w:rFonts w:hint="eastAsia" w:ascii="Times New Roman" w:hAnsi="Times New Roman" w:eastAsia="宋体" w:cs="宋体"/>
                <w:color w:val="000000"/>
                <w:kern w:val="0"/>
                <w:sz w:val="18"/>
                <w:szCs w:val="18"/>
                <w:lang w:bidi="ar"/>
              </w:rPr>
              <w:t>。</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0" w:hRule="atLeast"/>
          <w:jc w:val="center"/>
        </w:trPr>
        <w:tc>
          <w:tcPr>
            <w:tcW w:w="981" w:type="dxa"/>
            <w:vMerge w:val="continue"/>
            <w:tcBorders>
              <w:lef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1028"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972" w:type="dxa"/>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组织促进身心健康的文体活动，丰富员工生活，提高医院凝聚力。每开展一次集体健康活动得0.5分，最高3分。</w:t>
            </w:r>
          </w:p>
        </w:tc>
        <w:tc>
          <w:tcPr>
            <w:tcW w:w="1013" w:type="dxa"/>
            <w:vMerge w:val="continue"/>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c>
          <w:tcPr>
            <w:tcW w:w="851"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750" w:type="dxa"/>
            <w:vMerge w:val="continue"/>
            <w:tcBorders>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lang w:bidi="ar"/>
              </w:rPr>
            </w:pPr>
          </w:p>
        </w:tc>
      </w:tr>
    </w:tbl>
    <w:p>
      <w:pPr>
        <w:numPr>
          <w:ilvl w:val="0"/>
          <w:numId w:val="0"/>
        </w:numPr>
        <w:rPr>
          <w:rFonts w:hint="eastAsia" w:ascii="Times New Roman" w:hAnsi="Times New Roman" w:eastAsia="文星简小标宋"/>
          <w:sz w:val="44"/>
          <w:szCs w:val="44"/>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lang w:val="en-US" w:eastAsia="zh-CN"/>
        </w:rPr>
        <w:t>4.</w:t>
      </w:r>
      <w:r>
        <w:rPr>
          <w:rFonts w:hint="eastAsia" w:ascii="Times New Roman" w:hAnsi="Times New Roman" w:eastAsia="文星简小标宋"/>
          <w:sz w:val="44"/>
          <w:szCs w:val="44"/>
        </w:rPr>
        <w:t>健康企业评分表</w:t>
      </w:r>
      <w:r>
        <w:rPr>
          <w:rFonts w:hint="eastAsia" w:ascii="Times New Roman" w:hAnsi="Times New Roman" w:eastAsia="文星简小标宋"/>
          <w:sz w:val="44"/>
          <w:szCs w:val="44"/>
          <w:lang w:eastAsia="zh-CN"/>
        </w:rPr>
        <w:t>（责任单位：区工业和信息化局、各镇街）</w:t>
      </w:r>
    </w:p>
    <w:tbl>
      <w:tblPr>
        <w:tblStyle w:val="13"/>
        <w:tblW w:w="13647" w:type="dxa"/>
        <w:tblInd w:w="0" w:type="dxa"/>
        <w:tblLayout w:type="fixed"/>
        <w:tblCellMar>
          <w:top w:w="0" w:type="dxa"/>
          <w:left w:w="108" w:type="dxa"/>
          <w:bottom w:w="0" w:type="dxa"/>
          <w:right w:w="108" w:type="dxa"/>
        </w:tblCellMar>
      </w:tblPr>
      <w:tblGrid>
        <w:gridCol w:w="954"/>
        <w:gridCol w:w="1082"/>
        <w:gridCol w:w="8783"/>
        <w:gridCol w:w="1135"/>
        <w:gridCol w:w="892"/>
        <w:gridCol w:w="801"/>
      </w:tblGrid>
      <w:tr>
        <w:tblPrEx>
          <w:tblCellMar>
            <w:top w:w="0" w:type="dxa"/>
            <w:left w:w="108" w:type="dxa"/>
            <w:bottom w:w="0" w:type="dxa"/>
            <w:right w:w="108" w:type="dxa"/>
          </w:tblCellMar>
        </w:tblPrEx>
        <w:trPr>
          <w:trHeight w:val="358" w:hRule="atLeast"/>
        </w:trPr>
        <w:tc>
          <w:tcPr>
            <w:tcW w:w="203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w:t>
            </w:r>
          </w:p>
        </w:tc>
        <w:tc>
          <w:tcPr>
            <w:tcW w:w="8783" w:type="dxa"/>
            <w:vMerge w:val="restart"/>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指标内容</w:t>
            </w:r>
          </w:p>
        </w:tc>
        <w:tc>
          <w:tcPr>
            <w:tcW w:w="1135" w:type="dxa"/>
            <w:vMerge w:val="restart"/>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评估方法</w:t>
            </w:r>
          </w:p>
        </w:tc>
        <w:tc>
          <w:tcPr>
            <w:tcW w:w="892" w:type="dxa"/>
            <w:vMerge w:val="restart"/>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val="en-US" w:eastAsia="zh-CN" w:bidi="ar"/>
              </w:rPr>
            </w:pPr>
            <w:r>
              <w:rPr>
                <w:rFonts w:hint="eastAsia" w:ascii="Times New Roman" w:hAnsi="Times New Roman" w:eastAsia="黑体" w:cs="黑体"/>
                <w:color w:val="000000"/>
                <w:kern w:val="0"/>
                <w:sz w:val="18"/>
                <w:szCs w:val="18"/>
                <w:lang w:bidi="ar"/>
              </w:rPr>
              <w:t>分值</w:t>
            </w:r>
          </w:p>
        </w:tc>
        <w:tc>
          <w:tcPr>
            <w:tcW w:w="801" w:type="dxa"/>
            <w:vMerge w:val="restart"/>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得分</w:t>
            </w:r>
          </w:p>
        </w:tc>
      </w:tr>
      <w:tr>
        <w:tblPrEx>
          <w:tblCellMar>
            <w:top w:w="0" w:type="dxa"/>
            <w:left w:w="108" w:type="dxa"/>
            <w:bottom w:w="0" w:type="dxa"/>
            <w:right w:w="108" w:type="dxa"/>
          </w:tblCellMar>
        </w:tblPrEx>
        <w:trPr>
          <w:trHeight w:val="354" w:hRule="atLeast"/>
        </w:trPr>
        <w:tc>
          <w:tcPr>
            <w:tcW w:w="95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一级指标</w:t>
            </w:r>
          </w:p>
        </w:tc>
        <w:tc>
          <w:tcPr>
            <w:tcW w:w="108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center"/>
              <w:textAlignment w:val="auto"/>
              <w:rPr>
                <w:rFonts w:hint="eastAsia" w:ascii="Times New Roman" w:hAnsi="Times New Roman" w:eastAsia="黑体" w:cs="黑体"/>
                <w:color w:val="000000"/>
                <w:kern w:val="0"/>
                <w:sz w:val="18"/>
                <w:szCs w:val="18"/>
                <w:lang w:bidi="ar"/>
              </w:rPr>
            </w:pPr>
            <w:r>
              <w:rPr>
                <w:rFonts w:hint="eastAsia" w:ascii="Times New Roman" w:hAnsi="Times New Roman" w:eastAsia="黑体" w:cs="黑体"/>
                <w:color w:val="000000"/>
                <w:kern w:val="0"/>
                <w:sz w:val="18"/>
                <w:szCs w:val="18"/>
                <w:lang w:bidi="ar"/>
              </w:rPr>
              <w:t>二级指标</w:t>
            </w:r>
          </w:p>
        </w:tc>
        <w:tc>
          <w:tcPr>
            <w:tcW w:w="8783" w:type="dxa"/>
            <w:vMerge w:val="continue"/>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135" w:type="dxa"/>
            <w:vMerge w:val="continue"/>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vMerge w:val="continue"/>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01" w:type="dxa"/>
            <w:vMerge w:val="continue"/>
            <w:tcBorders>
              <w:top w:val="single" w:color="auto" w:sz="4" w:space="0"/>
              <w:left w:val="nil"/>
              <w:bottom w:val="nil"/>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r>
      <w:tr>
        <w:tblPrEx>
          <w:tblCellMar>
            <w:top w:w="0" w:type="dxa"/>
            <w:left w:w="108" w:type="dxa"/>
            <w:bottom w:w="0" w:type="dxa"/>
            <w:right w:w="108" w:type="dxa"/>
          </w:tblCellMar>
        </w:tblPrEx>
        <w:trPr>
          <w:trHeight w:val="573" w:hRule="atLeast"/>
        </w:trPr>
        <w:tc>
          <w:tcPr>
            <w:tcW w:w="954"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组织管理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承诺倡导</w:t>
            </w:r>
          </w:p>
        </w:tc>
        <w:tc>
          <w:tcPr>
            <w:tcW w:w="8783"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企业书面承诺建设健康企业，得3分。</w:t>
            </w:r>
          </w:p>
        </w:tc>
        <w:tc>
          <w:tcPr>
            <w:tcW w:w="1135" w:type="dxa"/>
            <w:vMerge w:val="restart"/>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32"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召开全体职工大会，公开倡议全体职工积极参与健康企业建设，得2分。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79"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协调机制</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成立企业主要负责同志参加的健康企业领导小组，明确职责分工，得3分。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26"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每季度召开工作例会，讨论企业主要健康问题并提出具体应对措施，得2分。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481"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规章制度</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将健康企业建设纳入企业年度工作计划，得2分。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1275"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制定促进职工健康的规章制度和相关措施。如职业防护、职业病防治、改善环境卫生、落实公共场所无烟、促进职工采取健康生活方式、预防控制重大疾病和突发公共卫生事件等。每制定</w:t>
            </w:r>
            <w:r>
              <w:rPr>
                <w:rFonts w:hint="eastAsia" w:ascii="Times New Roman" w:hAnsi="Times New Roman" w:eastAsia="宋体" w:cs="宋体"/>
                <w:color w:val="000000"/>
                <w:kern w:val="0"/>
                <w:sz w:val="18"/>
                <w:szCs w:val="18"/>
                <w:lang w:val="en-US" w:eastAsia="zh-CN" w:bidi="ar"/>
              </w:rPr>
              <w:t>1</w:t>
            </w:r>
            <w:r>
              <w:rPr>
                <w:rFonts w:hint="eastAsia" w:ascii="Times New Roman" w:hAnsi="Times New Roman" w:eastAsia="宋体" w:cs="宋体"/>
                <w:color w:val="000000"/>
                <w:kern w:val="0"/>
                <w:sz w:val="18"/>
                <w:szCs w:val="18"/>
                <w:lang w:bidi="ar"/>
              </w:rPr>
              <w:t>条得1分，累计不超过3分。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616"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组织实施</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专人负责机构内健康相关工作，得1分，每年接受一次健康专业培训，得1分。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1771"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制定健康企业工作计划，定期总结，健康相关档案资料齐全。</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1.有健康企业工作方案或计划，工作内容明确，措施具体，责任分工合理，得1分。</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2.健康企业建设活动的文字、图片、实物资料齐全，整理规范，得1分。</w:t>
            </w:r>
          </w:p>
          <w:p>
            <w:pPr>
              <w:keepNext w:val="0"/>
              <w:keepLines w:val="0"/>
              <w:pageBreakBefore w:val="0"/>
              <w:widowControl/>
              <w:kinsoku/>
              <w:wordWrap/>
              <w:overflowPunct/>
              <w:topLinePunct w:val="0"/>
              <w:autoSpaceDE/>
              <w:autoSpaceDN/>
              <w:bidi w:val="0"/>
              <w:adjustRightInd/>
              <w:snapToGrid/>
              <w:spacing w:line="36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3.有健康企业工作总结，结构合理，内容详实，得1分。</w:t>
            </w:r>
          </w:p>
        </w:tc>
        <w:tc>
          <w:tcPr>
            <w:tcW w:w="1135"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90" w:hRule="atLeast"/>
        </w:trPr>
        <w:tc>
          <w:tcPr>
            <w:tcW w:w="95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健康环境</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（20分）</w:t>
            </w: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无烟环境</w:t>
            </w: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企业所有室内公共场所、工作场所禁止吸烟。企业的办公室、卫生室、所属室外环境没有发现烟头或者吸烟现象，得3分。</w:t>
            </w:r>
          </w:p>
        </w:tc>
        <w:tc>
          <w:tcPr>
            <w:tcW w:w="11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20" w:hRule="atLeast"/>
        </w:trPr>
        <w:tc>
          <w:tcPr>
            <w:tcW w:w="954" w:type="dxa"/>
            <w:vMerge w:val="continue"/>
            <w:tcBorders>
              <w:top w:val="single" w:color="auto" w:sz="4" w:space="0"/>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企业主要建筑物入口处、电梯、公共厕所、会议室等区域有明显的无烟标识、禁烟标识和健康提示，得3分。</w:t>
            </w:r>
          </w:p>
        </w:tc>
        <w:tc>
          <w:tcPr>
            <w:tcW w:w="1135" w:type="dxa"/>
            <w:vMerge w:val="continue"/>
            <w:tcBorders>
              <w:top w:val="single" w:color="auto" w:sz="4" w:space="0"/>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3</w:t>
            </w:r>
          </w:p>
        </w:tc>
        <w:tc>
          <w:tcPr>
            <w:tcW w:w="801"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360"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企业内无烟草广告和促销，得2分。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420"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自然环境</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环境整洁舒适，垃圾日产日清，得2分。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420"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厕所清洁卫生，数量满足需要，有洗手设施，得2分。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345" w:hRule="atLeast"/>
        </w:trPr>
        <w:tc>
          <w:tcPr>
            <w:tcW w:w="954" w:type="dxa"/>
            <w:vMerge w:val="continue"/>
            <w:tcBorders>
              <w:top w:val="nil"/>
              <w:left w:val="single" w:color="auto" w:sz="4" w:space="0"/>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职工食堂应符合卫生要求，膳食结构合理，得2分。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2</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675" w:hRule="atLeast"/>
        </w:trPr>
        <w:tc>
          <w:tcPr>
            <w:tcW w:w="954"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人文环境</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给职工提供锻炼（得2分）和阅读环境（得2分），对弱势群体有健康帮扶措施（得2分）。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6</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1032" w:hRule="atLeast"/>
        </w:trPr>
        <w:tc>
          <w:tcPr>
            <w:tcW w:w="95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健康活动</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（50分）</w:t>
            </w: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健康服务</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结合单位特点设置卫生室，配备专/兼职的卫生技术人员及必需的医疗用品和急救药物。</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设置卫生室或医务室，有专/兼职的卫生技术人员，有必需的医疗用品和急救药物，得4分。</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没有卫生室或医务室的机构，有专人接受急救和疾病预防知识培训，得4分。</w:t>
            </w:r>
          </w:p>
        </w:tc>
        <w:tc>
          <w:tcPr>
            <w:tcW w:w="1135" w:type="dxa"/>
            <w:vMerge w:val="restart"/>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听取汇报</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查阅档案</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现场查看</w:t>
            </w: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764"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eastAsia="zh-CN" w:bidi="ar"/>
              </w:rPr>
            </w:pPr>
            <w:r>
              <w:rPr>
                <w:rFonts w:hint="eastAsia" w:ascii="Times New Roman" w:hAnsi="Times New Roman" w:eastAsia="宋体" w:cs="宋体"/>
                <w:color w:val="000000"/>
                <w:kern w:val="0"/>
                <w:sz w:val="18"/>
                <w:szCs w:val="18"/>
                <w:lang w:bidi="ar"/>
              </w:rPr>
              <w:t>定期组织职工体检。每年组织一次健康体检，得4分，每两年组织一次健康体检，得3分。</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根据体检结果，制定有针对性的健康管理计划或措施，得4分。</w:t>
            </w:r>
          </w:p>
        </w:tc>
        <w:tc>
          <w:tcPr>
            <w:tcW w:w="1135" w:type="dxa"/>
            <w:vMerge w:val="continue"/>
            <w:tcBorders>
              <w:top w:val="nil"/>
              <w:left w:val="nil"/>
              <w:bottom w:val="single" w:color="000000"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548"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职业安全</w:t>
            </w:r>
          </w:p>
        </w:tc>
        <w:tc>
          <w:tcPr>
            <w:tcW w:w="878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每年开展4次以上以职业安全和职业防护为主题的专题讲座。每开展1次得2.5分，最高10分。</w:t>
            </w:r>
          </w:p>
        </w:tc>
        <w:tc>
          <w:tcPr>
            <w:tcW w:w="1135" w:type="dxa"/>
            <w:vMerge w:val="continue"/>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10</w:t>
            </w:r>
          </w:p>
        </w:tc>
        <w:tc>
          <w:tcPr>
            <w:tcW w:w="801" w:type="dxa"/>
            <w:tcBorders>
              <w:top w:val="nil"/>
              <w:left w:val="nil"/>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767"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每年举办2次以职业防护为主题的集体活动，如职业防护技能比赛、急救自救演示等。</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每举办一次以职业防护为主题的集体活动，得4分，最高8分。</w:t>
            </w:r>
          </w:p>
        </w:tc>
        <w:tc>
          <w:tcPr>
            <w:tcW w:w="11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973"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主题活动</w:t>
            </w: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每年开展4次以上健康讲座，可包括以下内容：科学就医、合理用药、传染病预防，合理膳食、戒烟限酒、心理平衡、母婴保健等。开展一次职业安全以外的健康讲座得2.5分，最高8分。</w:t>
            </w:r>
          </w:p>
        </w:tc>
        <w:tc>
          <w:tcPr>
            <w:tcW w:w="11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r>
        <w:tblPrEx>
          <w:tblCellMar>
            <w:top w:w="0" w:type="dxa"/>
            <w:left w:w="108" w:type="dxa"/>
            <w:bottom w:w="0" w:type="dxa"/>
            <w:right w:w="108" w:type="dxa"/>
          </w:tblCellMar>
        </w:tblPrEx>
        <w:trPr>
          <w:trHeight w:val="881" w:hRule="atLeast"/>
        </w:trPr>
        <w:tc>
          <w:tcPr>
            <w:tcW w:w="95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1082" w:type="dxa"/>
            <w:vMerge w:val="continue"/>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78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定期组织职工开展球类、游泳、棋类等文体活动，促进职工身心愉悦。</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每开展一项集体文体活动，得4分，最高8分。</w:t>
            </w:r>
          </w:p>
        </w:tc>
        <w:tc>
          <w:tcPr>
            <w:tcW w:w="11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p>
        </w:tc>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8</w:t>
            </w:r>
          </w:p>
        </w:tc>
        <w:tc>
          <w:tcPr>
            <w:tcW w:w="80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lang w:bidi="ar"/>
              </w:rPr>
            </w:pPr>
            <w:r>
              <w:rPr>
                <w:rFonts w:hint="eastAsia" w:ascii="Times New Roman" w:hAnsi="Times New Roman" w:eastAsia="宋体" w:cs="宋体"/>
                <w:color w:val="000000"/>
                <w:kern w:val="0"/>
                <w:sz w:val="18"/>
                <w:szCs w:val="18"/>
                <w:lang w:bidi="ar"/>
              </w:rPr>
              <w:t>　</w:t>
            </w:r>
          </w:p>
        </w:tc>
      </w:tr>
    </w:tbl>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val="en-US" w:eastAsia="zh-CN"/>
        </w:rPr>
      </w:pPr>
    </w:p>
    <w:p>
      <w:pPr>
        <w:numPr>
          <w:ilvl w:val="0"/>
          <w:numId w:val="0"/>
        </w:numPr>
        <w:jc w:val="center"/>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lang w:val="en-US" w:eastAsia="zh-CN"/>
        </w:rPr>
        <w:t>5.</w:t>
      </w:r>
      <w:r>
        <w:rPr>
          <w:rFonts w:hint="default" w:ascii="Times New Roman" w:hAnsi="Times New Roman" w:eastAsia="文星简小标宋"/>
          <w:sz w:val="44"/>
          <w:szCs w:val="44"/>
        </w:rPr>
        <w:t>健康</w:t>
      </w:r>
      <w:r>
        <w:rPr>
          <w:rFonts w:hint="eastAsia" w:ascii="Times New Roman" w:hAnsi="Times New Roman" w:eastAsia="文星简小标宋"/>
          <w:sz w:val="44"/>
          <w:szCs w:val="44"/>
        </w:rPr>
        <w:t>主题步道评分表</w:t>
      </w:r>
      <w:r>
        <w:rPr>
          <w:rFonts w:hint="eastAsia" w:ascii="Times New Roman" w:hAnsi="Times New Roman" w:eastAsia="文星简小标宋"/>
          <w:sz w:val="44"/>
          <w:szCs w:val="44"/>
          <w:lang w:eastAsia="zh-CN"/>
        </w:rPr>
        <w:t>（责任单位：区市政园林服务中心、各镇街）</w:t>
      </w:r>
    </w:p>
    <w:p>
      <w:pPr>
        <w:widowControl/>
        <w:spacing w:line="240" w:lineRule="exact"/>
        <w:jc w:val="center"/>
        <w:rPr>
          <w:rFonts w:ascii="Times New Roman" w:hAnsi="Times New Roman" w:eastAsia="黑体"/>
          <w:b/>
          <w:sz w:val="22"/>
          <w:u w:val="single"/>
        </w:rPr>
      </w:pPr>
    </w:p>
    <w:tbl>
      <w:tblPr>
        <w:tblStyle w:val="13"/>
        <w:tblW w:w="13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917"/>
        <w:gridCol w:w="8642"/>
        <w:gridCol w:w="1426"/>
        <w:gridCol w:w="1031"/>
        <w:gridCol w:w="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9" w:hRule="atLeast"/>
          <w:jc w:val="center"/>
        </w:trPr>
        <w:tc>
          <w:tcPr>
            <w:tcW w:w="1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w:t>
            </w: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指标内容</w:t>
            </w:r>
          </w:p>
        </w:tc>
        <w:tc>
          <w:tcPr>
            <w:tcW w:w="142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评估方法</w:t>
            </w: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分值</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设置原则</w:t>
            </w:r>
          </w:p>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（15分）</w:t>
            </w: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位置便利；路面整洁安全；无车辆行驶</w:t>
            </w:r>
            <w:r>
              <w:rPr>
                <w:rFonts w:hint="eastAsia" w:ascii="Times New Roman" w:hAnsi="Times New Roman" w:eastAsia="宋体" w:cs="宋体"/>
                <w:color w:val="000000"/>
                <w:kern w:val="0"/>
                <w:sz w:val="18"/>
                <w:szCs w:val="18"/>
                <w:lang w:eastAsia="zh-CN" w:bidi="ar"/>
              </w:rPr>
              <w:t>。</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现场查看</w:t>
            </w: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15</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设置要求</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（30分）</w:t>
            </w: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健康步道有明显的指示标志，标有起始点和终点，宽度不小于1米，长度不小于300米。</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步道的起始点设置步道名称，配有解说板、线路地图，标明步道两侧的设施等内容。</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步道两侧每隔一段距离应标有步行的米数，并配有倡导健康生活方式的标识，包括：合理膳食、适量运动、戒烟限酒、心理平衡等健康知识</w:t>
            </w:r>
            <w:r>
              <w:rPr>
                <w:rFonts w:hint="eastAsia" w:ascii="Times New Roman" w:hAnsi="Times New Roman" w:eastAsia="宋体" w:cs="宋体"/>
                <w:color w:val="000000"/>
                <w:kern w:val="0"/>
                <w:sz w:val="18"/>
                <w:szCs w:val="18"/>
                <w:lang w:eastAsia="zh-CN" w:bidi="ar"/>
              </w:rPr>
              <w:t>。</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2" w:hRule="atLeast"/>
          <w:jc w:val="center"/>
        </w:trPr>
        <w:tc>
          <w:tcPr>
            <w:tcW w:w="1917"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管理措施</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（55分）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加强对步道两侧设施的管理和维护，确保步道及相关设施正常使用。</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在可能发生危险的地方设置提示牌，如：小心路滑、防止溺水、老人不宜等友情提示。</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1"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每年至少更新1次步道两侧健康知识宣传图画、展板及墙报的内容。</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查看资料</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现场查看</w:t>
            </w: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20</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82" w:hRule="atLeast"/>
          <w:jc w:val="center"/>
        </w:trPr>
        <w:tc>
          <w:tcPr>
            <w:tcW w:w="1917"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864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依托健康步道，采取多种方式鼓励社区居民开展形式多样的</w:t>
            </w:r>
            <w:r>
              <w:rPr>
                <w:rFonts w:ascii="Times New Roman" w:hAnsi="Times New Roman" w:eastAsia="宋体" w:cs="宋体"/>
                <w:color w:val="000000"/>
                <w:kern w:val="0"/>
                <w:sz w:val="18"/>
                <w:szCs w:val="18"/>
                <w:lang w:bidi="ar"/>
              </w:rPr>
              <w:t>健康</w:t>
            </w:r>
            <w:r>
              <w:rPr>
                <w:rFonts w:hint="eastAsia" w:ascii="Times New Roman" w:hAnsi="Times New Roman" w:eastAsia="宋体" w:cs="宋体"/>
                <w:color w:val="000000"/>
                <w:kern w:val="0"/>
                <w:sz w:val="18"/>
                <w:szCs w:val="18"/>
                <w:lang w:bidi="ar"/>
              </w:rPr>
              <w:t>活动，有条件的地区定期对健康步道的使用情况进行评估。</w:t>
            </w:r>
          </w:p>
        </w:tc>
        <w:tc>
          <w:tcPr>
            <w:tcW w:w="1426" w:type="dxa"/>
            <w:vMerge w:val="continue"/>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400" w:lineRule="exact"/>
              <w:textAlignment w:val="auto"/>
              <w:rPr>
                <w:rFonts w:ascii="Times New Roman" w:hAnsi="Times New Roman" w:cs="Times New Roman"/>
                <w:sz w:val="20"/>
                <w:szCs w:val="20"/>
              </w:rPr>
            </w:pPr>
          </w:p>
        </w:tc>
        <w:tc>
          <w:tcPr>
            <w:tcW w:w="10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15</w:t>
            </w:r>
          </w:p>
        </w:tc>
        <w:tc>
          <w:tcPr>
            <w:tcW w:w="76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p>
        </w:tc>
      </w:tr>
    </w:tbl>
    <w:p>
      <w:pPr>
        <w:rPr>
          <w:rFonts w:hint="eastAsia" w:ascii="Times New Roman" w:hAnsi="Times New Roman" w:eastAsia="文星简小标宋"/>
          <w:sz w:val="44"/>
          <w:szCs w:val="44"/>
          <w:lang w:val="en-US" w:eastAsia="zh-CN"/>
        </w:rPr>
      </w:pPr>
      <w:r>
        <w:rPr>
          <w:rFonts w:hint="eastAsia" w:ascii="Times New Roman" w:hAnsi="Times New Roman" w:eastAsia="文星简小标宋"/>
          <w:sz w:val="44"/>
          <w:szCs w:val="44"/>
          <w:lang w:val="en-US" w:eastAsia="zh-CN"/>
        </w:rPr>
        <w:br w:type="page"/>
      </w:r>
    </w:p>
    <w:p>
      <w:pPr>
        <w:numPr>
          <w:ilvl w:val="0"/>
          <w:numId w:val="0"/>
        </w:numPr>
        <w:ind w:leftChars="0"/>
        <w:jc w:val="center"/>
        <w:rPr>
          <w:rFonts w:hint="eastAsia" w:ascii="Times New Roman" w:hAnsi="Times New Roman" w:eastAsia="文星简小标宋"/>
          <w:spacing w:val="-34"/>
          <w:sz w:val="44"/>
          <w:szCs w:val="44"/>
          <w:lang w:eastAsia="zh-CN"/>
        </w:rPr>
      </w:pPr>
      <w:r>
        <w:rPr>
          <w:rFonts w:hint="eastAsia" w:ascii="Times New Roman" w:hAnsi="Times New Roman" w:eastAsia="文星简小标宋"/>
          <w:spacing w:val="-34"/>
          <w:sz w:val="44"/>
          <w:szCs w:val="44"/>
          <w:lang w:val="en-US" w:eastAsia="zh-CN"/>
        </w:rPr>
        <w:t>6.</w:t>
      </w:r>
      <w:r>
        <w:rPr>
          <w:rFonts w:hint="eastAsia" w:ascii="Times New Roman" w:hAnsi="Times New Roman" w:eastAsia="文星简小标宋"/>
          <w:spacing w:val="-34"/>
          <w:sz w:val="44"/>
          <w:szCs w:val="44"/>
        </w:rPr>
        <w:t>健康主题广场（公园）考核评分表</w:t>
      </w:r>
      <w:r>
        <w:rPr>
          <w:rFonts w:hint="eastAsia" w:ascii="Times New Roman" w:hAnsi="Times New Roman" w:eastAsia="文星简小标宋"/>
          <w:spacing w:val="-34"/>
          <w:sz w:val="44"/>
          <w:szCs w:val="44"/>
          <w:lang w:eastAsia="zh-CN"/>
        </w:rPr>
        <w:t>（责任单位：区市政园林服务中心、各镇街）</w:t>
      </w:r>
    </w:p>
    <w:p>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jc w:val="both"/>
        <w:textAlignment w:val="auto"/>
        <w:rPr>
          <w:rFonts w:hint="eastAsia" w:ascii="Times New Roman" w:hAnsi="Times New Roman" w:eastAsia="文星简小标宋"/>
          <w:sz w:val="44"/>
          <w:szCs w:val="44"/>
        </w:rPr>
      </w:pPr>
    </w:p>
    <w:tbl>
      <w:tblPr>
        <w:tblStyle w:val="13"/>
        <w:tblW w:w="13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98"/>
        <w:gridCol w:w="8257"/>
        <w:gridCol w:w="1594"/>
        <w:gridCol w:w="1081"/>
        <w:gridCol w:w="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8" w:hRule="atLeast"/>
          <w:jc w:val="center"/>
        </w:trPr>
        <w:tc>
          <w:tcPr>
            <w:tcW w:w="1898"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指标</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指标内容</w:t>
            </w:r>
          </w:p>
        </w:tc>
        <w:tc>
          <w:tcPr>
            <w:tcW w:w="1594"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评估方法</w:t>
            </w:r>
          </w:p>
        </w:tc>
        <w:tc>
          <w:tcPr>
            <w:tcW w:w="1081"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分值</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黑体" w:cs="黑体"/>
                <w:sz w:val="18"/>
                <w:szCs w:val="18"/>
              </w:rPr>
            </w:pPr>
            <w:r>
              <w:rPr>
                <w:rFonts w:hint="eastAsia" w:ascii="Times New Roman" w:hAnsi="Times New Roman" w:eastAsia="黑体" w:cs="黑体"/>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8" w:hRule="atLeast"/>
          <w:jc w:val="center"/>
        </w:trPr>
        <w:tc>
          <w:tcPr>
            <w:tcW w:w="1898"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设置原则</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w:t>
            </w:r>
            <w:r>
              <w:rPr>
                <w:rFonts w:ascii="Times New Roman" w:hAnsi="Times New Roman"/>
                <w:sz w:val="18"/>
                <w:szCs w:val="18"/>
              </w:rPr>
              <w:t>10</w:t>
            </w:r>
            <w:r>
              <w:rPr>
                <w:rFonts w:hint="eastAsia" w:ascii="Times New Roman" w:hAnsi="Times New Roman"/>
                <w:sz w:val="18"/>
                <w:szCs w:val="18"/>
              </w:rPr>
              <w:t>分）</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位置便利，环境优美；免费开放。</w:t>
            </w:r>
          </w:p>
        </w:tc>
        <w:tc>
          <w:tcPr>
            <w:tcW w:w="1594"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75" w:hRule="atLeast"/>
          <w:jc w:val="center"/>
        </w:trPr>
        <w:tc>
          <w:tcPr>
            <w:tcW w:w="1898" w:type="dxa"/>
            <w:vMerge w:val="restart"/>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Times New Roman" w:hAnsi="Times New Roman" w:eastAsiaTheme="minorEastAsia"/>
                <w:sz w:val="18"/>
                <w:szCs w:val="18"/>
                <w:lang w:eastAsia="zh-CN"/>
              </w:rPr>
            </w:pPr>
            <w:r>
              <w:rPr>
                <w:rFonts w:hint="eastAsia" w:ascii="Times New Roman" w:hAnsi="Times New Roman"/>
                <w:sz w:val="18"/>
                <w:szCs w:val="18"/>
              </w:rPr>
              <w:t>设置要求</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（55分）</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健康主题公园设置符合中华人民共和国行业标准《公园设计规范》（</w:t>
            </w:r>
            <w:r>
              <w:rPr>
                <w:rFonts w:ascii="Times New Roman" w:hAnsi="Times New Roman"/>
                <w:sz w:val="18"/>
                <w:szCs w:val="18"/>
              </w:rPr>
              <w:t>CJJ48</w:t>
            </w:r>
            <w:r>
              <w:rPr>
                <w:rFonts w:hint="eastAsia" w:ascii="Times New Roman" w:hAnsi="Times New Roman"/>
                <w:sz w:val="18"/>
                <w:szCs w:val="18"/>
                <w:lang w:eastAsia="zh-CN"/>
              </w:rPr>
              <w:t>—</w:t>
            </w:r>
            <w:r>
              <w:rPr>
                <w:rFonts w:ascii="Times New Roman" w:hAnsi="Times New Roman"/>
                <w:sz w:val="18"/>
                <w:szCs w:val="18"/>
              </w:rPr>
              <w:t>92</w:t>
            </w:r>
            <w:r>
              <w:rPr>
                <w:rFonts w:hint="eastAsia" w:ascii="Times New Roman" w:hAnsi="Times New Roman"/>
                <w:sz w:val="18"/>
                <w:szCs w:val="18"/>
              </w:rPr>
              <w:t>）的要求。</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17"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有醒目的健康主题公园标志，标注健康主题公园的总体概况，平面分布图和功能分区等内容。</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有健康知识宣传区，因地制宜设置固定的健康知识宣传栏、宣传墙或宣传长廊等，内容以宣传健康生活方式为主。</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有健身区，配有供居民锻炼的器材，如单双杆、扭腰训练器、臂力训练器、漫步机、健骑机、坐蹬器等，不少于</w:t>
            </w:r>
            <w:r>
              <w:rPr>
                <w:rFonts w:ascii="Times New Roman" w:hAnsi="Times New Roman"/>
                <w:sz w:val="18"/>
                <w:szCs w:val="18"/>
              </w:rPr>
              <w:t>5</w:t>
            </w:r>
            <w:r>
              <w:rPr>
                <w:rFonts w:hint="eastAsia" w:ascii="Times New Roman" w:hAnsi="Times New Roman"/>
                <w:sz w:val="18"/>
                <w:szCs w:val="18"/>
              </w:rPr>
              <w:t>种。</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6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有供居民集体锻炼的场地。</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建设至少一条健康步道。</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5"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设置健康小屋（健康加油站）。</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ind w:firstLine="271" w:firstLineChars="150"/>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85"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倡导公园禁止吸烟，打造无烟公园。</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ind w:firstLine="271" w:firstLineChars="150"/>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ascii="Times New Roman" w:hAnsi="Times New Roman"/>
                <w:sz w:val="18"/>
                <w:szCs w:val="18"/>
              </w:rPr>
              <w:t>管理措施</w:t>
            </w:r>
          </w:p>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ascii="Times New Roman" w:hAnsi="Times New Roman"/>
                <w:sz w:val="18"/>
                <w:szCs w:val="18"/>
              </w:rPr>
              <w:t>（</w:t>
            </w:r>
            <w:r>
              <w:rPr>
                <w:rFonts w:hint="eastAsia" w:ascii="Times New Roman" w:hAnsi="Times New Roman"/>
                <w:sz w:val="18"/>
                <w:szCs w:val="18"/>
              </w:rPr>
              <w:t>35分</w:t>
            </w:r>
            <w:r>
              <w:rPr>
                <w:rFonts w:ascii="Times New Roman" w:hAnsi="Times New Roman"/>
                <w:sz w:val="18"/>
                <w:szCs w:val="18"/>
              </w:rPr>
              <w:t>）</w:t>
            </w: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公园内开展群众性健身活动</w:t>
            </w:r>
            <w:r>
              <w:rPr>
                <w:rFonts w:ascii="Times New Roman" w:hAnsi="Times New Roman"/>
                <w:sz w:val="18"/>
                <w:szCs w:val="18"/>
              </w:rPr>
              <w:t>和</w:t>
            </w:r>
            <w:r>
              <w:rPr>
                <w:rFonts w:hint="eastAsia" w:ascii="Times New Roman" w:hAnsi="Times New Roman"/>
                <w:sz w:val="18"/>
                <w:szCs w:val="18"/>
              </w:rPr>
              <w:t>健康教育。</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ind w:firstLine="271" w:firstLineChars="150"/>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对健康主题公园内的各项设施和锻炼器材等进行管理和维护，确保各项设施正常使用。</w:t>
            </w:r>
          </w:p>
        </w:tc>
        <w:tc>
          <w:tcPr>
            <w:tcW w:w="1594"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对公园内各种设施应配有简单的使用说明和注意事项提示，引导居民正确使用。</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在可能发生危险的地方设置提示牌，如：小心路滑，防止溺水、老人不宜等友情提示。</w:t>
            </w:r>
          </w:p>
        </w:tc>
        <w:tc>
          <w:tcPr>
            <w:tcW w:w="1594" w:type="dxa"/>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现场查看</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50" w:hRule="atLeast"/>
          <w:jc w:val="center"/>
        </w:trPr>
        <w:tc>
          <w:tcPr>
            <w:tcW w:w="1898" w:type="dxa"/>
            <w:vMerge w:val="continue"/>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c>
          <w:tcPr>
            <w:tcW w:w="8257"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left"/>
              <w:textAlignment w:val="auto"/>
              <w:rPr>
                <w:rFonts w:ascii="Times New Roman" w:hAnsi="Times New Roman"/>
                <w:sz w:val="18"/>
                <w:szCs w:val="18"/>
              </w:rPr>
            </w:pPr>
            <w:r>
              <w:rPr>
                <w:rFonts w:hint="eastAsia" w:ascii="Times New Roman" w:hAnsi="Times New Roman"/>
                <w:sz w:val="18"/>
                <w:szCs w:val="18"/>
              </w:rPr>
              <w:t>每年至少更新</w:t>
            </w:r>
            <w:r>
              <w:rPr>
                <w:rFonts w:ascii="Times New Roman" w:hAnsi="Times New Roman"/>
                <w:sz w:val="18"/>
                <w:szCs w:val="18"/>
              </w:rPr>
              <w:t>1</w:t>
            </w:r>
            <w:r>
              <w:rPr>
                <w:rFonts w:hint="eastAsia" w:ascii="Times New Roman" w:hAnsi="Times New Roman"/>
                <w:sz w:val="18"/>
                <w:szCs w:val="18"/>
              </w:rPr>
              <w:t>次公园健康知识普及区内宣传图画、展板及墙报的内容。</w:t>
            </w:r>
          </w:p>
        </w:tc>
        <w:tc>
          <w:tcPr>
            <w:tcW w:w="1594"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r>
              <w:rPr>
                <w:rFonts w:hint="eastAsia" w:ascii="Times New Roman" w:hAnsi="Times New Roman"/>
                <w:sz w:val="18"/>
                <w:szCs w:val="18"/>
              </w:rPr>
              <w:t>查看</w:t>
            </w:r>
            <w:r>
              <w:rPr>
                <w:rFonts w:ascii="Times New Roman" w:hAnsi="Times New Roman"/>
                <w:sz w:val="18"/>
                <w:szCs w:val="18"/>
              </w:rPr>
              <w:t>历年</w:t>
            </w:r>
            <w:r>
              <w:rPr>
                <w:rFonts w:hint="eastAsia" w:ascii="Times New Roman" w:hAnsi="Times New Roman"/>
                <w:sz w:val="18"/>
                <w:szCs w:val="18"/>
              </w:rPr>
              <w:t>资料</w:t>
            </w:r>
          </w:p>
        </w:tc>
        <w:tc>
          <w:tcPr>
            <w:tcW w:w="1081" w:type="dxa"/>
            <w:shd w:val="clear" w:color="auto" w:fill="auto"/>
            <w:tcMar>
              <w:top w:w="15" w:type="dxa"/>
              <w:left w:w="54" w:type="dxa"/>
              <w:bottom w:w="0" w:type="dxa"/>
              <w:right w:w="54"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43" w:type="dxa"/>
            <w:shd w:val="clear" w:color="auto" w:fill="auto"/>
            <w:tcMar>
              <w:top w:w="15" w:type="dxa"/>
              <w:left w:w="54" w:type="dxa"/>
              <w:bottom w:w="0" w:type="dxa"/>
              <w:right w:w="54" w:type="dxa"/>
            </w:tcMar>
            <w:vAlign w:val="center"/>
          </w:tcPr>
          <w:p>
            <w:pPr>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ascii="Times New Roman" w:hAnsi="Times New Roman"/>
                <w:sz w:val="18"/>
                <w:szCs w:val="18"/>
              </w:rPr>
            </w:pPr>
          </w:p>
        </w:tc>
      </w:tr>
    </w:tbl>
    <w:p>
      <w:pPr>
        <w:ind w:firstLine="316" w:firstLineChars="150"/>
        <w:rPr>
          <w:rFonts w:ascii="Times New Roman" w:hAnsi="Times New Roman"/>
        </w:rPr>
      </w:pPr>
    </w:p>
    <w:p>
      <w:pPr>
        <w:pStyle w:val="2"/>
        <w:ind w:left="0" w:leftChars="0" w:firstLine="0" w:firstLineChars="0"/>
        <w:rPr>
          <w:rFonts w:ascii="Times New Roman" w:hAnsi="Times New Roman" w:eastAsia="方正小标宋简体" w:cs="方正小标宋简体"/>
          <w:sz w:val="44"/>
          <w:szCs w:val="44"/>
        </w:rPr>
      </w:pPr>
    </w:p>
    <w:p>
      <w:pPr>
        <w:jc w:val="center"/>
        <w:rPr>
          <w:rFonts w:hint="eastAsia" w:ascii="Times New Roman" w:hAnsi="Times New Roman" w:eastAsia="文星简小标宋"/>
          <w:sz w:val="44"/>
          <w:szCs w:val="44"/>
        </w:rPr>
      </w:pPr>
    </w:p>
    <w:p>
      <w:pPr>
        <w:rPr>
          <w:rFonts w:hint="eastAsia" w:ascii="Times New Roman" w:hAnsi="Times New Roman" w:eastAsia="文星简小标宋"/>
          <w:sz w:val="44"/>
          <w:szCs w:val="44"/>
          <w:lang w:val="en-US" w:eastAsia="zh-CN"/>
        </w:rPr>
      </w:pPr>
      <w:r>
        <w:rPr>
          <w:rFonts w:hint="eastAsia" w:ascii="Times New Roman" w:hAnsi="Times New Roman" w:eastAsia="文星简小标宋"/>
          <w:sz w:val="44"/>
          <w:szCs w:val="44"/>
          <w:lang w:val="en-US" w:eastAsia="zh-CN"/>
        </w:rPr>
        <w:br w:type="page"/>
      </w:r>
    </w:p>
    <w:p>
      <w:pPr>
        <w:jc w:val="center"/>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lang w:val="en-US" w:eastAsia="zh-CN"/>
        </w:rPr>
        <w:t>7.</w:t>
      </w:r>
      <w:r>
        <w:rPr>
          <w:rFonts w:hint="eastAsia" w:ascii="Times New Roman" w:hAnsi="Times New Roman" w:eastAsia="文星简小标宋"/>
          <w:sz w:val="44"/>
          <w:szCs w:val="44"/>
        </w:rPr>
        <w:t>健康社区考核评估表</w:t>
      </w:r>
      <w:r>
        <w:rPr>
          <w:rFonts w:hint="eastAsia" w:ascii="Times New Roman" w:hAnsi="Times New Roman" w:eastAsia="文星简小标宋"/>
          <w:sz w:val="44"/>
          <w:szCs w:val="44"/>
          <w:lang w:eastAsia="zh-CN"/>
        </w:rPr>
        <w:t>（责任单位：各镇街）</w:t>
      </w:r>
    </w:p>
    <w:tbl>
      <w:tblPr>
        <w:tblStyle w:val="13"/>
        <w:tblW w:w="13292" w:type="dxa"/>
        <w:tblInd w:w="2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7"/>
        <w:gridCol w:w="7491"/>
        <w:gridCol w:w="1918"/>
        <w:gridCol w:w="1149"/>
        <w:gridCol w:w="8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指标</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指标</w:t>
            </w:r>
            <w:r>
              <w:rPr>
                <w:rFonts w:hint="eastAsia" w:ascii="Times New Roman" w:hAnsi="Times New Roman" w:eastAsia="黑体" w:cs="黑体"/>
                <w:b w:val="0"/>
                <w:bCs w:val="0"/>
                <w:color w:val="000000"/>
                <w:kern w:val="0"/>
                <w:sz w:val="18"/>
                <w:szCs w:val="18"/>
              </w:rPr>
              <w:t>内容</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黑体" w:cs="黑体"/>
                <w:b w:val="0"/>
                <w:bCs w:val="0"/>
                <w:color w:val="000000"/>
                <w:kern w:val="0"/>
                <w:sz w:val="18"/>
                <w:szCs w:val="18"/>
              </w:rPr>
            </w:pPr>
            <w:r>
              <w:rPr>
                <w:rFonts w:hint="eastAsia" w:ascii="Times New Roman" w:hAnsi="Times New Roman" w:eastAsia="黑体" w:cs="黑体"/>
                <w:b w:val="0"/>
                <w:bCs w:val="0"/>
                <w:color w:val="000000"/>
                <w:kern w:val="0"/>
                <w:sz w:val="18"/>
                <w:szCs w:val="18"/>
              </w:rPr>
              <w:t>评估方法</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分值</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2" w:hRule="atLeast"/>
        </w:trPr>
        <w:tc>
          <w:tcPr>
            <w:tcW w:w="1837"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组织管理</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（15分）</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开展健康支持性环境建设的社区所在街道办事处成立领导小组和工作组，统筹领导健康社区建设工作。</w:t>
            </w:r>
          </w:p>
        </w:tc>
        <w:tc>
          <w:tcPr>
            <w:tcW w:w="1918"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开展健康支持性环境建设的社区成立工作小组，负责具体工作的落实。</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制定健康社区建设工作计划和实施方案</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有健康社区工作计划和实施方案，工作内容明确，措施具体，责任分工合理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1837"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环境建设</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（25分）</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环境整洁</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辖区内无烟头，垃圾箱整洁，无垃圾零散堆放现象</w:t>
            </w:r>
            <w:r>
              <w:rPr>
                <w:rFonts w:hint="eastAsia" w:ascii="Times New Roman" w:hAnsi="Times New Roman" w:eastAsia="宋体" w:cs="宋体"/>
                <w:color w:val="000000"/>
                <w:kern w:val="0"/>
                <w:sz w:val="18"/>
                <w:szCs w:val="18"/>
                <w:lang w:eastAsia="zh-CN"/>
              </w:rPr>
              <w:t>。</w:t>
            </w:r>
          </w:p>
        </w:tc>
        <w:tc>
          <w:tcPr>
            <w:tcW w:w="1918"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2</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有固定的宣传栏、橱窗等健康教育窗口</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有健康教育活动室</w:t>
            </w:r>
            <w:r>
              <w:rPr>
                <w:rFonts w:ascii="Times New Roman" w:hAnsi="Times New Roman" w:eastAsia="宋体" w:cs="宋体"/>
                <w:color w:val="000000"/>
                <w:kern w:val="0"/>
                <w:sz w:val="18"/>
                <w:szCs w:val="18"/>
              </w:rPr>
              <w:t>（有健康宣传资料）</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有促进身体活动的专门场地，且活动设施达3种以上</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活动设施每种得2分，最高8分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8</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tcBorders>
              <w:bottom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为社区居民提供免费测血压和体重的场所和设施</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有血压仪和体重计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1837" w:type="dxa"/>
            <w:vMerge w:val="restart"/>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活动开展</w:t>
            </w:r>
          </w:p>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（60分）</w:t>
            </w: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每年开展3种以上居民广泛参与的健康生活方式活动，如知识竞赛、健康膳食设计比赛、健身比赛、健康家庭评选等</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每开展一种活动得2分，最高8分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8</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每年为每户居民发放1种以上健康生活方式宣传材料或工具</w:t>
            </w:r>
            <w:r>
              <w:rPr>
                <w:rFonts w:ascii="Times New Roman" w:hAnsi="Times New Roman" w:eastAsia="宋体" w:cs="宋体"/>
                <w:color w:val="000000"/>
                <w:kern w:val="0"/>
                <w:sz w:val="18"/>
                <w:szCs w:val="18"/>
              </w:rPr>
              <w:t>（发放一种得2分，最高5分）</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查看发放记录，抽查至少5户居民</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5</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每年开展4次以上健康生活方式相关知识讲座，每次参与人数不少于50人</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每开展一次讲座得2分，最高10分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利用固定宣传栏或橱窗开展健康生活方式知识宣传，宣传内容每年至少更换6次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每有1次更新得1分，共6分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查看记录，现场查看</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6</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在全民健康生活方式日、全国高血压日、联合国糖尿病日等主题宣传日组织宣传活动，每年至少3次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每开展一次得2分，最高8分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8</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健康教育活动室提供5种以上可供群众取阅的健康生活方式宣传材料，并有健康支持工具（身高体重计、腰围尺、壁挂BMI尺、膳食宝塔挂图、控油壶、限盐勺等）展示</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每提供一种得0.5分，最高3分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3</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社区内有3个以上群众性健身活动团体，每月至少组织开展一次活动</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每有一个团体得1分，最高4分</w:t>
            </w:r>
            <w:r>
              <w:rPr>
                <w:rFonts w:hint="eastAsia" w:ascii="Times New Roman" w:hAnsi="Times New Roman" w:eastAsia="宋体" w:cs="宋体"/>
                <w:color w:val="000000"/>
                <w:kern w:val="0"/>
                <w:sz w:val="18"/>
                <w:szCs w:val="18"/>
                <w:lang w:eastAsia="zh-CN"/>
              </w:rPr>
              <w:t>，</w:t>
            </w:r>
            <w:r>
              <w:rPr>
                <w:rFonts w:hint="eastAsia" w:ascii="Times New Roman" w:hAnsi="Times New Roman" w:eastAsia="宋体" w:cs="宋体"/>
                <w:color w:val="000000"/>
                <w:kern w:val="0"/>
                <w:sz w:val="18"/>
                <w:szCs w:val="18"/>
              </w:rPr>
              <w:t>每月开展一次活动得0.5分，最高6分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查看资料，现场核实</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37" w:type="dxa"/>
            <w:vMerge w:val="continue"/>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c>
          <w:tcPr>
            <w:tcW w:w="7491"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社区内有健康生活方式指导员至少5人，健康生活方式指导员开展健康生活方式宣传和指导活动每月至少1次</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社区有指导员5人以上得5分</w:t>
            </w:r>
            <w:r>
              <w:rPr>
                <w:rFonts w:hint="eastAsia" w:ascii="Times New Roman" w:hAnsi="Times New Roman" w:eastAsia="宋体" w:cs="宋体"/>
                <w:color w:val="000000"/>
                <w:kern w:val="0"/>
                <w:sz w:val="18"/>
                <w:szCs w:val="18"/>
                <w:lang w:eastAsia="zh-CN"/>
              </w:rPr>
              <w:t>，</w:t>
            </w:r>
            <w:r>
              <w:rPr>
                <w:rFonts w:hint="eastAsia" w:ascii="Times New Roman" w:hAnsi="Times New Roman" w:eastAsia="宋体" w:cs="宋体"/>
                <w:color w:val="000000"/>
                <w:kern w:val="0"/>
                <w:sz w:val="18"/>
                <w:szCs w:val="18"/>
              </w:rPr>
              <w:t>每月开展一次活动得0.5分，最高</w:t>
            </w:r>
            <w:r>
              <w:rPr>
                <w:rFonts w:ascii="Times New Roman" w:hAnsi="Times New Roman" w:eastAsia="宋体" w:cs="宋体"/>
                <w:color w:val="000000"/>
                <w:kern w:val="0"/>
                <w:sz w:val="18"/>
                <w:szCs w:val="18"/>
              </w:rPr>
              <w:t>5</w:t>
            </w:r>
            <w:r>
              <w:rPr>
                <w:rFonts w:hint="eastAsia" w:ascii="Times New Roman" w:hAnsi="Times New Roman" w:eastAsia="宋体" w:cs="宋体"/>
                <w:color w:val="000000"/>
                <w:kern w:val="0"/>
                <w:sz w:val="18"/>
                <w:szCs w:val="18"/>
              </w:rPr>
              <w:t>分</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lang w:eastAsia="zh-CN"/>
              </w:rPr>
              <w:t>。</w:t>
            </w:r>
          </w:p>
        </w:tc>
        <w:tc>
          <w:tcPr>
            <w:tcW w:w="1918"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查看资料，抽查健康生活方式指导员</w:t>
            </w:r>
          </w:p>
        </w:tc>
        <w:tc>
          <w:tcPr>
            <w:tcW w:w="1149" w:type="dxa"/>
            <w:vAlign w:val="center"/>
          </w:tcPr>
          <w:p>
            <w:pPr>
              <w:keepNext w:val="0"/>
              <w:keepLines w:val="0"/>
              <w:pageBreakBefore w:val="0"/>
              <w:widowControl/>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10</w:t>
            </w:r>
          </w:p>
        </w:tc>
        <w:tc>
          <w:tcPr>
            <w:tcW w:w="897" w:type="dxa"/>
            <w:vAlign w:val="center"/>
          </w:tcPr>
          <w:p>
            <w:pPr>
              <w:keepNext w:val="0"/>
              <w:keepLines w:val="0"/>
              <w:pageBreakBefore w:val="0"/>
              <w:widowControl/>
              <w:kinsoku/>
              <w:wordWrap/>
              <w:overflowPunct/>
              <w:topLinePunct w:val="0"/>
              <w:autoSpaceDE/>
              <w:autoSpaceDN/>
              <w:bidi w:val="0"/>
              <w:adjustRightInd/>
              <w:snapToGrid/>
              <w:spacing w:line="400" w:lineRule="exact"/>
              <w:ind w:firstLine="198"/>
              <w:jc w:val="center"/>
              <w:textAlignment w:val="auto"/>
              <w:rPr>
                <w:rFonts w:ascii="Times New Roman" w:hAnsi="Times New Roman" w:eastAsia="宋体" w:cs="宋体"/>
                <w:color w:val="000000"/>
                <w:kern w:val="0"/>
                <w:sz w:val="18"/>
                <w:szCs w:val="18"/>
              </w:rPr>
            </w:pPr>
          </w:p>
        </w:tc>
      </w:tr>
    </w:tbl>
    <w:p>
      <w:pPr>
        <w:pStyle w:val="2"/>
        <w:ind w:left="0" w:leftChars="0" w:firstLine="0" w:firstLineChars="0"/>
        <w:rPr>
          <w:rFonts w:ascii="Times New Roman" w:hAnsi="Times New Roman" w:eastAsia="方正小标宋简体" w:cs="方正小标宋简体"/>
          <w:sz w:val="44"/>
          <w:szCs w:val="44"/>
        </w:rPr>
      </w:pPr>
    </w:p>
    <w:p>
      <w:pPr>
        <w:rPr>
          <w:rFonts w:hint="eastAsia" w:ascii="Times New Roman" w:hAnsi="Times New Roman" w:eastAsia="文星简小标宋" w:cs="文星简小标宋"/>
          <w:sz w:val="44"/>
          <w:szCs w:val="44"/>
          <w:lang w:val="en-US" w:eastAsia="zh-CN"/>
        </w:rPr>
      </w:pPr>
      <w:r>
        <w:rPr>
          <w:rFonts w:hint="eastAsia" w:ascii="Times New Roman" w:hAnsi="Times New Roman" w:eastAsia="文星简小标宋" w:cs="文星简小标宋"/>
          <w:sz w:val="44"/>
          <w:szCs w:val="44"/>
          <w:lang w:val="en-US" w:eastAsia="zh-CN"/>
        </w:rPr>
        <w:br w:type="page"/>
      </w:r>
    </w:p>
    <w:p>
      <w:pPr>
        <w:numPr>
          <w:ilvl w:val="0"/>
          <w:numId w:val="0"/>
        </w:numPr>
        <w:ind w:leftChars="0"/>
        <w:jc w:val="center"/>
        <w:rPr>
          <w:rFonts w:hint="eastAsia" w:ascii="Times New Roman" w:hAnsi="Times New Roman" w:eastAsia="文星简小标宋" w:cs="文星简小标宋"/>
          <w:sz w:val="44"/>
          <w:szCs w:val="44"/>
          <w:lang w:eastAsia="zh-CN"/>
        </w:rPr>
      </w:pPr>
      <w:r>
        <w:rPr>
          <w:rFonts w:hint="eastAsia" w:ascii="Times New Roman" w:hAnsi="Times New Roman" w:eastAsia="文星简小标宋" w:cs="文星简小标宋"/>
          <w:sz w:val="44"/>
          <w:szCs w:val="44"/>
          <w:lang w:val="en-US" w:eastAsia="zh-CN"/>
        </w:rPr>
        <w:t>8.</w:t>
      </w:r>
      <w:r>
        <w:rPr>
          <w:rFonts w:hint="eastAsia" w:ascii="Times New Roman" w:hAnsi="Times New Roman" w:eastAsia="文星简小标宋" w:cs="文星简小标宋"/>
          <w:sz w:val="44"/>
          <w:szCs w:val="44"/>
        </w:rPr>
        <w:t>健康家庭考核评估表</w:t>
      </w:r>
      <w:r>
        <w:rPr>
          <w:rFonts w:hint="eastAsia" w:ascii="Times New Roman" w:hAnsi="Times New Roman" w:eastAsia="文星简小标宋" w:cs="文星简小标宋"/>
          <w:sz w:val="44"/>
          <w:szCs w:val="44"/>
          <w:lang w:eastAsia="zh-CN"/>
        </w:rPr>
        <w:t>（责任单位：区妇联、各镇街）</w:t>
      </w:r>
    </w:p>
    <w:p>
      <w:pPr>
        <w:numPr>
          <w:ilvl w:val="0"/>
          <w:numId w:val="0"/>
        </w:numPr>
        <w:ind w:leftChars="0"/>
        <w:jc w:val="both"/>
        <w:rPr>
          <w:rFonts w:hint="eastAsia" w:ascii="Times New Roman" w:hAnsi="Times New Roman" w:eastAsia="文星简小标宋" w:cs="文星简小标宋"/>
          <w:sz w:val="44"/>
          <w:szCs w:val="44"/>
        </w:rPr>
      </w:pPr>
    </w:p>
    <w:tbl>
      <w:tblPr>
        <w:tblStyle w:val="14"/>
        <w:tblW w:w="136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8"/>
        <w:gridCol w:w="4838"/>
        <w:gridCol w:w="4033"/>
        <w:gridCol w:w="1595"/>
        <w:gridCol w:w="13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178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w:t>
            </w:r>
          </w:p>
        </w:tc>
        <w:tc>
          <w:tcPr>
            <w:tcW w:w="483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指标内容</w:t>
            </w:r>
          </w:p>
        </w:tc>
        <w:tc>
          <w:tcPr>
            <w:tcW w:w="40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评估方法</w:t>
            </w:r>
          </w:p>
        </w:tc>
        <w:tc>
          <w:tcPr>
            <w:tcW w:w="159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分值</w:t>
            </w:r>
          </w:p>
        </w:tc>
        <w:tc>
          <w:tcPr>
            <w:tcW w:w="139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Times New Roman" w:hAnsi="Times New Roman" w:eastAsia="黑体" w:cs="黑体"/>
                <w:b w:val="0"/>
                <w:bCs w:val="0"/>
                <w:color w:val="000000"/>
                <w:kern w:val="0"/>
                <w:sz w:val="18"/>
                <w:szCs w:val="18"/>
              </w:rPr>
            </w:pPr>
            <w:r>
              <w:rPr>
                <w:rFonts w:ascii="Times New Roman" w:hAnsi="Times New Roman" w:eastAsia="黑体" w:cs="黑体"/>
                <w:b w:val="0"/>
                <w:bCs w:val="0"/>
                <w:color w:val="000000"/>
                <w:kern w:val="0"/>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8" w:hRule="atLeast"/>
        </w:trPr>
        <w:tc>
          <w:tcPr>
            <w:tcW w:w="178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家庭考核指标</w:t>
            </w:r>
          </w:p>
        </w:tc>
        <w:tc>
          <w:tcPr>
            <w:tcW w:w="483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1.家庭卫生整洁，光线充足，通风良好</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2.厕所卫生，垃圾定点投放，文明饲养禽畜宠物</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3.主动学习健康知识，树立健康理念</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4.养成良好生活习惯，讲究个人卫生</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5.合理膳食，戒烟限酒</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6.适量运动，心理平衡</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7.定期体检，科学就医</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8.优生优育，爱老敬老</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9.家庭和谐，崇尚公德</w:t>
            </w:r>
            <w:r>
              <w:rPr>
                <w:rFonts w:hint="eastAsia" w:ascii="Times New Roman" w:hAnsi="Times New Roman" w:eastAsia="宋体" w:cs="宋体"/>
                <w:color w:val="000000"/>
                <w:kern w:val="0"/>
                <w:sz w:val="18"/>
                <w:szCs w:val="18"/>
                <w:lang w:eastAsia="zh-CN" w:bidi="ar"/>
              </w:rPr>
              <w:t>；</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lang w:bidi="ar"/>
              </w:rPr>
              <w:t>10.邻里互助，支持公益</w:t>
            </w:r>
            <w:r>
              <w:rPr>
                <w:rFonts w:hint="eastAsia" w:ascii="Times New Roman" w:hAnsi="Times New Roman" w:eastAsia="宋体" w:cs="宋体"/>
                <w:color w:val="000000"/>
                <w:kern w:val="0"/>
                <w:sz w:val="18"/>
                <w:szCs w:val="18"/>
                <w:lang w:eastAsia="zh-CN" w:bidi="ar"/>
              </w:rPr>
              <w:t>。</w:t>
            </w:r>
          </w:p>
        </w:tc>
        <w:tc>
          <w:tcPr>
            <w:tcW w:w="403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查看资料</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开展健康家庭评选活动的通知各镇街健康家庭申报表</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各镇街开展健康教育活动记录</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区妇联健康教育活动记录</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环翠区健康家庭汇总表</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lang w:bidi="ar"/>
              </w:rPr>
              <w:t>表彰健康家庭的决定</w:t>
            </w:r>
          </w:p>
        </w:tc>
        <w:tc>
          <w:tcPr>
            <w:tcW w:w="159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r>
              <w:rPr>
                <w:rFonts w:ascii="Times New Roman" w:hAnsi="Times New Roman" w:eastAsia="宋体" w:cs="宋体"/>
                <w:color w:val="000000"/>
                <w:kern w:val="0"/>
                <w:sz w:val="18"/>
                <w:szCs w:val="18"/>
                <w:lang w:bidi="ar"/>
              </w:rPr>
              <w:t>10</w:t>
            </w:r>
            <w:r>
              <w:rPr>
                <w:rFonts w:hint="eastAsia" w:ascii="Times New Roman" w:hAnsi="Times New Roman" w:eastAsia="宋体" w:cs="宋体"/>
                <w:color w:val="000000"/>
                <w:kern w:val="0"/>
                <w:sz w:val="18"/>
                <w:szCs w:val="18"/>
                <w:lang w:val="en-US" w:eastAsia="zh-CN" w:bidi="ar"/>
              </w:rPr>
              <w:t>0</w:t>
            </w:r>
          </w:p>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p>
        </w:tc>
        <w:tc>
          <w:tcPr>
            <w:tcW w:w="139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ascii="Times New Roman" w:hAnsi="Times New Roman" w:eastAsia="宋体" w:cs="宋体"/>
                <w:color w:val="000000"/>
                <w:kern w:val="0"/>
                <w:sz w:val="18"/>
                <w:szCs w:val="18"/>
              </w:rPr>
            </w:pPr>
          </w:p>
        </w:tc>
      </w:tr>
    </w:tbl>
    <w:p>
      <w:pPr>
        <w:rPr>
          <w:rFonts w:ascii="Times New Roman" w:hAnsi="Times New Roman" w:eastAsia="黑体"/>
          <w:b/>
          <w:u w:val="single"/>
        </w:rPr>
      </w:pPr>
    </w:p>
    <w:p>
      <w:pPr>
        <w:ind w:left="720"/>
        <w:rPr>
          <w:rFonts w:ascii="Times New Roman" w:hAnsi="Times New Roman"/>
        </w:rPr>
      </w:pPr>
    </w:p>
    <w:p>
      <w:pPr>
        <w:ind w:left="720"/>
        <w:rPr>
          <w:rFonts w:ascii="Times New Roman" w:hAnsi="Times New Roma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Times New Roman" w:hAnsi="Times New Roman" w:eastAsia="文星简小标宋"/>
          <w:sz w:val="44"/>
          <w:szCs w:val="44"/>
          <w:lang w:eastAsia="zh-CN"/>
        </w:rPr>
      </w:pPr>
      <w:r>
        <w:rPr>
          <w:rFonts w:hint="eastAsia" w:ascii="Times New Roman" w:hAnsi="Times New Roman" w:eastAsia="文星简小标宋"/>
          <w:sz w:val="44"/>
          <w:szCs w:val="44"/>
        </w:rPr>
        <w:t>9.健康市场（商场、超市）评估表</w:t>
      </w:r>
      <w:r>
        <w:rPr>
          <w:rFonts w:hint="eastAsia" w:ascii="Times New Roman" w:hAnsi="Times New Roman" w:eastAsia="文星简小标宋"/>
          <w:sz w:val="44"/>
          <w:szCs w:val="44"/>
          <w:lang w:eastAsia="zh-CN"/>
        </w:rPr>
        <w:t>（责任单位：区商务局）</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Times New Roman" w:hAnsi="Times New Roman" w:eastAsia="文星简小标宋"/>
          <w:sz w:val="44"/>
          <w:szCs w:val="44"/>
        </w:rPr>
      </w:pPr>
    </w:p>
    <w:tbl>
      <w:tblPr>
        <w:tblStyle w:val="13"/>
        <w:tblW w:w="13526" w:type="dxa"/>
        <w:tblInd w:w="-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4"/>
        <w:gridCol w:w="7849"/>
        <w:gridCol w:w="1852"/>
        <w:gridCol w:w="1325"/>
        <w:gridCol w:w="11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1394"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指标</w:t>
            </w:r>
            <w:r>
              <w:rPr>
                <w:rFonts w:hint="eastAsia" w:ascii="Times New Roman" w:hAnsi="Times New Roman" w:eastAsia="黑体" w:cs="黑体"/>
                <w:b w:val="0"/>
                <w:bCs w:val="0"/>
                <w:color w:val="000000" w:themeColor="text1"/>
                <w:kern w:val="0"/>
                <w:sz w:val="18"/>
                <w:szCs w:val="18"/>
                <w14:textFill>
                  <w14:solidFill>
                    <w14:schemeClr w14:val="tx1"/>
                  </w14:solidFill>
                </w14:textFill>
              </w:rPr>
              <w:t>内容</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hint="eastAsia" w:ascii="Times New Roman" w:hAnsi="Times New Roman" w:eastAsia="黑体" w:cs="黑体"/>
                <w:b w:val="0"/>
                <w:bCs w:val="0"/>
                <w:color w:val="000000" w:themeColor="text1"/>
                <w:kern w:val="0"/>
                <w:sz w:val="18"/>
                <w:szCs w:val="18"/>
                <w14:textFill>
                  <w14:solidFill>
                    <w14:schemeClr w14:val="tx1"/>
                  </w14:solidFill>
                </w14:textFill>
              </w:rPr>
              <w:t>评估方法</w:t>
            </w:r>
          </w:p>
        </w:tc>
        <w:tc>
          <w:tcPr>
            <w:tcW w:w="1325"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分值</w:t>
            </w:r>
          </w:p>
        </w:tc>
        <w:tc>
          <w:tcPr>
            <w:tcW w:w="1106" w:type="dxa"/>
            <w:vAlign w:val="center"/>
          </w:tcPr>
          <w:p>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ascii="Times New Roman" w:hAnsi="Times New Roman" w:eastAsia="黑体" w:cs="黑体"/>
                <w:b w:val="0"/>
                <w:bCs w:val="0"/>
                <w:color w:val="000000" w:themeColor="text1"/>
                <w:kern w:val="0"/>
                <w:sz w:val="18"/>
                <w:szCs w:val="18"/>
                <w14:textFill>
                  <w14:solidFill>
                    <w14:schemeClr w14:val="tx1"/>
                  </w14:solidFill>
                </w14:textFill>
              </w:rPr>
            </w:pPr>
            <w:r>
              <w:rPr>
                <w:rFonts w:ascii="Times New Roman" w:hAnsi="Times New Roman" w:eastAsia="黑体" w:cs="黑体"/>
                <w:b w:val="0"/>
                <w:bCs w:val="0"/>
                <w:color w:val="000000" w:themeColor="text1"/>
                <w:kern w:val="0"/>
                <w:sz w:val="18"/>
                <w:szCs w:val="18"/>
                <w14:textFill>
                  <w14:solidFill>
                    <w14:schemeClr w14:val="tx1"/>
                  </w14:solidFill>
                </w14:textFill>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restart"/>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环境建设</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kern w:val="0"/>
                <w:sz w:val="18"/>
                <w:szCs w:val="18"/>
                <w:lang w:eastAsia="zh-CN"/>
              </w:rPr>
            </w:pPr>
            <w:r>
              <w:rPr>
                <w:rFonts w:hint="eastAsia" w:ascii="Times New Roman" w:hAnsi="Times New Roman" w:eastAsia="宋体" w:cs="宋体"/>
                <w:kern w:val="0"/>
                <w:sz w:val="18"/>
                <w:szCs w:val="18"/>
                <w:lang w:eastAsia="zh-CN"/>
              </w:rPr>
              <w:t>（</w:t>
            </w:r>
            <w:r>
              <w:rPr>
                <w:rFonts w:hint="eastAsia" w:ascii="Times New Roman" w:hAnsi="Times New Roman" w:eastAsia="宋体" w:cs="宋体"/>
                <w:kern w:val="0"/>
                <w:sz w:val="18"/>
                <w:szCs w:val="18"/>
                <w:lang w:val="en-US" w:eastAsia="zh-CN"/>
              </w:rPr>
              <w:t>60</w:t>
            </w:r>
            <w:r>
              <w:rPr>
                <w:rFonts w:hint="eastAsia" w:ascii="Times New Roman" w:hAnsi="Times New Roman" w:eastAsia="宋体" w:cs="宋体"/>
                <w:kern w:val="0"/>
                <w:sz w:val="18"/>
                <w:szCs w:val="18"/>
                <w:lang w:eastAsia="zh-CN"/>
              </w:rPr>
              <w:t>）</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加强基础设施建设，为消费者提供安全、健康的购物环境</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基础设施完善，购物环境整洁</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hint="eastAsia"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hint="eastAsia" w:ascii="Times New Roman" w:hAnsi="Times New Roman" w:eastAsia="宋体" w:cs="宋体"/>
                <w:color w:val="000000"/>
                <w:kern w:val="0"/>
                <w:sz w:val="18"/>
                <w:szCs w:val="18"/>
                <w:lang w:eastAsia="zh-CN"/>
              </w:rPr>
            </w:pPr>
            <w:r>
              <w:rPr>
                <w:rFonts w:hint="eastAsia" w:ascii="Times New Roman" w:hAnsi="Times New Roman" w:eastAsia="宋体" w:cs="宋体"/>
                <w:color w:val="000000"/>
                <w:kern w:val="0"/>
                <w:sz w:val="18"/>
                <w:szCs w:val="18"/>
              </w:rPr>
              <w:t>设置健康教育宣传栏并每月更换1次</w:t>
            </w:r>
            <w:r>
              <w:rPr>
                <w:rFonts w:hint="eastAsia" w:ascii="Times New Roman" w:hAnsi="Times New Roman" w:eastAsia="宋体" w:cs="宋体"/>
                <w:color w:val="000000"/>
                <w:kern w:val="0"/>
                <w:sz w:val="18"/>
                <w:szCs w:val="18"/>
                <w:lang w:eastAsia="zh-CN"/>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提供血压、体重计、腰围尺等自助检测设施和健康科普材料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自主检测设施完善，有健康教育宣传材料</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20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结合特定节点，配合有关部门开展公益性健康科普宣传活动</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结合宣传日，开展宣传活动</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362" w:firstLineChars="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符合食品安全标准，包装食品营养标签标识规范</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Align w:val="center"/>
          </w:tcPr>
          <w:p>
            <w:pPr>
              <w:keepNext w:val="0"/>
              <w:keepLines w:val="0"/>
              <w:pageBreakBefore w:val="0"/>
              <w:kinsoku/>
              <w:wordWrap/>
              <w:overflowPunct/>
              <w:topLinePunct w:val="0"/>
              <w:autoSpaceDE/>
              <w:autoSpaceDN/>
              <w:bidi w:val="0"/>
              <w:adjustRightInd/>
              <w:snapToGrid/>
              <w:spacing w:line="360" w:lineRule="exact"/>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制度保障</w:t>
            </w:r>
          </w:p>
          <w:p>
            <w:pPr>
              <w:keepNext w:val="0"/>
              <w:keepLines w:val="0"/>
              <w:pageBreakBefore w:val="0"/>
              <w:kinsoku/>
              <w:wordWrap/>
              <w:overflowPunct/>
              <w:topLinePunct w:val="0"/>
              <w:autoSpaceDE/>
              <w:autoSpaceDN/>
              <w:bidi w:val="0"/>
              <w:adjustRightInd/>
              <w:snapToGrid/>
              <w:spacing w:line="360" w:lineRule="exact"/>
              <w:jc w:val="center"/>
              <w:textAlignment w:val="auto"/>
              <w:rPr>
                <w:rFonts w:hint="eastAsia" w:ascii="Times New Roman" w:hAnsi="Times New Roman" w:eastAsia="宋体" w:cs="宋体"/>
                <w:kern w:val="0"/>
                <w:sz w:val="18"/>
                <w:szCs w:val="18"/>
                <w:lang w:eastAsia="zh-CN"/>
              </w:rPr>
            </w:pPr>
            <w:r>
              <w:rPr>
                <w:rFonts w:hint="eastAsia" w:ascii="Times New Roman" w:hAnsi="Times New Roman" w:eastAsia="宋体" w:cs="宋体"/>
                <w:kern w:val="0"/>
                <w:sz w:val="18"/>
                <w:szCs w:val="18"/>
                <w:lang w:eastAsia="zh-CN"/>
              </w:rPr>
              <w:t>（</w:t>
            </w:r>
            <w:r>
              <w:rPr>
                <w:rFonts w:hint="eastAsia" w:ascii="Times New Roman" w:hAnsi="Times New Roman" w:eastAsia="宋体" w:cs="宋体"/>
                <w:kern w:val="0"/>
                <w:sz w:val="18"/>
                <w:szCs w:val="18"/>
                <w:lang w:val="en-US" w:eastAsia="zh-CN"/>
              </w:rPr>
              <w:t>10</w:t>
            </w:r>
            <w:r>
              <w:rPr>
                <w:rFonts w:hint="eastAsia" w:ascii="Times New Roman" w:hAnsi="Times New Roman" w:eastAsia="宋体" w:cs="宋体"/>
                <w:kern w:val="0"/>
                <w:sz w:val="18"/>
                <w:szCs w:val="18"/>
                <w:lang w:eastAsia="zh-CN"/>
              </w:rPr>
              <w:t>）</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建立蔬菜检测制度，并提供相应配套设施，并对入市蔬菜、水果的农药残留含量进行检测</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蔬菜检测制度，有文件支持，提供检测记录和报告</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restart"/>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商品供应</w:t>
            </w:r>
          </w:p>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hint="eastAsia" w:ascii="Times New Roman" w:hAnsi="Times New Roman" w:eastAsia="宋体" w:cs="宋体"/>
                <w:kern w:val="0"/>
                <w:sz w:val="18"/>
                <w:szCs w:val="18"/>
                <w:lang w:eastAsia="zh-CN"/>
              </w:rPr>
            </w:pPr>
            <w:r>
              <w:rPr>
                <w:rFonts w:hint="eastAsia" w:ascii="Times New Roman" w:hAnsi="Times New Roman" w:eastAsia="宋体" w:cs="宋体"/>
                <w:kern w:val="0"/>
                <w:sz w:val="18"/>
                <w:szCs w:val="18"/>
                <w:lang w:eastAsia="zh-CN"/>
              </w:rPr>
              <w:t>（</w:t>
            </w:r>
            <w:r>
              <w:rPr>
                <w:rFonts w:hint="eastAsia" w:ascii="Times New Roman" w:hAnsi="Times New Roman" w:eastAsia="宋体" w:cs="宋体"/>
                <w:kern w:val="0"/>
                <w:sz w:val="18"/>
                <w:szCs w:val="18"/>
                <w:lang w:val="en-US" w:eastAsia="zh-CN"/>
              </w:rPr>
              <w:t>30</w:t>
            </w:r>
            <w:r>
              <w:rPr>
                <w:rFonts w:hint="eastAsia" w:ascii="Times New Roman" w:hAnsi="Times New Roman" w:eastAsia="宋体" w:cs="宋体"/>
                <w:kern w:val="0"/>
                <w:sz w:val="18"/>
                <w:szCs w:val="18"/>
                <w:lang w:eastAsia="zh-CN"/>
              </w:rPr>
              <w:t>）</w:t>
            </w: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优先供应低盐、低脂、低热量食品和优质蛋白质、水果蔬菜等对健康有益的食品</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健康有益食品列表</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设置低盐、低脂、低糖食品标签标示，供应或展示控盐勺、控油壶等辅助工具</w:t>
            </w:r>
            <w:r>
              <w:rPr>
                <w:rFonts w:ascii="Times New Roman" w:hAnsi="Times New Roman" w:eastAsia="宋体" w:cs="宋体"/>
                <w:color w:val="000000"/>
                <w:kern w:val="0"/>
                <w:sz w:val="18"/>
                <w:szCs w:val="18"/>
              </w:rPr>
              <w:t>（</w:t>
            </w:r>
            <w:r>
              <w:rPr>
                <w:rFonts w:hint="eastAsia" w:ascii="Times New Roman" w:hAnsi="Times New Roman" w:eastAsia="宋体" w:cs="宋体"/>
                <w:color w:val="000000"/>
                <w:kern w:val="0"/>
                <w:sz w:val="18"/>
                <w:szCs w:val="18"/>
              </w:rPr>
              <w:t>标签标识辅助工具照片</w:t>
            </w:r>
            <w:r>
              <w:rPr>
                <w:rFonts w:ascii="Times New Roman" w:hAnsi="Times New Roman" w:eastAsia="宋体" w:cs="宋体"/>
                <w:color w:val="000000"/>
                <w:kern w:val="0"/>
                <w:sz w:val="18"/>
                <w:szCs w:val="18"/>
              </w:rPr>
              <w:t>）。</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394" w:type="dxa"/>
            <w:vMerge w:val="continue"/>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c>
          <w:tcPr>
            <w:tcW w:w="7849"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left"/>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在现制现售食品中推广低盐、低油、低（无）糖加工烹饪方法，满足消费者多样化食物需求。</w:t>
            </w:r>
          </w:p>
        </w:tc>
        <w:tc>
          <w:tcPr>
            <w:tcW w:w="1852" w:type="dxa"/>
            <w:vAlign w:val="center"/>
          </w:tcPr>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查看资料</w:t>
            </w:r>
          </w:p>
          <w:p>
            <w:pPr>
              <w:keepNext w:val="0"/>
              <w:keepLines w:val="0"/>
              <w:pageBreakBefore w:val="0"/>
              <w:widowControl/>
              <w:kinsoku/>
              <w:wordWrap/>
              <w:overflowPunct/>
              <w:topLinePunct w:val="0"/>
              <w:autoSpaceDE/>
              <w:autoSpaceDN/>
              <w:bidi w:val="0"/>
              <w:adjustRightInd/>
              <w:snapToGrid/>
              <w:spacing w:line="360" w:lineRule="exact"/>
              <w:ind w:firstLine="200"/>
              <w:jc w:val="center"/>
              <w:textAlignment w:val="auto"/>
              <w:rPr>
                <w:rFonts w:ascii="Times New Roman" w:hAnsi="Times New Roman" w:eastAsia="宋体" w:cs="宋体"/>
                <w:color w:val="000000"/>
                <w:kern w:val="0"/>
                <w:sz w:val="18"/>
                <w:szCs w:val="18"/>
              </w:rPr>
            </w:pPr>
            <w:r>
              <w:rPr>
                <w:rFonts w:hint="eastAsia" w:ascii="Times New Roman" w:hAnsi="Times New Roman" w:eastAsia="宋体" w:cs="宋体"/>
                <w:color w:val="000000"/>
                <w:kern w:val="0"/>
                <w:sz w:val="18"/>
                <w:szCs w:val="18"/>
              </w:rPr>
              <w:t>现场查看</w:t>
            </w:r>
          </w:p>
        </w:tc>
        <w:tc>
          <w:tcPr>
            <w:tcW w:w="1325"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r>
              <w:rPr>
                <w:rFonts w:ascii="Times New Roman" w:hAnsi="Times New Roman" w:eastAsia="宋体" w:cs="宋体"/>
                <w:kern w:val="0"/>
                <w:sz w:val="18"/>
                <w:szCs w:val="18"/>
              </w:rPr>
              <w:t>10</w:t>
            </w:r>
          </w:p>
        </w:tc>
        <w:tc>
          <w:tcPr>
            <w:tcW w:w="1106" w:type="dxa"/>
            <w:vAlign w:val="center"/>
          </w:tcPr>
          <w:p>
            <w:pPr>
              <w:keepNext w:val="0"/>
              <w:keepLines w:val="0"/>
              <w:pageBreakBefore w:val="0"/>
              <w:kinsoku/>
              <w:wordWrap/>
              <w:overflowPunct/>
              <w:topLinePunct w:val="0"/>
              <w:autoSpaceDE/>
              <w:autoSpaceDN/>
              <w:bidi w:val="0"/>
              <w:adjustRightInd/>
              <w:snapToGrid/>
              <w:spacing w:line="360" w:lineRule="exact"/>
              <w:ind w:left="-30"/>
              <w:jc w:val="center"/>
              <w:textAlignment w:val="auto"/>
              <w:rPr>
                <w:rFonts w:ascii="Times New Roman" w:hAnsi="Times New Roman" w:eastAsia="宋体" w:cs="宋体"/>
                <w:kern w:val="0"/>
                <w:sz w:val="18"/>
                <w:szCs w:val="18"/>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center"/>
        <w:textAlignment w:val="auto"/>
        <w:rPr>
          <w:rFonts w:hint="eastAsia" w:ascii="Times New Roman" w:hAnsi="Times New Roman" w:eastAsia="文星简小标宋" w:cstheme="majorEastAsia"/>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center"/>
        <w:textAlignment w:val="auto"/>
        <w:rPr>
          <w:rFonts w:hint="eastAsia" w:ascii="Times New Roman" w:hAnsi="Times New Roman" w:eastAsia="文星简小标宋" w:cstheme="majorEastAsia"/>
          <w:sz w:val="44"/>
          <w:szCs w:val="44"/>
          <w:lang w:eastAsia="zh-CN"/>
        </w:rPr>
      </w:pPr>
      <w:r>
        <w:rPr>
          <w:rFonts w:hint="eastAsia" w:ascii="Times New Roman" w:hAnsi="Times New Roman" w:eastAsia="文星简小标宋" w:cstheme="majorEastAsia"/>
          <w:sz w:val="44"/>
          <w:szCs w:val="44"/>
          <w:lang w:val="en-US" w:eastAsia="zh-CN"/>
        </w:rPr>
        <w:t>10.</w:t>
      </w:r>
      <w:r>
        <w:rPr>
          <w:rFonts w:hint="eastAsia" w:ascii="Times New Roman" w:hAnsi="Times New Roman" w:eastAsia="文星简小标宋" w:cstheme="majorEastAsia"/>
          <w:sz w:val="44"/>
          <w:szCs w:val="44"/>
        </w:rPr>
        <w:t>健康餐厅（食堂）考核评分表</w:t>
      </w:r>
      <w:r>
        <w:rPr>
          <w:rFonts w:hint="eastAsia" w:ascii="Times New Roman" w:hAnsi="Times New Roman" w:eastAsia="文星简小标宋" w:cstheme="majorEastAsia"/>
          <w:sz w:val="44"/>
          <w:szCs w:val="44"/>
          <w:lang w:eastAsia="zh-CN"/>
        </w:rPr>
        <w:t>（责任单位：区市场监督管理局）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both"/>
        <w:textAlignment w:val="auto"/>
        <w:rPr>
          <w:rFonts w:hint="eastAsia" w:ascii="Times New Roman" w:hAnsi="Times New Roman" w:eastAsia="文星简小标宋" w:cstheme="majorEastAsia"/>
          <w:sz w:val="44"/>
          <w:szCs w:val="44"/>
        </w:rPr>
      </w:pPr>
    </w:p>
    <w:tbl>
      <w:tblPr>
        <w:tblStyle w:val="14"/>
        <w:tblW w:w="1349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1"/>
        <w:gridCol w:w="7873"/>
        <w:gridCol w:w="2146"/>
        <w:gridCol w:w="1199"/>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0" w:hRule="atLeast"/>
        </w:trPr>
        <w:tc>
          <w:tcPr>
            <w:tcW w:w="1331"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指标</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指标内容</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评估方法</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分值</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黑体" w:cs="黑体"/>
                <w:b w:val="0"/>
                <w:bCs/>
                <w:sz w:val="18"/>
                <w:szCs w:val="18"/>
              </w:rPr>
            </w:pPr>
            <w:r>
              <w:rPr>
                <w:rFonts w:ascii="Times New Roman" w:hAnsi="Times New Roman" w:eastAsia="黑体" w:cs="黑体"/>
                <w:b w:val="0"/>
                <w:bCs/>
                <w:sz w:val="18"/>
                <w:szCs w:val="18"/>
                <w:lang w:bidi="ar"/>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基本条件</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（30分）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餐厅要取得《餐饮服务许可证》，并且达到食品安全监督量化分级管理等级B级以上，有效执行《餐饮服务食品安全监督管理办法》的管理规定（餐厅许可证照片、食品安全监管信息公示照片）。</w:t>
            </w:r>
          </w:p>
        </w:tc>
        <w:tc>
          <w:tcPr>
            <w:tcW w:w="2146"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未达到基本条件任意一条的不予验收</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before="100" w:beforeAutospacing="0" w:after="100" w:afterAutospacing="0"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所有直接接触食品的人员（包括厨师和服务员）须持有有效健康证明（食堂工作人员证件：培训合格证明、健康证明、食品安全管理员培训合格证）。</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在过去2年内，不曾被工商局或卫生监督所处罚过（开具未被处罚的证明并加盖公章）。</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331"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人员要求</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（20分）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hint="eastAsia" w:ascii="Times New Roman" w:hAnsi="Times New Roman" w:eastAsia="宋体" w:cs="宋体"/>
                <w:sz w:val="18"/>
                <w:szCs w:val="18"/>
                <w:lang w:eastAsia="zh-CN"/>
              </w:rPr>
            </w:pPr>
            <w:r>
              <w:rPr>
                <w:rFonts w:hint="eastAsia" w:ascii="Times New Roman" w:hAnsi="Times New Roman" w:eastAsia="宋体" w:cs="宋体"/>
                <w:sz w:val="18"/>
                <w:szCs w:val="18"/>
              </w:rPr>
              <w:t>餐厅有1~2名专职或兼职营养配餐人员（营养配餐人员名单）</w:t>
            </w:r>
            <w:r>
              <w:rPr>
                <w:rFonts w:hint="eastAsia" w:ascii="Times New Roman" w:hAnsi="Times New Roman" w:eastAsia="宋体" w:cs="宋体"/>
                <w:sz w:val="18"/>
                <w:szCs w:val="18"/>
                <w:lang w:eastAsia="zh-CN"/>
              </w:rPr>
              <w:t>。</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现场询问</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管理员、厨师、服务人员每半年累计接受2小时以上合理膳食知识培训。新进人员须先接受合理膳食知识培训，考核合格后方可上岗（膳食知识培训：现场照片、记录。新进人员培训：现场照片、记录、考核方案）。</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现场查看，查看资料</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厨师应掌握制作低盐少油菜肴技能，能够制作低盐少油菜品至少5种。</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询问厨师</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9"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餐厅店至少有1名健康生活方式指导员，每月为餐厅服务人员开展健康生活方式宣传与指导活动至少1次（健康生活方式指导员名单每月健康生活方式宣传与指导活动：现场照片、活动记录）。</w:t>
            </w:r>
          </w:p>
        </w:tc>
        <w:tc>
          <w:tcPr>
            <w:tcW w:w="2146"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现场询问，查看资料</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trPr>
        <w:tc>
          <w:tcPr>
            <w:tcW w:w="133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餐厅环境</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（25分）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环境整洁，无蚊蝇，室内外无污染物（餐厅照片）。</w:t>
            </w:r>
          </w:p>
        </w:tc>
        <w:tc>
          <w:tcPr>
            <w:tcW w:w="214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现场查看</w:t>
            </w: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餐厅为无烟餐厅（餐厅无烟警示牌照片）。</w:t>
            </w:r>
          </w:p>
        </w:tc>
        <w:tc>
          <w:tcPr>
            <w:tcW w:w="214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利用张贴画、板报、电子屏幕、桌布、餐具包装、订餐卡等宣传形式开展健康生活方式知识宣传（张贴画、板报、电子屏幕、桌布、餐具包装、订餐卡等宣传形式开展健康生活方式知识照片）。</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10</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hint="eastAsia" w:ascii="Times New Roman" w:hAnsi="Times New Roman" w:eastAsia="宋体" w:cs="宋体"/>
                <w:sz w:val="18"/>
                <w:szCs w:val="18"/>
                <w:lang w:eastAsia="zh-CN"/>
              </w:rPr>
            </w:pPr>
            <w:r>
              <w:rPr>
                <w:rFonts w:hint="eastAsia" w:ascii="Times New Roman" w:hAnsi="Times New Roman" w:eastAsia="宋体" w:cs="宋体"/>
                <w:sz w:val="18"/>
                <w:szCs w:val="18"/>
              </w:rPr>
              <w:t>餐厅有可自由取阅的健康生活方式宣传资料（现场放置健康生活方式宣传资料）</w:t>
            </w:r>
            <w:r>
              <w:rPr>
                <w:rFonts w:hint="eastAsia" w:ascii="Times New Roman" w:hAnsi="Times New Roman" w:eastAsia="宋体" w:cs="宋体"/>
                <w:sz w:val="18"/>
                <w:szCs w:val="18"/>
                <w:lang w:eastAsia="zh-CN"/>
              </w:rPr>
              <w:t>。</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hint="eastAsia" w:ascii="Times New Roman" w:hAnsi="Times New Roman" w:eastAsia="宋体" w:cs="宋体"/>
                <w:sz w:val="18"/>
                <w:szCs w:val="18"/>
                <w:lang w:bidi="ar"/>
              </w:rPr>
            </w:pPr>
            <w:r>
              <w:rPr>
                <w:rFonts w:hint="eastAsia" w:ascii="Times New Roman" w:hAnsi="Times New Roman" w:eastAsia="宋体" w:cs="宋体"/>
                <w:sz w:val="18"/>
                <w:szCs w:val="18"/>
                <w:lang w:bidi="ar"/>
              </w:rPr>
              <w:t>点餐服务</w:t>
            </w:r>
          </w:p>
          <w:p>
            <w:pPr>
              <w:autoSpaceDE w:val="0"/>
              <w:spacing w:line="240" w:lineRule="exact"/>
              <w:jc w:val="center"/>
              <w:rPr>
                <w:rFonts w:ascii="Times New Roman" w:hAnsi="Times New Roman" w:eastAsia="宋体" w:cs="Times New Roman"/>
                <w:sz w:val="18"/>
                <w:szCs w:val="18"/>
              </w:rPr>
            </w:pPr>
            <w:r>
              <w:rPr>
                <w:rFonts w:hint="eastAsia" w:ascii="Times New Roman" w:hAnsi="Times New Roman" w:eastAsia="宋体" w:cs="宋体"/>
                <w:sz w:val="18"/>
                <w:szCs w:val="18"/>
                <w:lang w:bidi="ar"/>
              </w:rPr>
              <w:t>（25分）</w:t>
            </w: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hint="eastAsia" w:ascii="Times New Roman" w:hAnsi="Times New Roman" w:eastAsia="宋体" w:cs="宋体"/>
                <w:sz w:val="18"/>
                <w:szCs w:val="18"/>
                <w:lang w:eastAsia="zh-CN"/>
              </w:rPr>
            </w:pPr>
            <w:r>
              <w:rPr>
                <w:rFonts w:hint="eastAsia" w:ascii="Times New Roman" w:hAnsi="Times New Roman" w:eastAsia="宋体" w:cs="宋体"/>
                <w:sz w:val="18"/>
                <w:szCs w:val="18"/>
              </w:rPr>
              <w:t>菜谱标示菜谱能量，有条件的餐厅可标注各类营养成分（菜单：标注菜谱能量、营养成分）</w:t>
            </w:r>
            <w:r>
              <w:rPr>
                <w:rFonts w:hint="eastAsia" w:ascii="Times New Roman" w:hAnsi="Times New Roman" w:eastAsia="宋体" w:cs="宋体"/>
                <w:sz w:val="18"/>
                <w:szCs w:val="18"/>
                <w:lang w:eastAsia="zh-CN"/>
              </w:rPr>
              <w:t>。</w:t>
            </w:r>
          </w:p>
        </w:tc>
        <w:tc>
          <w:tcPr>
            <w:tcW w:w="2146" w:type="dxa"/>
            <w:vMerge w:val="restart"/>
            <w:tcBorders>
              <w:top w:val="nil"/>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hint="eastAsia" w:ascii="Times New Roman" w:hAnsi="Times New Roman" w:eastAsia="宋体" w:cs="宋体"/>
                <w:sz w:val="18"/>
                <w:szCs w:val="18"/>
                <w:lang w:val="en-US" w:eastAsia="zh-CN"/>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现场查看，查看资料</w:t>
            </w: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宋体"/>
                <w:sz w:val="18"/>
                <w:szCs w:val="18"/>
              </w:rPr>
            </w:pPr>
          </w:p>
          <w:p>
            <w:pPr>
              <w:autoSpaceDE w:val="0"/>
              <w:spacing w:line="240" w:lineRule="exact"/>
              <w:jc w:val="center"/>
              <w:rPr>
                <w:rFonts w:ascii="Times New Roman" w:hAnsi="Times New Roman" w:eastAsia="宋体" w:cs="Times New Roman"/>
                <w:sz w:val="18"/>
                <w:szCs w:val="18"/>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餐厅服务人员能主动介绍菜品营养特点，引导消费者总量控制，多吃蔬菜，适量饮酒，少吃油脂含量高的食物。</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把新鲜水果、奶类和饮用水作为餐厅供应的一部分，菜单上有低盐少油菜品（交每周菜单、菜单里应包括水果、奶类、水、并标识出低盐低油类菜品）。</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2"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餐厅可以根据顾客的需求改变菜肴的含盐量和含油量，在餐厅或菜单标明提供此项服务，并且服务人员在点餐时向顾客说明（菜单标识出可根据客户需求更改的字样）。</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0" w:hRule="atLeast"/>
        </w:trPr>
        <w:tc>
          <w:tcPr>
            <w:tcW w:w="1331"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7873"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left"/>
              <w:rPr>
                <w:rFonts w:ascii="Times New Roman" w:hAnsi="Times New Roman" w:eastAsia="宋体" w:cs="宋体"/>
                <w:sz w:val="18"/>
                <w:szCs w:val="18"/>
              </w:rPr>
            </w:pPr>
            <w:r>
              <w:rPr>
                <w:rFonts w:hint="eastAsia" w:ascii="Times New Roman" w:hAnsi="Times New Roman" w:eastAsia="宋体" w:cs="宋体"/>
                <w:sz w:val="18"/>
                <w:szCs w:val="18"/>
              </w:rPr>
              <w:t>餐厅主动销售小份或半份菜品、经济型套餐等，并提供免费剩菜打包服务（菜单标识出可有小份或半份菜品、经济型套餐等，并提供免费剩菜打包服务）。</w:t>
            </w:r>
          </w:p>
        </w:tc>
        <w:tc>
          <w:tcPr>
            <w:tcW w:w="2146"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Times New Roman" w:hAnsi="Times New Roman" w:cs="Times New Roman"/>
                <w:sz w:val="20"/>
                <w:szCs w:val="20"/>
              </w:rPr>
            </w:pPr>
          </w:p>
        </w:tc>
        <w:tc>
          <w:tcPr>
            <w:tcW w:w="1199" w:type="dxa"/>
            <w:tcBorders>
              <w:top w:val="single" w:color="auto" w:sz="4" w:space="0"/>
              <w:left w:val="single" w:color="auto" w:sz="4" w:space="0"/>
              <w:bottom w:val="single" w:color="auto" w:sz="4" w:space="0"/>
              <w:right w:val="single" w:color="auto" w:sz="4" w:space="0"/>
            </w:tcBorders>
            <w:shd w:val="clear" w:color="auto" w:fill="auto"/>
            <w:vAlign w:val="center"/>
          </w:tcPr>
          <w:p>
            <w:pPr>
              <w:autoSpaceDE w:val="0"/>
              <w:spacing w:line="240" w:lineRule="exact"/>
              <w:jc w:val="center"/>
              <w:rPr>
                <w:rFonts w:ascii="Times New Roman" w:hAnsi="Times New Roman" w:eastAsia="宋体" w:cs="宋体"/>
                <w:sz w:val="18"/>
                <w:szCs w:val="18"/>
              </w:rPr>
            </w:pPr>
            <w:r>
              <w:rPr>
                <w:rFonts w:hint="eastAsia" w:ascii="Times New Roman" w:hAnsi="Times New Roman" w:eastAsia="宋体" w:cs="宋体"/>
                <w:sz w:val="18"/>
                <w:szCs w:val="18"/>
                <w:lang w:bidi="ar"/>
              </w:rPr>
              <w:t>5</w:t>
            </w:r>
          </w:p>
        </w:tc>
        <w:tc>
          <w:tcPr>
            <w:tcW w:w="945" w:type="dxa"/>
            <w:tcBorders>
              <w:top w:val="single" w:color="auto" w:sz="4" w:space="0"/>
              <w:left w:val="single" w:color="auto" w:sz="4" w:space="0"/>
              <w:bottom w:val="single" w:color="auto" w:sz="4" w:space="0"/>
              <w:right w:val="single" w:color="auto" w:sz="4" w:space="0"/>
            </w:tcBorders>
            <w:shd w:val="clear" w:color="auto" w:fill="auto"/>
            <w:vAlign w:val="center"/>
          </w:tcPr>
          <w:p>
            <w:pPr>
              <w:pStyle w:val="11"/>
              <w:widowControl/>
              <w:autoSpaceDE w:val="0"/>
              <w:spacing w:line="240" w:lineRule="exact"/>
              <w:jc w:val="center"/>
              <w:rPr>
                <w:rFonts w:ascii="Times New Roman" w:hAnsi="Times New Roman" w:eastAsia="宋体" w:cs="宋体"/>
                <w:sz w:val="18"/>
                <w:szCs w:val="18"/>
              </w:rPr>
            </w:pPr>
          </w:p>
        </w:tc>
      </w:tr>
    </w:tbl>
    <w:p>
      <w:pPr>
        <w:rPr>
          <w:rFonts w:hint="eastAsia" w:ascii="Times New Roman" w:hAnsi="Times New Roman" w:eastAsiaTheme="majorEastAsia" w:cstheme="majorEastAsia"/>
          <w:szCs w:val="21"/>
          <w:lang w:eastAsia="zh-CN"/>
        </w:rPr>
        <w:sectPr>
          <w:pgSz w:w="16838" w:h="11905" w:orient="landscape"/>
          <w:pgMar w:top="1134" w:right="1417" w:bottom="1134" w:left="1417" w:header="851" w:footer="1474" w:gutter="0"/>
          <w:pgNumType w:fmt="decimal"/>
          <w:cols w:space="0" w:num="1"/>
          <w:rtlGutter w:val="0"/>
          <w:docGrid w:type="linesAndChars" w:linePitch="593" w:charSpace="394"/>
        </w:sectPr>
      </w:pPr>
    </w:p>
    <w:p>
      <w:pPr>
        <w:pStyle w:val="2"/>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（此页无正文）</w:t>
      </w: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lang w:eastAsia="zh-CN"/>
        </w:rPr>
      </w:pPr>
      <w:bookmarkStart w:id="0" w:name="_GoBack"/>
      <w:bookmarkEnd w:id="0"/>
    </w:p>
    <w:p>
      <w:pPr>
        <w:pStyle w:val="2"/>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ind w:left="0" w:leftChars="0" w:firstLine="0" w:firstLineChars="0"/>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Times New Roman" w:hAnsi="Times New Roman"/>
          <w:lang w:eastAsia="zh-CN"/>
        </w:rPr>
      </w:pPr>
    </w:p>
    <w:p>
      <w:pPr>
        <w:pStyle w:val="2"/>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ascii="Times New Roman" w:hAnsi="Times New Roman"/>
          <w:lang w:eastAsia="zh-CN"/>
        </w:rPr>
      </w:pPr>
    </w:p>
    <w:p>
      <w:pPr>
        <w:keepNext w:val="0"/>
        <w:keepLines w:val="0"/>
        <w:pageBreakBefore w:val="0"/>
        <w:widowControl w:val="0"/>
        <w:kinsoku/>
        <w:wordWrap/>
        <w:overflowPunct/>
        <w:topLinePunct w:val="0"/>
        <w:autoSpaceDE/>
        <w:autoSpaceDN/>
        <w:bidi w:val="0"/>
        <w:adjustRightInd/>
        <w:snapToGrid/>
        <w:spacing w:line="580" w:lineRule="exact"/>
        <w:ind w:right="-2" w:firstLine="213" w:firstLineChars="101"/>
        <w:jc w:val="left"/>
        <w:textAlignment w:val="auto"/>
        <w:rPr>
          <w:rFonts w:hint="eastAsia" w:ascii="Times New Roman" w:hAnsi="Times New Roman"/>
          <w:lang w:eastAsia="zh-CN"/>
        </w:rPr>
      </w:pPr>
    </w:p>
    <w:sectPr>
      <w:footerReference r:id="rId5" w:type="default"/>
      <w:pgSz w:w="11905" w:h="16838"/>
      <w:pgMar w:top="1701" w:right="1417" w:bottom="1701" w:left="1417" w:header="851" w:footer="1474" w:gutter="0"/>
      <w:pgNumType w:fmt="decimal"/>
      <w:cols w:space="0" w:num="1"/>
      <w:rtlGutter w:val="0"/>
      <w:docGrid w:type="linesAndChars" w:linePitch="593" w:charSpace="39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ngLiU_HKSCS">
    <w:altName w:val="PMingLiU-ExtB"/>
    <w:panose1 w:val="02020500000000000000"/>
    <w:charset w:val="88"/>
    <w:family w:val="roman"/>
    <w:pitch w:val="default"/>
    <w:sig w:usb0="00000000" w:usb1="00000000" w:usb2="00000016" w:usb3="00000000" w:csb0="00100001" w:csb1="00000000"/>
  </w:font>
  <w:font w:name="OIOLDC+CTBiaoSongSJ">
    <w:altName w:val="仿宋_GB2312"/>
    <w:panose1 w:val="00000000000000000000"/>
    <w:charset w:val="86"/>
    <w:family w:val="swiss"/>
    <w:pitch w:val="default"/>
    <w:sig w:usb0="00000000" w:usb1="0000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微软雅黑">
    <w:panose1 w:val="020B0503020204020204"/>
    <w:charset w:val="86"/>
    <w:family w:val="swiss"/>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pPr>
                      <w:pStyle w:val="5"/>
                      <w:ind w:left="0" w:leftChars="0" w:firstLine="0" w:firstLineChars="0"/>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0" w:leftChars="0" w:firstLine="0" w:firstLineChars="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6"/>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172A27"/>
    <w:rsid w:val="00233B68"/>
    <w:rsid w:val="003D4D11"/>
    <w:rsid w:val="003F5463"/>
    <w:rsid w:val="004F3CB4"/>
    <w:rsid w:val="004F724C"/>
    <w:rsid w:val="00577841"/>
    <w:rsid w:val="006012E4"/>
    <w:rsid w:val="00632478"/>
    <w:rsid w:val="007666C3"/>
    <w:rsid w:val="008757C1"/>
    <w:rsid w:val="00951B68"/>
    <w:rsid w:val="00A505E5"/>
    <w:rsid w:val="00AD63E7"/>
    <w:rsid w:val="00B72545"/>
    <w:rsid w:val="00B82DC9"/>
    <w:rsid w:val="00B95583"/>
    <w:rsid w:val="00CC6F58"/>
    <w:rsid w:val="00D2364F"/>
    <w:rsid w:val="00DD3B83"/>
    <w:rsid w:val="00E073A6"/>
    <w:rsid w:val="00F55187"/>
    <w:rsid w:val="022906A2"/>
    <w:rsid w:val="02413F62"/>
    <w:rsid w:val="0289047E"/>
    <w:rsid w:val="02D97794"/>
    <w:rsid w:val="03031140"/>
    <w:rsid w:val="03193871"/>
    <w:rsid w:val="036E18F9"/>
    <w:rsid w:val="03967037"/>
    <w:rsid w:val="03997930"/>
    <w:rsid w:val="03ED2496"/>
    <w:rsid w:val="042B4763"/>
    <w:rsid w:val="05777089"/>
    <w:rsid w:val="059C04D5"/>
    <w:rsid w:val="066A68EC"/>
    <w:rsid w:val="078C09CB"/>
    <w:rsid w:val="079926C3"/>
    <w:rsid w:val="08274D4F"/>
    <w:rsid w:val="083B011E"/>
    <w:rsid w:val="08B84C27"/>
    <w:rsid w:val="08C4360A"/>
    <w:rsid w:val="093D7627"/>
    <w:rsid w:val="09D36B5B"/>
    <w:rsid w:val="0A550843"/>
    <w:rsid w:val="0AB81F06"/>
    <w:rsid w:val="0AC242C6"/>
    <w:rsid w:val="0AE05CA9"/>
    <w:rsid w:val="0B0929E9"/>
    <w:rsid w:val="0B6A5BF9"/>
    <w:rsid w:val="0BBC7957"/>
    <w:rsid w:val="0CDD71F7"/>
    <w:rsid w:val="0D034501"/>
    <w:rsid w:val="0D2072F9"/>
    <w:rsid w:val="0D7F2722"/>
    <w:rsid w:val="0DBD43FB"/>
    <w:rsid w:val="0E955921"/>
    <w:rsid w:val="0F9D4B89"/>
    <w:rsid w:val="114F6231"/>
    <w:rsid w:val="11F21B77"/>
    <w:rsid w:val="12066EB8"/>
    <w:rsid w:val="12E27A7B"/>
    <w:rsid w:val="1396571C"/>
    <w:rsid w:val="139965D9"/>
    <w:rsid w:val="140B5B8E"/>
    <w:rsid w:val="14CE7BF2"/>
    <w:rsid w:val="15421BEA"/>
    <w:rsid w:val="169321C3"/>
    <w:rsid w:val="16A27AC2"/>
    <w:rsid w:val="16CD4A67"/>
    <w:rsid w:val="16F474FB"/>
    <w:rsid w:val="1711634F"/>
    <w:rsid w:val="17337DBB"/>
    <w:rsid w:val="17B33D70"/>
    <w:rsid w:val="18C7664D"/>
    <w:rsid w:val="193D1A70"/>
    <w:rsid w:val="19B845DE"/>
    <w:rsid w:val="1A00554E"/>
    <w:rsid w:val="1A9F5AEC"/>
    <w:rsid w:val="1AAB6344"/>
    <w:rsid w:val="1AB740F8"/>
    <w:rsid w:val="1AF32E2E"/>
    <w:rsid w:val="1B3E7D0A"/>
    <w:rsid w:val="1B482C39"/>
    <w:rsid w:val="1B7350F0"/>
    <w:rsid w:val="1BB67128"/>
    <w:rsid w:val="1C333A94"/>
    <w:rsid w:val="1C7E45DE"/>
    <w:rsid w:val="1D3B118D"/>
    <w:rsid w:val="1D4213BE"/>
    <w:rsid w:val="1E7441C8"/>
    <w:rsid w:val="1F1D46B8"/>
    <w:rsid w:val="1FB84926"/>
    <w:rsid w:val="210E5FEF"/>
    <w:rsid w:val="223F684C"/>
    <w:rsid w:val="229A12D7"/>
    <w:rsid w:val="22E72BEF"/>
    <w:rsid w:val="238A7A57"/>
    <w:rsid w:val="23AA02B1"/>
    <w:rsid w:val="23E7987C"/>
    <w:rsid w:val="24333BE3"/>
    <w:rsid w:val="24574F20"/>
    <w:rsid w:val="24D57D3F"/>
    <w:rsid w:val="25226E76"/>
    <w:rsid w:val="253267C5"/>
    <w:rsid w:val="257D111F"/>
    <w:rsid w:val="25F175E1"/>
    <w:rsid w:val="2675794F"/>
    <w:rsid w:val="26EE25E2"/>
    <w:rsid w:val="288434E9"/>
    <w:rsid w:val="298D65E8"/>
    <w:rsid w:val="29A9236C"/>
    <w:rsid w:val="2AD74A1D"/>
    <w:rsid w:val="2B316FFC"/>
    <w:rsid w:val="2B612BE5"/>
    <w:rsid w:val="2BAA5FEA"/>
    <w:rsid w:val="2C1D6369"/>
    <w:rsid w:val="2C2108A6"/>
    <w:rsid w:val="2C64204C"/>
    <w:rsid w:val="2CA17A1C"/>
    <w:rsid w:val="2CD71897"/>
    <w:rsid w:val="2D1D6F61"/>
    <w:rsid w:val="2D3C3206"/>
    <w:rsid w:val="2D541B80"/>
    <w:rsid w:val="2DCB2BAE"/>
    <w:rsid w:val="2E896335"/>
    <w:rsid w:val="2E9C14D0"/>
    <w:rsid w:val="2EC067D1"/>
    <w:rsid w:val="2EEE4EF1"/>
    <w:rsid w:val="2EFB2CBE"/>
    <w:rsid w:val="2FA0653C"/>
    <w:rsid w:val="312C3C16"/>
    <w:rsid w:val="31B26554"/>
    <w:rsid w:val="32E33370"/>
    <w:rsid w:val="3314276E"/>
    <w:rsid w:val="334515C0"/>
    <w:rsid w:val="33893EE8"/>
    <w:rsid w:val="33AEC8D2"/>
    <w:rsid w:val="33C7128E"/>
    <w:rsid w:val="343F46BF"/>
    <w:rsid w:val="34A428C6"/>
    <w:rsid w:val="35077895"/>
    <w:rsid w:val="354B6B44"/>
    <w:rsid w:val="356D6406"/>
    <w:rsid w:val="364137D4"/>
    <w:rsid w:val="3717254E"/>
    <w:rsid w:val="37381243"/>
    <w:rsid w:val="373C4D83"/>
    <w:rsid w:val="375861B8"/>
    <w:rsid w:val="37924EE9"/>
    <w:rsid w:val="37927B74"/>
    <w:rsid w:val="381B5827"/>
    <w:rsid w:val="385450BA"/>
    <w:rsid w:val="38F577B9"/>
    <w:rsid w:val="38FB45D2"/>
    <w:rsid w:val="39641499"/>
    <w:rsid w:val="39ED0981"/>
    <w:rsid w:val="3A3E3BE2"/>
    <w:rsid w:val="3A4A1178"/>
    <w:rsid w:val="3B667D9A"/>
    <w:rsid w:val="3B8160D1"/>
    <w:rsid w:val="3B9D615B"/>
    <w:rsid w:val="3BDF1C46"/>
    <w:rsid w:val="3C104E5C"/>
    <w:rsid w:val="3C284AD6"/>
    <w:rsid w:val="3D1C0EE3"/>
    <w:rsid w:val="3D32682C"/>
    <w:rsid w:val="3D590965"/>
    <w:rsid w:val="3DDA7EFB"/>
    <w:rsid w:val="3EA2BEA6"/>
    <w:rsid w:val="3F43395D"/>
    <w:rsid w:val="3F4F8BB2"/>
    <w:rsid w:val="3F7F93C0"/>
    <w:rsid w:val="3FF8DBFC"/>
    <w:rsid w:val="400C7DCB"/>
    <w:rsid w:val="405E0A1C"/>
    <w:rsid w:val="40FC121F"/>
    <w:rsid w:val="410D76C4"/>
    <w:rsid w:val="41177685"/>
    <w:rsid w:val="413B3EB7"/>
    <w:rsid w:val="41E80EEB"/>
    <w:rsid w:val="41F955F2"/>
    <w:rsid w:val="425E0227"/>
    <w:rsid w:val="42731488"/>
    <w:rsid w:val="43072BE0"/>
    <w:rsid w:val="439050B2"/>
    <w:rsid w:val="43BB6C18"/>
    <w:rsid w:val="43CE327F"/>
    <w:rsid w:val="44045C58"/>
    <w:rsid w:val="442C7784"/>
    <w:rsid w:val="44787C08"/>
    <w:rsid w:val="451D4D14"/>
    <w:rsid w:val="459221D4"/>
    <w:rsid w:val="45DF2BC4"/>
    <w:rsid w:val="47351E32"/>
    <w:rsid w:val="4737043E"/>
    <w:rsid w:val="477F0EF6"/>
    <w:rsid w:val="48A66C47"/>
    <w:rsid w:val="49121BEA"/>
    <w:rsid w:val="4A0803E8"/>
    <w:rsid w:val="4A6E0A90"/>
    <w:rsid w:val="4B803268"/>
    <w:rsid w:val="4B9C40E9"/>
    <w:rsid w:val="4C5E165F"/>
    <w:rsid w:val="4CD358F8"/>
    <w:rsid w:val="4CD41374"/>
    <w:rsid w:val="4E1C2208"/>
    <w:rsid w:val="4E58507B"/>
    <w:rsid w:val="4E821E26"/>
    <w:rsid w:val="505A492D"/>
    <w:rsid w:val="50F70033"/>
    <w:rsid w:val="50FC1F67"/>
    <w:rsid w:val="522F2FB9"/>
    <w:rsid w:val="52A427E2"/>
    <w:rsid w:val="52C7288B"/>
    <w:rsid w:val="53DD2EB9"/>
    <w:rsid w:val="5416418B"/>
    <w:rsid w:val="54166BB5"/>
    <w:rsid w:val="545E4250"/>
    <w:rsid w:val="54F3210E"/>
    <w:rsid w:val="55A416BE"/>
    <w:rsid w:val="55A61D12"/>
    <w:rsid w:val="55F16CD8"/>
    <w:rsid w:val="56ED4332"/>
    <w:rsid w:val="57156EB3"/>
    <w:rsid w:val="57AA7529"/>
    <w:rsid w:val="583E48B3"/>
    <w:rsid w:val="586C4150"/>
    <w:rsid w:val="58D9434C"/>
    <w:rsid w:val="596F0287"/>
    <w:rsid w:val="59D750A1"/>
    <w:rsid w:val="59EE16C8"/>
    <w:rsid w:val="5A1770F7"/>
    <w:rsid w:val="5A78654C"/>
    <w:rsid w:val="5AC02705"/>
    <w:rsid w:val="5B1A4CC2"/>
    <w:rsid w:val="5B3B1357"/>
    <w:rsid w:val="5B66703D"/>
    <w:rsid w:val="5BD02261"/>
    <w:rsid w:val="5C0B4BC1"/>
    <w:rsid w:val="5CF101B8"/>
    <w:rsid w:val="5D0E5A0C"/>
    <w:rsid w:val="5D4A39DC"/>
    <w:rsid w:val="5D573A29"/>
    <w:rsid w:val="5D7D06A3"/>
    <w:rsid w:val="5DC245A3"/>
    <w:rsid w:val="5DC472D4"/>
    <w:rsid w:val="5DEA1324"/>
    <w:rsid w:val="5E9B6246"/>
    <w:rsid w:val="5EDD629F"/>
    <w:rsid w:val="5F4F6455"/>
    <w:rsid w:val="5F7A4513"/>
    <w:rsid w:val="5F7F1523"/>
    <w:rsid w:val="5FBB005F"/>
    <w:rsid w:val="5FE37844"/>
    <w:rsid w:val="605F7014"/>
    <w:rsid w:val="60785826"/>
    <w:rsid w:val="60796BB6"/>
    <w:rsid w:val="608024D7"/>
    <w:rsid w:val="60E06F84"/>
    <w:rsid w:val="60ED0B3D"/>
    <w:rsid w:val="61276B99"/>
    <w:rsid w:val="61290528"/>
    <w:rsid w:val="617C6AB5"/>
    <w:rsid w:val="64315E00"/>
    <w:rsid w:val="645B761E"/>
    <w:rsid w:val="646648CF"/>
    <w:rsid w:val="648314A6"/>
    <w:rsid w:val="648760D1"/>
    <w:rsid w:val="652C4E61"/>
    <w:rsid w:val="65740BE9"/>
    <w:rsid w:val="660A76A1"/>
    <w:rsid w:val="66287A2C"/>
    <w:rsid w:val="667B05EC"/>
    <w:rsid w:val="668272AC"/>
    <w:rsid w:val="676C7EEF"/>
    <w:rsid w:val="677B7B7E"/>
    <w:rsid w:val="67C31210"/>
    <w:rsid w:val="67FE4A7B"/>
    <w:rsid w:val="685850C1"/>
    <w:rsid w:val="69590884"/>
    <w:rsid w:val="69D3057F"/>
    <w:rsid w:val="69EB3097"/>
    <w:rsid w:val="6A9722FA"/>
    <w:rsid w:val="6AD86129"/>
    <w:rsid w:val="6B5116CA"/>
    <w:rsid w:val="6C130903"/>
    <w:rsid w:val="6C2770A3"/>
    <w:rsid w:val="6C55711F"/>
    <w:rsid w:val="6C9C1458"/>
    <w:rsid w:val="6CC0342E"/>
    <w:rsid w:val="6CE225E8"/>
    <w:rsid w:val="6CFF5203"/>
    <w:rsid w:val="6DAE6A8D"/>
    <w:rsid w:val="6E1E77C1"/>
    <w:rsid w:val="6E7B5FB6"/>
    <w:rsid w:val="6EA1749B"/>
    <w:rsid w:val="6F5D7D06"/>
    <w:rsid w:val="6FE054DB"/>
    <w:rsid w:val="6FF46241"/>
    <w:rsid w:val="70F64F3A"/>
    <w:rsid w:val="71662239"/>
    <w:rsid w:val="72284A16"/>
    <w:rsid w:val="727644F9"/>
    <w:rsid w:val="72F050AE"/>
    <w:rsid w:val="73C70E62"/>
    <w:rsid w:val="73CD639B"/>
    <w:rsid w:val="73F749B8"/>
    <w:rsid w:val="74801D65"/>
    <w:rsid w:val="75247DE5"/>
    <w:rsid w:val="75CA4EDF"/>
    <w:rsid w:val="75D22825"/>
    <w:rsid w:val="75E06DCF"/>
    <w:rsid w:val="76377F56"/>
    <w:rsid w:val="76382839"/>
    <w:rsid w:val="76805859"/>
    <w:rsid w:val="768D7752"/>
    <w:rsid w:val="76E00AC0"/>
    <w:rsid w:val="77095839"/>
    <w:rsid w:val="77175B2A"/>
    <w:rsid w:val="771D4C1B"/>
    <w:rsid w:val="7791039B"/>
    <w:rsid w:val="784F5CA5"/>
    <w:rsid w:val="792533AB"/>
    <w:rsid w:val="795921B0"/>
    <w:rsid w:val="796D0F54"/>
    <w:rsid w:val="796E5028"/>
    <w:rsid w:val="7A893684"/>
    <w:rsid w:val="7AD47D06"/>
    <w:rsid w:val="7AD54F0A"/>
    <w:rsid w:val="7AEFEEEA"/>
    <w:rsid w:val="7B7FA688"/>
    <w:rsid w:val="7C311F0E"/>
    <w:rsid w:val="7C9A4E31"/>
    <w:rsid w:val="7CD15B69"/>
    <w:rsid w:val="7CFC4F6C"/>
    <w:rsid w:val="7CFE15DD"/>
    <w:rsid w:val="7DF0445A"/>
    <w:rsid w:val="7EBD81E3"/>
    <w:rsid w:val="7EDE1EB3"/>
    <w:rsid w:val="7F30508C"/>
    <w:rsid w:val="7FB82880"/>
    <w:rsid w:val="7FBE5377"/>
    <w:rsid w:val="A7FF5AA0"/>
    <w:rsid w:val="AFF7AD0E"/>
    <w:rsid w:val="CD579761"/>
    <w:rsid w:val="D4FA8213"/>
    <w:rsid w:val="DE7FA4CE"/>
    <w:rsid w:val="DF6F9DB4"/>
    <w:rsid w:val="DFC66FC8"/>
    <w:rsid w:val="E37D5C9C"/>
    <w:rsid w:val="E3FBCAA1"/>
    <w:rsid w:val="E5FF5D23"/>
    <w:rsid w:val="EBE7C5D0"/>
    <w:rsid w:val="EDCE8C2D"/>
    <w:rsid w:val="EEF668AF"/>
    <w:rsid w:val="EF228CDD"/>
    <w:rsid w:val="EFE7FC13"/>
    <w:rsid w:val="F6F9D727"/>
    <w:rsid w:val="FD2722FF"/>
    <w:rsid w:val="FFE4A68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8"/>
    <w:unhideWhenUsed/>
    <w:qFormat/>
    <w:uiPriority w:val="0"/>
    <w:pPr>
      <w:tabs>
        <w:tab w:val="center" w:pos="4153"/>
        <w:tab w:val="right" w:pos="8306"/>
      </w:tabs>
      <w:snapToGrid w:val="0"/>
      <w:jc w:val="left"/>
    </w:pPr>
    <w:rPr>
      <w:sz w:val="18"/>
      <w:szCs w:val="18"/>
    </w:rPr>
  </w:style>
  <w:style w:type="paragraph" w:styleId="6">
    <w:name w:val="Normal Indent"/>
    <w:basedOn w:val="1"/>
    <w:unhideWhenUsed/>
    <w:qFormat/>
    <w:uiPriority w:val="99"/>
    <w:pPr>
      <w:spacing w:line="240" w:lineRule="atLeast"/>
      <w:ind w:firstLine="420" w:firstLineChars="200"/>
    </w:pPr>
    <w:rPr>
      <w:rFonts w:ascii="仿宋_GB2312" w:hAnsi="仿宋_GB2312" w:eastAsia="仿宋_GB2312" w:cs="Times New Roman"/>
      <w:sz w:val="32"/>
      <w:szCs w:val="20"/>
    </w:rPr>
  </w:style>
  <w:style w:type="paragraph" w:styleId="7">
    <w:name w:val="Body Text"/>
    <w:basedOn w:val="1"/>
    <w:next w:val="1"/>
    <w:unhideWhenUsed/>
    <w:qFormat/>
    <w:uiPriority w:val="1"/>
    <w:pPr>
      <w:spacing w:before="31"/>
      <w:ind w:left="108" w:firstLine="638"/>
    </w:pPr>
    <w:rPr>
      <w:rFonts w:hint="eastAsia" w:ascii="宋体" w:hAnsi="宋体"/>
      <w:sz w:val="32"/>
      <w:szCs w:val="24"/>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rPr>
  </w:style>
  <w:style w:type="paragraph" w:styleId="9">
    <w:name w:val="Plain Text"/>
    <w:basedOn w:val="1"/>
    <w:unhideWhenUsed/>
    <w:qFormat/>
    <w:uiPriority w:val="99"/>
    <w:pPr>
      <w:spacing w:beforeLines="0" w:afterLines="0"/>
    </w:pPr>
    <w:rPr>
      <w:rFonts w:hint="eastAsia" w:ascii="宋体" w:hAnsi="Courier New"/>
      <w:sz w:val="21"/>
      <w:szCs w:val="21"/>
    </w:rPr>
  </w:style>
  <w:style w:type="paragraph" w:styleId="10">
    <w:name w:val="Balloon Text"/>
    <w:basedOn w:val="1"/>
    <w:link w:val="21"/>
    <w:qFormat/>
    <w:uiPriority w:val="0"/>
    <w:rPr>
      <w:rFonts w:ascii="仿宋_GB2312" w:hAnsi="仿宋_GB2312" w:eastAsia="仿宋_GB2312" w:cs="Times New Roman"/>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w:basedOn w:val="7"/>
    <w:qFormat/>
    <w:uiPriority w:val="0"/>
    <w:pPr>
      <w:ind w:firstLine="420" w:firstLineChars="100"/>
    </w:pPr>
    <w:rPr>
      <w:rFonts w:eastAsia="楷体"/>
      <w:sz w:val="28"/>
      <w:szCs w:val="21"/>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page number"/>
    <w:basedOn w:val="15"/>
    <w:qFormat/>
    <w:uiPriority w:val="0"/>
  </w:style>
  <w:style w:type="character" w:customStyle="1" w:styleId="17">
    <w:name w:val="页眉 Char"/>
    <w:basedOn w:val="15"/>
    <w:link w:val="4"/>
    <w:qFormat/>
    <w:uiPriority w:val="99"/>
    <w:rPr>
      <w:sz w:val="18"/>
      <w:szCs w:val="18"/>
    </w:rPr>
  </w:style>
  <w:style w:type="character" w:customStyle="1" w:styleId="18">
    <w:name w:val="页脚 Char"/>
    <w:basedOn w:val="15"/>
    <w:link w:val="5"/>
    <w:qFormat/>
    <w:uiPriority w:val="0"/>
    <w:rPr>
      <w:sz w:val="18"/>
      <w:szCs w:val="18"/>
    </w:rPr>
  </w:style>
  <w:style w:type="paragraph" w:styleId="19">
    <w:name w:val="List Paragraph"/>
    <w:basedOn w:val="1"/>
    <w:qFormat/>
    <w:uiPriority w:val="34"/>
    <w:pPr>
      <w:spacing w:line="240" w:lineRule="atLeast"/>
      <w:ind w:firstLine="420" w:firstLineChars="200"/>
    </w:pPr>
    <w:rPr>
      <w:rFonts w:ascii="仿宋_GB2312" w:hAnsi="仿宋_GB2312" w:eastAsia="仿宋_GB2312" w:cs="Times New Roman"/>
      <w:sz w:val="32"/>
      <w:szCs w:val="20"/>
    </w:rPr>
  </w:style>
  <w:style w:type="paragraph" w:customStyle="1" w:styleId="20">
    <w:name w:val="无间隔1"/>
    <w:qFormat/>
    <w:uiPriority w:val="99"/>
    <w:pPr>
      <w:widowControl w:val="0"/>
    </w:pPr>
    <w:rPr>
      <w:rFonts w:ascii="MingLiU_HKSCS" w:hAnsi="MingLiU_HKSCS" w:eastAsia="MingLiU_HKSCS" w:cs="MingLiU_HKSCS"/>
      <w:color w:val="000000"/>
      <w:sz w:val="24"/>
      <w:szCs w:val="24"/>
      <w:lang w:val="zh-TW" w:eastAsia="zh-TW" w:bidi="ar-SA"/>
    </w:rPr>
  </w:style>
  <w:style w:type="character" w:customStyle="1" w:styleId="21">
    <w:name w:val="批注框文本 Char"/>
    <w:basedOn w:val="15"/>
    <w:link w:val="10"/>
    <w:qFormat/>
    <w:uiPriority w:val="0"/>
    <w:rPr>
      <w:rFonts w:ascii="仿宋_GB2312" w:hAnsi="仿宋_GB2312" w:eastAsia="仿宋_GB2312" w:cs="Times New Roman"/>
      <w:sz w:val="18"/>
      <w:szCs w:val="18"/>
    </w:rPr>
  </w:style>
  <w:style w:type="paragraph" w:customStyle="1" w:styleId="22">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微软中国</Company>
  <Pages>64</Pages>
  <Words>34601</Words>
  <Characters>35654</Characters>
  <Lines>167</Lines>
  <Paragraphs>47</Paragraphs>
  <TotalTime>5</TotalTime>
  <ScaleCrop>false</ScaleCrop>
  <LinksUpToDate>false</LinksUpToDate>
  <CharactersWithSpaces>35861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2022-10-21T22:33:00Z</dcterms:created>
  <dc:creator>微软用户</dc:creator>
  <cp:lastModifiedBy>huawei</cp:lastModifiedBy>
  <cp:lastPrinted>2024-05-06T17:21:00Z</cp:lastPrinted>
  <dcterms:modified xsi:type="dcterms:W3CDTF">2024-06-07T08:06:01Z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B0C71E72429A457C9F9FB9F742134D81_13</vt:lpwstr>
  </property>
</Properties>
</file>