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7C7A6F">
      <w:pPr>
        <w:pStyle w:val="4"/>
        <w:widowControl/>
        <w:shd w:val="clear" w:color="auto" w:fill="FFFFFF"/>
        <w:spacing w:before="0" w:beforeAutospacing="0" w:after="0" w:afterAutospacing="0" w:line="560" w:lineRule="exact"/>
        <w:ind w:left="0" w:right="0"/>
        <w:jc w:val="center"/>
        <w:rPr>
          <w:rFonts w:hint="eastAsia" w:ascii="方正小标宋简体" w:hAnsi="方正小标宋简体" w:eastAsia="方正小标宋简体" w:cs="方正小标宋简体"/>
          <w:bCs/>
          <w:spacing w:val="-17"/>
          <w:sz w:val="44"/>
          <w:szCs w:val="44"/>
          <w:shd w:val="clear" w:color="auto" w:fill="FFFFFF"/>
          <w:lang w:bidi="ar-SA"/>
        </w:rPr>
      </w:pPr>
      <w:r>
        <w:rPr>
          <w:rFonts w:hint="eastAsia" w:ascii="方正小标宋简体" w:hAnsi="方正小标宋简体" w:eastAsia="方正小标宋简体" w:cs="方正小标宋简体"/>
          <w:bCs/>
          <w:spacing w:val="-17"/>
          <w:sz w:val="44"/>
          <w:szCs w:val="44"/>
          <w:shd w:val="clear" w:color="auto" w:fill="FFFFFF"/>
          <w:lang w:bidi="ar-SA"/>
        </w:rPr>
        <w:t>威海市环翠区自然资源局</w:t>
      </w:r>
    </w:p>
    <w:p w14:paraId="4C635CF1">
      <w:pPr>
        <w:pStyle w:val="4"/>
        <w:widowControl/>
        <w:shd w:val="clear" w:color="auto" w:fill="FFFFFF"/>
        <w:spacing w:before="0" w:beforeAutospacing="0" w:after="0" w:afterAutospacing="0" w:line="560" w:lineRule="exact"/>
        <w:ind w:left="0" w:right="0"/>
        <w:jc w:val="center"/>
        <w:rPr>
          <w:rFonts w:hint="eastAsia" w:ascii="方正小标宋简体" w:hAnsi="方正小标宋简体" w:eastAsia="方正小标宋简体" w:cs="方正小标宋简体"/>
          <w:bCs/>
          <w:spacing w:val="-17"/>
          <w:sz w:val="44"/>
          <w:szCs w:val="44"/>
          <w:shd w:val="clear" w:color="auto" w:fill="FFFFFF"/>
          <w:lang w:bidi="ar-SA"/>
        </w:rPr>
      </w:pPr>
      <w:r>
        <w:rPr>
          <w:rFonts w:hint="eastAsia" w:ascii="方正小标宋简体" w:hAnsi="方正小标宋简体" w:eastAsia="方正小标宋简体" w:cs="方正小标宋简体"/>
          <w:bCs/>
          <w:spacing w:val="-17"/>
          <w:sz w:val="44"/>
          <w:szCs w:val="44"/>
          <w:shd w:val="clear" w:color="auto" w:fill="FFFFFF"/>
          <w:lang w:bidi="ar-SA"/>
        </w:rPr>
        <w:t>202</w:t>
      </w:r>
      <w:r>
        <w:rPr>
          <w:rFonts w:hint="eastAsia" w:ascii="方正小标宋简体" w:hAnsi="方正小标宋简体" w:eastAsia="方正小标宋简体" w:cs="方正小标宋简体"/>
          <w:bCs/>
          <w:spacing w:val="-17"/>
          <w:sz w:val="44"/>
          <w:szCs w:val="44"/>
          <w:shd w:val="clear" w:color="auto" w:fill="FFFFFF"/>
          <w:lang w:val="en-US" w:eastAsia="zh-CN" w:bidi="ar-SA"/>
        </w:rPr>
        <w:t>5</w:t>
      </w:r>
      <w:r>
        <w:rPr>
          <w:rFonts w:hint="eastAsia" w:ascii="方正小标宋简体" w:hAnsi="方正小标宋简体" w:eastAsia="方正小标宋简体" w:cs="方正小标宋简体"/>
          <w:bCs/>
          <w:spacing w:val="-17"/>
          <w:sz w:val="44"/>
          <w:szCs w:val="44"/>
          <w:shd w:val="clear" w:color="auto" w:fill="FFFFFF"/>
          <w:lang w:bidi="ar-SA"/>
        </w:rPr>
        <w:t>年政府信息公开工作年度报告</w:t>
      </w:r>
    </w:p>
    <w:p w14:paraId="0AE1C7ED">
      <w:pPr>
        <w:pStyle w:val="4"/>
        <w:widowControl/>
        <w:shd w:val="clear" w:color="auto" w:fill="FFFFFF"/>
        <w:spacing w:before="0" w:beforeAutospacing="0" w:after="0" w:afterAutospacing="0" w:line="560" w:lineRule="exact"/>
        <w:ind w:left="0" w:right="0"/>
        <w:jc w:val="center"/>
        <w:rPr>
          <w:rFonts w:hint="eastAsia" w:ascii="方正小标宋简体" w:hAnsi="方正小标宋简体" w:eastAsia="方正小标宋简体" w:cs="方正小标宋简体"/>
          <w:bCs/>
          <w:spacing w:val="-17"/>
          <w:sz w:val="44"/>
          <w:szCs w:val="44"/>
          <w:shd w:val="clear" w:color="auto" w:fill="FFFFFF"/>
          <w:lang w:bidi="ar-SA"/>
        </w:rPr>
      </w:pPr>
    </w:p>
    <w:p w14:paraId="47F09D3C">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color w:val="000000"/>
          <w:sz w:val="32"/>
          <w:szCs w:val="32"/>
          <w:lang w:val="en-US" w:eastAsia="zh-CN" w:bidi="ar-SA"/>
        </w:rPr>
      </w:pPr>
      <w:r>
        <w:rPr>
          <w:rFonts w:hint="eastAsia" w:ascii="Times New Roman" w:hAnsi="Times New Roman" w:eastAsia="仿宋_GB2312" w:cs="Times New Roman"/>
          <w:color w:val="000000"/>
          <w:sz w:val="32"/>
          <w:szCs w:val="32"/>
          <w:lang w:val="en-US" w:eastAsia="zh-CN" w:bidi="ar-SA"/>
        </w:rPr>
        <w:t>根据《中华人民共和国政府信息公开条例》（国务院令第711号，以下简称《条例》）和《中华人民共和国政府信息公开工作年度报告格式》（国办公开办函〔2021〕30号）要求，结合2025年威海市环翠区自然资源局政府信息公开工作实际，编制发布本报告。</w:t>
      </w:r>
    </w:p>
    <w:p w14:paraId="184BA78D">
      <w:pPr>
        <w:pStyle w:val="4"/>
        <w:keepNext w:val="0"/>
        <w:keepLines w:val="0"/>
        <w:pageBreakBefore w:val="0"/>
        <w:widowControl/>
        <w:kinsoku/>
        <w:wordWrap w:val="0"/>
        <w:overflowPunct/>
        <w:topLinePunct w:val="0"/>
        <w:autoSpaceDE w:val="0"/>
        <w:autoSpaceDN/>
        <w:bidi w:val="0"/>
        <w:adjustRightInd/>
        <w:snapToGrid/>
        <w:spacing w:before="0" w:beforeAutospacing="0" w:after="0" w:afterAutospacing="0" w:line="560" w:lineRule="exact"/>
        <w:ind w:left="0" w:right="0" w:firstLine="646"/>
        <w:jc w:val="both"/>
        <w:textAlignment w:val="auto"/>
        <w:rPr>
          <w:rFonts w:hint="eastAsia" w:ascii="Times New Roman" w:hAnsi="Times New Roman" w:eastAsia="仿宋_GB2312" w:cs="Times New Roman"/>
          <w:sz w:val="32"/>
          <w:szCs w:val="32"/>
          <w:lang w:val="en-US" w:eastAsia="zh-CN" w:bidi="ar-SA"/>
        </w:rPr>
      </w:pPr>
      <w:r>
        <w:rPr>
          <w:rFonts w:hint="eastAsia" w:ascii="Times New Roman" w:hAnsi="Times New Roman" w:eastAsia="仿宋_GB2312" w:cs="Times New Roman"/>
          <w:sz w:val="32"/>
          <w:szCs w:val="32"/>
          <w:lang w:val="en-US" w:eastAsia="zh-CN" w:bidi="ar-SA"/>
        </w:rPr>
        <w:t>本报告内容包括：总体情况、主动公开政府信息情况、收到和处理政府信息公开申请情况、政府信息公开行政复议及行政诉讼情况、存在的主要问题及改进情况、其他事项，以及相关指标统计附表等。报告中所列数据统计期限从2025年1月1日到12月31日止。报告电子版可从威海市环翠区人民政府网站（网址：http://www.huancui.gov.cn/col/col57860/index.html）查阅或下载。公众如需进一步咨询了解相关信息，请与威海市环翠区自然资源局联系（地址：威海市青岛北路132号，电话：0631－5273031）。</w:t>
      </w:r>
    </w:p>
    <w:p w14:paraId="38097060">
      <w:pPr>
        <w:pStyle w:val="4"/>
        <w:widowControl/>
        <w:shd w:val="clear" w:color="auto" w:fill="FFFFFF"/>
        <w:spacing w:before="0" w:beforeAutospacing="0" w:after="0" w:afterAutospacing="0" w:line="560" w:lineRule="exact"/>
        <w:ind w:left="0" w:right="0" w:firstLine="640" w:firstLineChars="200"/>
        <w:jc w:val="both"/>
        <w:rPr>
          <w:rFonts w:hint="eastAsia" w:ascii="Times New Roman" w:hAnsi="Times New Roman" w:eastAsia="仿宋_GB2312" w:cs="Times New Roman"/>
          <w:color w:val="000000"/>
          <w:sz w:val="32"/>
          <w:szCs w:val="32"/>
          <w:lang w:val="en-US" w:eastAsia="zh-CN" w:bidi="ar-SA"/>
        </w:rPr>
      </w:pPr>
      <w:r>
        <w:rPr>
          <w:rFonts w:hint="eastAsia" w:ascii="黑体" w:hAnsi="黑体" w:eastAsia="黑体" w:cs="黑体"/>
          <w:bCs/>
          <w:color w:val="333333"/>
          <w:sz w:val="32"/>
          <w:szCs w:val="32"/>
          <w:shd w:val="clear" w:color="auto" w:fill="FFFFFF"/>
          <w:lang w:val="en-US" w:eastAsia="zh-CN" w:bidi="ar-SA"/>
        </w:rPr>
        <w:t>一、总体情况</w:t>
      </w:r>
    </w:p>
    <w:p w14:paraId="261FF65B">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2025年，威海市环翠区自然资源局深入贯彻落实《中华人民共和国政府信息公开条例》，严格按照中央、省、市、区的安排部署，紧密围绕自然资源领域重点工作，不断提升工作的公开度、透明度，进一步拓宽政务公开的广度和深度，推动服务型政府建设迈上新台阶。</w:t>
      </w:r>
    </w:p>
    <w:p w14:paraId="4D8CB44C">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color w:val="000000"/>
          <w:sz w:val="32"/>
          <w:szCs w:val="32"/>
          <w:lang w:val="en-US" w:eastAsia="zh-CN" w:bidi="ar-SA"/>
        </w:rPr>
      </w:pPr>
      <w:r>
        <w:rPr>
          <w:rFonts w:hint="eastAsia" w:ascii="楷体_GB2312" w:hAnsi="楷体_GB2312" w:eastAsia="楷体_GB2312" w:cs="楷体_GB2312"/>
          <w:bCs/>
          <w:kern w:val="2"/>
          <w:sz w:val="32"/>
          <w:szCs w:val="32"/>
          <w:lang w:val="en-US" w:eastAsia="zh-CN" w:bidi="ar-SA"/>
        </w:rPr>
        <w:t>（一）主动公开。</w:t>
      </w:r>
      <w:r>
        <w:rPr>
          <w:rFonts w:hint="eastAsia" w:ascii="Times New Roman" w:hAnsi="Times New Roman" w:eastAsia="仿宋_GB2312" w:cs="Times New Roman"/>
          <w:color w:val="000000"/>
          <w:sz w:val="32"/>
          <w:szCs w:val="32"/>
          <w:lang w:val="en-US" w:eastAsia="zh-CN" w:bidi="ar-SA"/>
        </w:rPr>
        <w:t>按照政务公开工作部署要求，威海市环翠区自然资源局围绕法定主动公开内容和自然资源领域工作，按照“应公开、尽公开”的原则，主动公开人事信息、部门办公会议、财政预决算、通知公告等部门信息及行政执法公示、“双随机、一公开”监管等重点领域信息。2025年度，通过政府网站主动公开各类信息共60条，其中局长办公会议6条，财政预决算信息4条，优化营商环境14条，行政执法公示8条，“双随机、一公开”监管7条，业务动态信息7条。</w:t>
      </w:r>
    </w:p>
    <w:p w14:paraId="7EA588F9">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color w:val="000000"/>
          <w:sz w:val="32"/>
          <w:szCs w:val="32"/>
          <w:lang w:val="en-US" w:eastAsia="zh-CN" w:bidi="ar-SA"/>
        </w:rPr>
      </w:pPr>
      <w:r>
        <w:rPr>
          <w:rFonts w:hint="eastAsia" w:ascii="楷体_GB2312" w:hAnsi="楷体_GB2312" w:eastAsia="楷体_GB2312" w:cs="楷体_GB2312"/>
          <w:bCs/>
          <w:kern w:val="2"/>
          <w:sz w:val="32"/>
          <w:szCs w:val="32"/>
          <w:lang w:val="en-US" w:eastAsia="zh-CN" w:bidi="ar-SA"/>
        </w:rPr>
        <w:t>（二）依申请公开。</w:t>
      </w:r>
      <w:r>
        <w:rPr>
          <w:rFonts w:hint="eastAsia" w:ascii="Times New Roman" w:hAnsi="Times New Roman" w:eastAsia="仿宋_GB2312" w:cs="Times New Roman"/>
          <w:color w:val="000000"/>
          <w:sz w:val="32"/>
          <w:szCs w:val="32"/>
          <w:lang w:val="en-US" w:eastAsia="zh-CN" w:bidi="ar-SA"/>
        </w:rPr>
        <w:t>2025年，威海市环翠区自然资源局共受理信息公开申请35件（含上年度结转3件），结转下年办理1件。其中，予以公开19件，无法提供15件。申请领域主要包括土地征收、行政执法信息等。本年度共收到政府信息公开申请方面的行政复议1件，结果维持1件；未发生行政诉讼案件。</w:t>
      </w:r>
    </w:p>
    <w:p w14:paraId="314706A1">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color w:val="000000"/>
          <w:sz w:val="32"/>
          <w:szCs w:val="32"/>
          <w:lang w:val="en-US" w:eastAsia="zh-CN" w:bidi="ar-SA"/>
        </w:rPr>
      </w:pPr>
      <w:r>
        <w:rPr>
          <w:rFonts w:hint="eastAsia" w:ascii="楷体_GB2312" w:hAnsi="楷体_GB2312" w:eastAsia="楷体_GB2312" w:cs="楷体_GB2312"/>
          <w:bCs/>
          <w:kern w:val="2"/>
          <w:sz w:val="32"/>
          <w:szCs w:val="32"/>
          <w:lang w:val="en-US" w:eastAsia="zh-CN" w:bidi="ar-SA"/>
        </w:rPr>
        <w:t>（三）政府信息管理。</w:t>
      </w:r>
      <w:r>
        <w:rPr>
          <w:rFonts w:hint="eastAsia" w:ascii="Times New Roman" w:hAnsi="Times New Roman" w:eastAsia="仿宋_GB2312" w:cs="Times New Roman"/>
          <w:color w:val="000000"/>
          <w:sz w:val="32"/>
          <w:szCs w:val="32"/>
          <w:lang w:val="en-US" w:eastAsia="zh-CN" w:bidi="ar-SA"/>
        </w:rPr>
        <w:t>为确保政务公开内容的准确性和权威性，威海市环翠区自然资源局严格执行政府信息公开保密审查制度，按照“先审查、后公开”的原则，依法依规严格审核政务公开内容，对群众及工作人员隐私信息进行脱敏处理。强化政府信息的动态调整与定期更新相结合，有效提升了服务效能和群众满意度。</w:t>
      </w:r>
    </w:p>
    <w:p w14:paraId="7295063C">
      <w:pPr>
        <w:pStyle w:val="4"/>
        <w:widowControl/>
        <w:autoSpaceDE w:val="0"/>
        <w:spacing w:before="0" w:beforeAutospacing="0" w:after="0" w:afterAutospacing="0" w:line="560" w:lineRule="exact"/>
        <w:ind w:left="0" w:right="0" w:firstLine="645"/>
        <w:jc w:val="both"/>
        <w:rPr>
          <w:rFonts w:hint="default" w:ascii="Times New Roman" w:hAnsi="Times New Roman" w:eastAsia="仿宋_GB2312" w:cs="Times New Roman"/>
          <w:color w:val="000000"/>
          <w:sz w:val="32"/>
          <w:szCs w:val="32"/>
          <w:lang w:val="en-US" w:eastAsia="zh-CN" w:bidi="ar-SA"/>
        </w:rPr>
      </w:pPr>
      <w:r>
        <w:rPr>
          <w:rFonts w:hint="eastAsia" w:ascii="楷体_GB2312" w:hAnsi="楷体_GB2312" w:eastAsia="楷体_GB2312" w:cs="楷体_GB2312"/>
          <w:bCs/>
          <w:kern w:val="2"/>
          <w:sz w:val="32"/>
          <w:szCs w:val="32"/>
          <w:lang w:val="en-US" w:eastAsia="zh-CN" w:bidi="ar-SA"/>
        </w:rPr>
        <w:t>（四）政府信息公开平台建设。</w:t>
      </w:r>
      <w:r>
        <w:rPr>
          <w:rFonts w:hint="eastAsia" w:ascii="Times New Roman" w:hAnsi="Times New Roman" w:eastAsia="仿宋_GB2312" w:cs="Times New Roman"/>
          <w:color w:val="000000"/>
          <w:sz w:val="32"/>
          <w:szCs w:val="32"/>
          <w:lang w:val="en-US" w:eastAsia="zh-CN" w:bidi="ar-SA"/>
        </w:rPr>
        <w:t>一方面，威海市环翠区自然资源局根据本年度</w:t>
      </w:r>
      <w:r>
        <w:rPr>
          <w:rFonts w:hint="default" w:ascii="Times New Roman" w:hAnsi="Times New Roman" w:eastAsia="仿宋_GB2312" w:cs="Times New Roman"/>
          <w:color w:val="000000"/>
          <w:sz w:val="32"/>
          <w:szCs w:val="32"/>
          <w:lang w:val="en-US" w:eastAsia="zh-CN" w:bidi="ar-SA"/>
        </w:rPr>
        <w:t>政府信息主动公开基本目录</w:t>
      </w:r>
      <w:r>
        <w:rPr>
          <w:rFonts w:hint="eastAsia" w:ascii="Times New Roman" w:hAnsi="Times New Roman" w:eastAsia="仿宋_GB2312" w:cs="Times New Roman"/>
          <w:color w:val="000000"/>
          <w:sz w:val="32"/>
          <w:szCs w:val="32"/>
          <w:lang w:val="en-US" w:eastAsia="zh-CN" w:bidi="ar-SA"/>
        </w:rPr>
        <w:t>要求，结合工作实际，依托政府网站进行政府信息主动公开工作，同时积极通过“最威海是环翠”APP宣传自然资源领域最新政策及工作进展；另一方面，线上线下多渠道受理政府信息公开申请，保障公众依法行使知情权，将政务公开与服务人民群众深度融合，不断提升为民服务水平，打造服务型政府。</w:t>
      </w:r>
    </w:p>
    <w:p w14:paraId="3636BF2C">
      <w:pPr>
        <w:pStyle w:val="4"/>
        <w:widowControl/>
        <w:autoSpaceDE w:val="0"/>
        <w:spacing w:before="0" w:beforeAutospacing="0" w:after="0" w:afterAutospacing="0" w:line="560" w:lineRule="exact"/>
        <w:ind w:left="0" w:right="0" w:firstLine="645"/>
        <w:jc w:val="both"/>
        <w:rPr>
          <w:rFonts w:hint="eastAsia" w:ascii="Times New Roman" w:hAnsi="Times New Roman" w:eastAsia="仿宋_GB2312" w:cs="Times New Roman"/>
          <w:color w:val="000000"/>
          <w:sz w:val="32"/>
          <w:szCs w:val="32"/>
          <w:lang w:bidi="ar-SA"/>
        </w:rPr>
      </w:pPr>
      <w:r>
        <w:rPr>
          <w:rFonts w:hint="eastAsia" w:ascii="楷体_GB2312" w:hAnsi="楷体_GB2312" w:eastAsia="楷体_GB2312" w:cs="楷体_GB2312"/>
          <w:bCs/>
          <w:kern w:val="2"/>
          <w:sz w:val="32"/>
          <w:szCs w:val="32"/>
          <w:lang w:val="en-US" w:eastAsia="zh-CN" w:bidi="ar-SA"/>
        </w:rPr>
        <w:t>（五）监督保障。</w:t>
      </w:r>
      <w:r>
        <w:rPr>
          <w:rFonts w:hint="eastAsia" w:ascii="Times New Roman" w:hAnsi="Times New Roman" w:eastAsia="仿宋_GB2312" w:cs="Times New Roman"/>
          <w:color w:val="000000"/>
          <w:sz w:val="32"/>
          <w:szCs w:val="32"/>
          <w:lang w:bidi="ar-SA"/>
        </w:rPr>
        <w:t>威海市环翠区自然资源局</w:t>
      </w:r>
      <w:r>
        <w:rPr>
          <w:rFonts w:hint="eastAsia" w:ascii="Times New Roman" w:hAnsi="Times New Roman" w:eastAsia="仿宋_GB2312" w:cs="Times New Roman"/>
          <w:color w:val="000000"/>
          <w:sz w:val="32"/>
          <w:szCs w:val="32"/>
          <w:lang w:val="en-US" w:eastAsia="zh-CN" w:bidi="ar-SA"/>
        </w:rPr>
        <w:t>积极参加各级政务公开</w:t>
      </w:r>
      <w:r>
        <w:rPr>
          <w:rFonts w:hint="eastAsia" w:ascii="Times New Roman" w:hAnsi="Times New Roman" w:eastAsia="仿宋_GB2312" w:cs="Times New Roman"/>
          <w:color w:val="000000"/>
          <w:sz w:val="32"/>
          <w:szCs w:val="32"/>
          <w:lang w:bidi="ar-SA"/>
        </w:rPr>
        <w:t>培训会议</w:t>
      </w:r>
      <w:r>
        <w:rPr>
          <w:rFonts w:hint="eastAsia" w:ascii="Times New Roman" w:hAnsi="Times New Roman" w:eastAsia="仿宋_GB2312" w:cs="Times New Roman"/>
          <w:color w:val="000000"/>
          <w:sz w:val="32"/>
          <w:szCs w:val="32"/>
          <w:lang w:eastAsia="zh-CN" w:bidi="ar-SA"/>
        </w:rPr>
        <w:t>，</w:t>
      </w:r>
      <w:r>
        <w:rPr>
          <w:rFonts w:hint="eastAsia" w:ascii="Times New Roman" w:hAnsi="Times New Roman" w:eastAsia="仿宋_GB2312" w:cs="Times New Roman"/>
          <w:color w:val="000000"/>
          <w:sz w:val="32"/>
          <w:szCs w:val="32"/>
          <w:lang w:val="en-US" w:eastAsia="zh-CN" w:bidi="ar-SA"/>
        </w:rPr>
        <w:t>不断提升工作人员的业务水平，增强政务公开的质量</w:t>
      </w:r>
      <w:r>
        <w:rPr>
          <w:rFonts w:hint="eastAsia" w:ascii="Times New Roman" w:hAnsi="Times New Roman" w:eastAsia="仿宋_GB2312" w:cs="Times New Roman"/>
          <w:color w:val="000000"/>
          <w:sz w:val="32"/>
          <w:szCs w:val="32"/>
          <w:lang w:bidi="ar-SA"/>
        </w:rPr>
        <w:t>。充分发挥群众监督作用，在</w:t>
      </w:r>
      <w:r>
        <w:rPr>
          <w:rFonts w:hint="eastAsia" w:ascii="Times New Roman" w:hAnsi="Times New Roman" w:eastAsia="仿宋_GB2312" w:cs="Times New Roman"/>
          <w:color w:val="000000"/>
          <w:sz w:val="32"/>
          <w:szCs w:val="32"/>
          <w:lang w:val="en-US" w:eastAsia="zh-CN" w:bidi="ar-SA"/>
        </w:rPr>
        <w:t>政府网站</w:t>
      </w:r>
      <w:r>
        <w:rPr>
          <w:rFonts w:hint="eastAsia" w:ascii="Times New Roman" w:hAnsi="Times New Roman" w:eastAsia="仿宋_GB2312" w:cs="Times New Roman"/>
          <w:color w:val="000000"/>
          <w:sz w:val="32"/>
          <w:szCs w:val="32"/>
          <w:lang w:bidi="ar-SA"/>
        </w:rPr>
        <w:t>上</w:t>
      </w:r>
      <w:r>
        <w:rPr>
          <w:rFonts w:hint="eastAsia" w:ascii="Times New Roman" w:hAnsi="Times New Roman" w:eastAsia="仿宋_GB2312" w:cs="Times New Roman"/>
          <w:color w:val="000000"/>
          <w:sz w:val="32"/>
          <w:szCs w:val="32"/>
          <w:lang w:val="en-US" w:eastAsia="zh-CN" w:bidi="ar-SA"/>
        </w:rPr>
        <w:t>公示</w:t>
      </w:r>
      <w:r>
        <w:rPr>
          <w:rFonts w:hint="eastAsia" w:ascii="Times New Roman" w:hAnsi="Times New Roman" w:eastAsia="仿宋_GB2312" w:cs="Times New Roman"/>
          <w:color w:val="000000"/>
          <w:sz w:val="32"/>
          <w:szCs w:val="32"/>
          <w:lang w:bidi="ar-SA"/>
        </w:rPr>
        <w:t>政务公开工作</w:t>
      </w:r>
      <w:r>
        <w:rPr>
          <w:rFonts w:hint="eastAsia" w:ascii="Times New Roman" w:hAnsi="Times New Roman" w:eastAsia="仿宋_GB2312" w:cs="Times New Roman"/>
          <w:color w:val="000000"/>
          <w:sz w:val="32"/>
          <w:szCs w:val="32"/>
          <w:lang w:val="en-US" w:eastAsia="zh-CN" w:bidi="ar-SA"/>
        </w:rPr>
        <w:t>机构、电子</w:t>
      </w:r>
      <w:r>
        <w:rPr>
          <w:rFonts w:hint="eastAsia" w:ascii="Times New Roman" w:hAnsi="Times New Roman" w:eastAsia="仿宋_GB2312" w:cs="Times New Roman"/>
          <w:color w:val="000000"/>
          <w:sz w:val="32"/>
          <w:szCs w:val="32"/>
          <w:lang w:bidi="ar-SA"/>
        </w:rPr>
        <w:t>邮箱</w:t>
      </w:r>
      <w:r>
        <w:rPr>
          <w:rFonts w:hint="eastAsia" w:ascii="Times New Roman" w:hAnsi="Times New Roman" w:eastAsia="仿宋_GB2312" w:cs="Times New Roman"/>
          <w:color w:val="000000"/>
          <w:sz w:val="32"/>
          <w:szCs w:val="32"/>
          <w:lang w:eastAsia="zh-CN" w:bidi="ar-SA"/>
        </w:rPr>
        <w:t>、</w:t>
      </w:r>
      <w:r>
        <w:rPr>
          <w:rFonts w:hint="eastAsia" w:ascii="Times New Roman" w:hAnsi="Times New Roman" w:eastAsia="仿宋_GB2312" w:cs="Times New Roman"/>
          <w:color w:val="000000"/>
          <w:sz w:val="32"/>
          <w:szCs w:val="32"/>
          <w:lang w:bidi="ar-SA"/>
        </w:rPr>
        <w:t>办公电话</w:t>
      </w:r>
      <w:r>
        <w:rPr>
          <w:rFonts w:hint="eastAsia" w:ascii="Times New Roman" w:hAnsi="Times New Roman" w:eastAsia="仿宋_GB2312" w:cs="Times New Roman"/>
          <w:color w:val="000000"/>
          <w:sz w:val="32"/>
          <w:szCs w:val="32"/>
          <w:lang w:val="en-US" w:eastAsia="zh-CN" w:bidi="ar-SA"/>
        </w:rPr>
        <w:t>以及监督救济渠道</w:t>
      </w:r>
      <w:r>
        <w:rPr>
          <w:rFonts w:hint="eastAsia" w:ascii="Times New Roman" w:hAnsi="Times New Roman" w:eastAsia="仿宋_GB2312" w:cs="Times New Roman"/>
          <w:color w:val="000000"/>
          <w:sz w:val="32"/>
          <w:szCs w:val="32"/>
          <w:lang w:bidi="ar-SA"/>
        </w:rPr>
        <w:t>。</w:t>
      </w:r>
      <w:r>
        <w:rPr>
          <w:rFonts w:hint="eastAsia" w:ascii="Times New Roman" w:hAnsi="Times New Roman" w:eastAsia="仿宋_GB2312" w:cs="Times New Roman"/>
          <w:color w:val="000000"/>
          <w:sz w:val="32"/>
          <w:szCs w:val="32"/>
          <w:lang w:val="en-US" w:eastAsia="zh-CN" w:bidi="ar-SA"/>
        </w:rPr>
        <w:t>本年度</w:t>
      </w:r>
      <w:r>
        <w:rPr>
          <w:rFonts w:hint="eastAsia" w:ascii="Times New Roman" w:hAnsi="Times New Roman" w:eastAsia="仿宋_GB2312" w:cs="Times New Roman"/>
          <w:color w:val="000000"/>
          <w:sz w:val="32"/>
          <w:szCs w:val="32"/>
          <w:lang w:bidi="ar-SA"/>
        </w:rPr>
        <w:t>未收到</w:t>
      </w:r>
      <w:r>
        <w:rPr>
          <w:rFonts w:hint="eastAsia" w:ascii="Times New Roman" w:hAnsi="Times New Roman" w:eastAsia="仿宋_GB2312" w:cs="Times New Roman"/>
          <w:color w:val="000000"/>
          <w:sz w:val="32"/>
          <w:szCs w:val="32"/>
          <w:lang w:val="en-US" w:eastAsia="zh-CN" w:bidi="ar-SA"/>
        </w:rPr>
        <w:t>与</w:t>
      </w:r>
      <w:bookmarkStart w:id="0" w:name="_GoBack"/>
      <w:bookmarkEnd w:id="0"/>
      <w:r>
        <w:rPr>
          <w:rFonts w:hint="eastAsia" w:ascii="Times New Roman" w:hAnsi="Times New Roman" w:eastAsia="仿宋_GB2312" w:cs="Times New Roman"/>
          <w:color w:val="000000"/>
          <w:sz w:val="32"/>
          <w:szCs w:val="32"/>
          <w:lang w:bidi="ar-SA"/>
        </w:rPr>
        <w:t>政府信息公开有关的投诉、举报，也无因政府信息公开工作不力被追究责任的情况。</w:t>
      </w:r>
    </w:p>
    <w:p w14:paraId="3270F2AE">
      <w:pPr>
        <w:pStyle w:val="4"/>
        <w:widowControl/>
        <w:shd w:val="clear" w:color="auto" w:fill="FFFFFF"/>
        <w:spacing w:before="0" w:beforeAutospacing="0" w:after="0" w:afterAutospacing="0" w:line="560" w:lineRule="exact"/>
        <w:ind w:left="0" w:right="0" w:firstLine="640" w:firstLineChars="200"/>
        <w:jc w:val="both"/>
        <w:rPr>
          <w:rFonts w:hint="eastAsia" w:ascii="黑体" w:hAnsi="黑体" w:eastAsia="黑体" w:cs="黑体"/>
          <w:bCs/>
          <w:color w:val="333333"/>
          <w:sz w:val="32"/>
          <w:szCs w:val="32"/>
          <w:shd w:val="clear" w:color="auto" w:fill="FFFFFF"/>
          <w:lang w:bidi="ar-SA"/>
        </w:rPr>
      </w:pPr>
      <w:r>
        <w:rPr>
          <w:rFonts w:hint="eastAsia" w:ascii="黑体" w:hAnsi="黑体" w:eastAsia="黑体" w:cs="黑体"/>
          <w:bCs/>
          <w:color w:val="333333"/>
          <w:sz w:val="32"/>
          <w:szCs w:val="32"/>
          <w:shd w:val="clear" w:color="auto" w:fill="FFFFFF"/>
          <w:lang w:val="en-US" w:eastAsia="zh-CN" w:bidi="ar-SA"/>
        </w:rPr>
        <w:t>二、</w:t>
      </w:r>
      <w:r>
        <w:rPr>
          <w:rFonts w:hint="eastAsia" w:ascii="黑体" w:hAnsi="黑体" w:eastAsia="黑体" w:cs="黑体"/>
          <w:bCs/>
          <w:color w:val="333333"/>
          <w:sz w:val="32"/>
          <w:szCs w:val="32"/>
          <w:shd w:val="clear" w:color="auto" w:fill="FFFFFF"/>
          <w:lang w:bidi="ar-SA"/>
        </w:rPr>
        <w:t>主动公开政府信息情况</w:t>
      </w:r>
    </w:p>
    <w:tbl>
      <w:tblPr>
        <w:tblStyle w:val="5"/>
        <w:tblW w:w="88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205"/>
        <w:gridCol w:w="2205"/>
        <w:gridCol w:w="2205"/>
        <w:gridCol w:w="2205"/>
      </w:tblGrid>
      <w:tr w14:paraId="6F445C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8820" w:type="dxa"/>
            <w:gridSpan w:val="4"/>
            <w:tcBorders>
              <w:top w:val="single" w:color="auto" w:sz="6" w:space="0"/>
              <w:left w:val="single" w:color="auto" w:sz="6" w:space="0"/>
              <w:bottom w:val="single" w:color="auto" w:sz="6" w:space="0"/>
              <w:right w:val="single" w:color="000000" w:sz="6" w:space="0"/>
            </w:tcBorders>
            <w:shd w:val="clear" w:color="auto" w:fill="C6D9F1"/>
            <w:tcMar>
              <w:left w:w="105" w:type="dxa"/>
              <w:right w:w="105" w:type="dxa"/>
            </w:tcMar>
            <w:vAlign w:val="center"/>
          </w:tcPr>
          <w:p w14:paraId="600D6F4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ascii="微软雅黑" w:hAnsi="微软雅黑" w:eastAsia="微软雅黑" w:cs="微软雅黑"/>
                <w:caps w:val="0"/>
                <w:color w:val="333333"/>
                <w:spacing w:val="0"/>
                <w:sz w:val="24"/>
                <w:szCs w:val="24"/>
              </w:rPr>
              <w:t>第二十条第（一）项</w:t>
            </w:r>
          </w:p>
        </w:tc>
      </w:tr>
      <w:tr w14:paraId="476242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126976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信息内容</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6299C21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本年制发件数</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179B933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本年废止件数</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2C53D69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现行有效件数</w:t>
            </w:r>
          </w:p>
        </w:tc>
      </w:tr>
      <w:tr w14:paraId="5032E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91741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规章</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2A34893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6F31E4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3993449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r>
      <w:tr w14:paraId="207C3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657DC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行政规范性文件</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25CD769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21AB88C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c>
          <w:tcPr>
            <w:tcW w:w="2205" w:type="dxa"/>
            <w:tcBorders>
              <w:top w:val="nil"/>
              <w:left w:val="nil"/>
              <w:bottom w:val="single" w:color="auto" w:sz="6" w:space="0"/>
              <w:right w:val="single" w:color="auto" w:sz="6" w:space="0"/>
            </w:tcBorders>
            <w:shd w:val="clear" w:color="auto" w:fill="auto"/>
            <w:tcMar>
              <w:left w:w="105" w:type="dxa"/>
              <w:right w:w="105" w:type="dxa"/>
            </w:tcMar>
            <w:vAlign w:val="center"/>
          </w:tcPr>
          <w:p w14:paraId="2906BF4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r>
      <w:tr w14:paraId="59028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8820" w:type="dxa"/>
            <w:gridSpan w:val="4"/>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14:paraId="5A1532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第二十条第（五）项</w:t>
            </w:r>
          </w:p>
        </w:tc>
      </w:tr>
      <w:tr w14:paraId="17CB6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AB240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信息内容</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62E7852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本年处理决定数量</w:t>
            </w:r>
          </w:p>
        </w:tc>
      </w:tr>
      <w:tr w14:paraId="6987AA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4A251F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行政许可</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5C1772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r>
      <w:tr w14:paraId="63DA0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8820" w:type="dxa"/>
            <w:gridSpan w:val="4"/>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14:paraId="75D75F9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第二十条第（六）项</w:t>
            </w:r>
          </w:p>
        </w:tc>
      </w:tr>
      <w:tr w14:paraId="32DA1D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198E07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信息内容</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54FCE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本年处理决定数量</w:t>
            </w:r>
          </w:p>
        </w:tc>
      </w:tr>
      <w:tr w14:paraId="016C1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14B62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行政处罚</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AA19D6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5</w:t>
            </w:r>
          </w:p>
        </w:tc>
      </w:tr>
      <w:tr w14:paraId="12985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2B3A9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行政强制</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5FB4D80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eastAsiaTheme="minorEastAsia"/>
                <w:color w:val="333333"/>
                <w:sz w:val="24"/>
                <w:szCs w:val="24"/>
                <w:lang w:val="en-US" w:eastAsia="zh-CN"/>
              </w:rPr>
            </w:pPr>
            <w:r>
              <w:rPr>
                <w:rFonts w:hint="eastAsia"/>
                <w:color w:val="333333"/>
                <w:sz w:val="24"/>
                <w:szCs w:val="24"/>
                <w:lang w:val="en-US" w:eastAsia="zh-CN"/>
              </w:rPr>
              <w:t>10</w:t>
            </w:r>
          </w:p>
        </w:tc>
      </w:tr>
      <w:tr w14:paraId="00A799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8820" w:type="dxa"/>
            <w:gridSpan w:val="4"/>
            <w:tcBorders>
              <w:top w:val="nil"/>
              <w:left w:val="single" w:color="auto" w:sz="6" w:space="0"/>
              <w:bottom w:val="single" w:color="auto" w:sz="6" w:space="0"/>
              <w:right w:val="single" w:color="auto" w:sz="6" w:space="0"/>
            </w:tcBorders>
            <w:shd w:val="clear" w:color="auto" w:fill="C6D9F1"/>
            <w:tcMar>
              <w:left w:w="105" w:type="dxa"/>
              <w:right w:w="105" w:type="dxa"/>
            </w:tcMar>
            <w:vAlign w:val="center"/>
          </w:tcPr>
          <w:p w14:paraId="382BD03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第二十条第（八）项</w:t>
            </w:r>
          </w:p>
        </w:tc>
      </w:tr>
      <w:tr w14:paraId="6897D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5832CC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信息内容</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16BB37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本年收费金额（单位：万元）</w:t>
            </w:r>
          </w:p>
        </w:tc>
      </w:tr>
      <w:tr w14:paraId="7C5EE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2205"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7A54762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color w:val="333333"/>
                <w:sz w:val="24"/>
                <w:szCs w:val="24"/>
              </w:rPr>
            </w:pPr>
            <w:r>
              <w:rPr>
                <w:rFonts w:hint="eastAsia" w:ascii="微软雅黑" w:hAnsi="微软雅黑" w:eastAsia="微软雅黑" w:cs="微软雅黑"/>
                <w:caps w:val="0"/>
                <w:color w:val="333333"/>
                <w:spacing w:val="0"/>
                <w:sz w:val="24"/>
                <w:szCs w:val="24"/>
              </w:rPr>
              <w:t>行政事业性收费</w:t>
            </w:r>
          </w:p>
        </w:tc>
        <w:tc>
          <w:tcPr>
            <w:tcW w:w="661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7E7DD0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eastAsiaTheme="minorEastAsia"/>
                <w:color w:val="333333"/>
                <w:sz w:val="24"/>
                <w:szCs w:val="24"/>
                <w:lang w:val="en-US" w:eastAsia="zh-CN"/>
              </w:rPr>
            </w:pPr>
            <w:r>
              <w:rPr>
                <w:rFonts w:hint="eastAsia"/>
                <w:color w:val="333333"/>
                <w:sz w:val="24"/>
                <w:szCs w:val="24"/>
                <w:lang w:val="en-US" w:eastAsia="zh-CN"/>
              </w:rPr>
              <w:t>0</w:t>
            </w:r>
          </w:p>
        </w:tc>
      </w:tr>
    </w:tbl>
    <w:p w14:paraId="488D5F81">
      <w:pPr>
        <w:spacing w:line="560" w:lineRule="exact"/>
        <w:ind w:firstLine="640" w:firstLineChars="200"/>
        <w:rPr>
          <w:rFonts w:hint="eastAsia" w:ascii="黑体" w:hAnsi="黑体" w:eastAsia="黑体" w:cs="黑体"/>
          <w:bCs/>
          <w:kern w:val="0"/>
          <w:sz w:val="32"/>
          <w:szCs w:val="32"/>
          <w:shd w:val="clear" w:color="auto" w:fill="FFFFFF"/>
        </w:rPr>
      </w:pPr>
      <w:r>
        <w:rPr>
          <w:rFonts w:hint="eastAsia" w:ascii="黑体" w:hAnsi="黑体" w:eastAsia="黑体" w:cs="黑体"/>
          <w:bCs/>
          <w:kern w:val="0"/>
          <w:sz w:val="32"/>
          <w:szCs w:val="32"/>
          <w:shd w:val="clear" w:color="auto" w:fill="FFFFFF"/>
        </w:rPr>
        <w:t>三、收到和处理政府信息公开申请情况</w:t>
      </w:r>
    </w:p>
    <w:tbl>
      <w:tblPr>
        <w:tblStyle w:val="5"/>
        <w:tblW w:w="9540"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90"/>
        <w:gridCol w:w="1644"/>
        <w:gridCol w:w="2818"/>
        <w:gridCol w:w="733"/>
        <w:gridCol w:w="15"/>
        <w:gridCol w:w="519"/>
        <w:gridCol w:w="14"/>
        <w:gridCol w:w="14"/>
        <w:gridCol w:w="520"/>
        <w:gridCol w:w="702"/>
        <w:gridCol w:w="660"/>
        <w:gridCol w:w="520"/>
        <w:gridCol w:w="691"/>
      </w:tblGrid>
      <w:tr w14:paraId="334731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20" w:hRule="atLeast"/>
        </w:trPr>
        <w:tc>
          <w:tcPr>
            <w:tcW w:w="5085" w:type="dxa"/>
            <w:gridSpan w:val="3"/>
            <w:vMerge w:val="restart"/>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732240C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（本列数据的勾稽关系为：第一项加第二项之和，等于第三项加第四项之和）</w:t>
            </w:r>
          </w:p>
        </w:tc>
        <w:tc>
          <w:tcPr>
            <w:tcW w:w="4455" w:type="dxa"/>
            <w:gridSpan w:val="10"/>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72B002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申请人情况</w:t>
            </w:r>
          </w:p>
        </w:tc>
      </w:tr>
      <w:tr w14:paraId="25D54B2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20" w:hRule="atLeast"/>
        </w:trPr>
        <w:tc>
          <w:tcPr>
            <w:tcW w:w="508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40BB933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75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49DD917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自然人</w:t>
            </w:r>
          </w:p>
        </w:tc>
        <w:tc>
          <w:tcPr>
            <w:tcW w:w="3000" w:type="dxa"/>
            <w:gridSpan w:val="8"/>
            <w:tcBorders>
              <w:top w:val="nil"/>
              <w:left w:val="nil"/>
              <w:bottom w:val="single" w:color="auto" w:sz="6" w:space="0"/>
              <w:right w:val="single" w:color="auto" w:sz="6" w:space="0"/>
            </w:tcBorders>
            <w:shd w:val="clear" w:color="auto" w:fill="auto"/>
            <w:tcMar>
              <w:left w:w="105" w:type="dxa"/>
              <w:right w:w="105" w:type="dxa"/>
            </w:tcMar>
            <w:vAlign w:val="center"/>
          </w:tcPr>
          <w:p w14:paraId="29FC74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法人或其他组织</w:t>
            </w:r>
          </w:p>
        </w:tc>
        <w:tc>
          <w:tcPr>
            <w:tcW w:w="70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4D93937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总计</w:t>
            </w:r>
          </w:p>
        </w:tc>
      </w:tr>
      <w:tr w14:paraId="520927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16" w:hRule="atLeast"/>
        </w:trPr>
        <w:tc>
          <w:tcPr>
            <w:tcW w:w="5085" w:type="dxa"/>
            <w:gridSpan w:val="3"/>
            <w:vMerge w:val="continue"/>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2244D0C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75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1B8709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0F98124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商业企业</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55E13F0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科研机构</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28A847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社会公益组织</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2DD9F4D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法律服务机构</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3CFA59E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其他</w:t>
            </w:r>
          </w:p>
        </w:tc>
        <w:tc>
          <w:tcPr>
            <w:tcW w:w="70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5EBDA0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r>
      <w:tr w14:paraId="2AB728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6" w:hRule="atLeast"/>
        </w:trPr>
        <w:tc>
          <w:tcPr>
            <w:tcW w:w="508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2480C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一、本年新收政府信息公开申请数量</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14:paraId="42DD250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29</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A59762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B0CED6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6C31731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2CE72D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C9553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19621A0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32</w:t>
            </w:r>
          </w:p>
        </w:tc>
      </w:tr>
      <w:tr w14:paraId="2B6294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6" w:hRule="atLeast"/>
        </w:trPr>
        <w:tc>
          <w:tcPr>
            <w:tcW w:w="508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CA366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二、上年结转政府信息公开申请数量</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14:paraId="6E4896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A5BAA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B79B17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5BAB93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008B4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DF29D7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376846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w:t>
            </w:r>
          </w:p>
        </w:tc>
      </w:tr>
      <w:tr w14:paraId="32F5CF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6B6B40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三、本年度办理结果</w:t>
            </w:r>
          </w:p>
        </w:tc>
        <w:tc>
          <w:tcPr>
            <w:tcW w:w="46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2DB200F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（一）予以公开</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14:paraId="62FDC9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16</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0BE50F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3A68E7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002D789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4B43A76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AE0C8D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1957141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19</w:t>
            </w:r>
          </w:p>
        </w:tc>
      </w:tr>
      <w:tr w14:paraId="5270CAB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810B3F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46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F8B0CA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（二）部分公开（区分处理的，只计这一情形，不计其他情形）</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14:paraId="45E6E0E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568E53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144C7B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3E8AAA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2873A2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CBBFD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54096D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r>
      <w:tr w14:paraId="45CBC88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E0D32A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4584BEF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（三）不予公开</w:t>
            </w: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4D1348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1.属于国家秘密</w:t>
            </w:r>
          </w:p>
        </w:tc>
        <w:tc>
          <w:tcPr>
            <w:tcW w:w="750" w:type="dxa"/>
            <w:tcBorders>
              <w:top w:val="nil"/>
              <w:left w:val="nil"/>
              <w:bottom w:val="single" w:color="auto" w:sz="6" w:space="0"/>
              <w:right w:val="single" w:color="auto" w:sz="6" w:space="0"/>
            </w:tcBorders>
            <w:shd w:val="clear" w:color="auto" w:fill="auto"/>
            <w:tcMar>
              <w:left w:w="105" w:type="dxa"/>
              <w:right w:w="105" w:type="dxa"/>
            </w:tcMar>
            <w:vAlign w:val="center"/>
          </w:tcPr>
          <w:p w14:paraId="591F7B5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6415B45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725B85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2D2B02A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3F9E6FD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3F077C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5FEAC95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086F53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99E5EE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C73D20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4820EEC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2.其他法律行政法规禁止公开</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AF8A6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AEEDD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CF50C1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550B6B3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3356AE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BCBCC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1CD41F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2964A7F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AD4FE9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0953FA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356B55D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3.危及“三安全一稳定”</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0D011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407BFD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780A182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302665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195A7C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7180312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B1B618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6888B9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553E6B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14EC3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155A64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4.保护第三方合法权益</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F731A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70474D8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770DE3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C893E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3DEB8AD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52859C1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09FCC16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08A3E1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D657C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06BDFB7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1DF0D2F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5.属于三类内部事务信息</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0E479D4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438E02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6B99FF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038102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1EEE03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134EC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7743E9B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45EC50A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80BDD3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0C6B9B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68FD14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6.属于四类过程性信息</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66BB6D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22BBEA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7FBB9B6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5FB5082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084AF20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77CF7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1630596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38F3B9B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933F90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EC3D8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7B91729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7.属于行政执法案卷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BE4E68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38FB42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C78D95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BCC3C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097A1C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8F1F51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2E8A306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774699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F607F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4A203F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249B4D0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8.属于行政查询事项</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8C6A2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081EBF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0B190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873D39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5AE125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E82431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7334E08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364EFD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90CFA2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07CF485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（四）无法提供</w:t>
            </w: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63EADB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1.本机关不掌握相关政府信息</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4011D5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14</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BF806D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F897EC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A3C73C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40D705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FF8F7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F34D79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rPr>
            </w:pPr>
            <w:r>
              <w:rPr>
                <w:rFonts w:hint="eastAsia" w:ascii="微软雅黑" w:hAnsi="微软雅黑" w:eastAsia="微软雅黑" w:cs="微软雅黑"/>
                <w:caps w:val="0"/>
                <w:color w:val="333333"/>
                <w:spacing w:val="0"/>
                <w:sz w:val="24"/>
                <w:szCs w:val="24"/>
                <w:lang w:val="en-US" w:eastAsia="zh-CN"/>
              </w:rPr>
              <w:t>14</w:t>
            </w:r>
          </w:p>
        </w:tc>
      </w:tr>
      <w:tr w14:paraId="5272DA7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58D9C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0FCE4A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284D08F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2.没有现成信息需要另行制作</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958BC4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46E058B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5235FA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207446E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1503DAA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768D482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5D200CC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1</w:t>
            </w:r>
          </w:p>
        </w:tc>
      </w:tr>
      <w:tr w14:paraId="47F7ED8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A127F6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7A50BB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617EAD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3.补正后申请内容仍不明确</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3F43D9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0612A4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46A8D9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78FE6D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16289A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71F583D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2D109B5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75FE6BC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986C70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3D34107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（五）不予处理</w:t>
            </w: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3CF5DB3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1.信访举报投诉类申请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5E042E2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78482D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6EF61B1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173830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75803E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A88B5E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E42759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7D0D16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C8353E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943169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4DAEE42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2.重复申请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C6C6F9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5316041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878A21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21F8B5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9CCE2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6B26C8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310E75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4BD32D5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5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E16332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451534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5ED7AB8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3.要求提供公开出版物</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1D05AA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45CF9D7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D288BB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5A5EAF8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BF986B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755B88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54049B0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104F651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390" w:hRule="atLeast"/>
        </w:trPr>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0CE110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4462F8F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0B7140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4.无正当理由大量反复申请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44E505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0FCFAF8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6156327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0798F49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3817C23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D73849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7F62AFD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7767CC6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84C27A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31F509C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5CEA7FE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5.要求行政机关确认或重新</w:t>
            </w:r>
          </w:p>
          <w:p w14:paraId="5C328DD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出具已获取信息</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E35F0C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497C533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3BBF1C9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0DA0BBD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4B9FCD9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C9D466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E3EE68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209635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648E31D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003561F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（六）其他处理</w:t>
            </w: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177EF52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1.申请人无正当理由逾期不补正、行政机关不再处理其政府信息公开申请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2D9260D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2E5E8CD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685F54A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0299EBE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8B078A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3539ADC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419A620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0E7F8A3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1E37CE5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23696F4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07D1891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2.申请人逾期未按收费通知要求缴纳费用、行政机关不再处理其政府信息公开申请</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6F27DA3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1B33A56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5BE1738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A85EAD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299CC13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723CDD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4758F3D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6AE55F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4E02AB4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1695"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18D74C7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2970" w:type="dxa"/>
            <w:tcBorders>
              <w:top w:val="nil"/>
              <w:left w:val="nil"/>
              <w:bottom w:val="single" w:color="auto" w:sz="6" w:space="0"/>
              <w:right w:val="single" w:color="auto" w:sz="6" w:space="0"/>
            </w:tcBorders>
            <w:shd w:val="clear" w:color="auto" w:fill="auto"/>
            <w:tcMar>
              <w:left w:w="105" w:type="dxa"/>
              <w:right w:w="105" w:type="dxa"/>
            </w:tcMar>
            <w:vAlign w:val="center"/>
          </w:tcPr>
          <w:p w14:paraId="769619E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3.其他</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461DEFB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40"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7213882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4535135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48CB5E3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7955062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C45151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6295F97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lang w:val="en-US" w:eastAsia="zh-CN"/>
              </w:rPr>
              <w:t>0</w:t>
            </w:r>
          </w:p>
        </w:tc>
      </w:tr>
      <w:tr w14:paraId="508102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42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3D50158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p>
        </w:tc>
        <w:tc>
          <w:tcPr>
            <w:tcW w:w="46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3A2D3F1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（七）总计</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70B5AB2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31</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5ECF9DB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056818F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02AB9C6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5DE1F40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188C052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09B0BEB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default"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34</w:t>
            </w:r>
          </w:p>
        </w:tc>
      </w:tr>
      <w:tr w14:paraId="2B7C274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5085" w:type="dxa"/>
            <w:gridSpan w:val="3"/>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41A194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四、结转下年度继续办理</w:t>
            </w:r>
          </w:p>
        </w:tc>
        <w:tc>
          <w:tcPr>
            <w:tcW w:w="765" w:type="dxa"/>
            <w:gridSpan w:val="2"/>
            <w:tcBorders>
              <w:top w:val="nil"/>
              <w:left w:val="nil"/>
              <w:bottom w:val="single" w:color="auto" w:sz="6" w:space="0"/>
              <w:right w:val="single" w:color="auto" w:sz="6" w:space="0"/>
            </w:tcBorders>
            <w:shd w:val="clear" w:color="auto" w:fill="auto"/>
            <w:tcMar>
              <w:left w:w="105" w:type="dxa"/>
              <w:right w:w="105" w:type="dxa"/>
            </w:tcMar>
            <w:vAlign w:val="center"/>
          </w:tcPr>
          <w:p w14:paraId="15292C0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w:t>
            </w:r>
          </w:p>
        </w:tc>
        <w:tc>
          <w:tcPr>
            <w:tcW w:w="555" w:type="dxa"/>
            <w:gridSpan w:val="3"/>
            <w:tcBorders>
              <w:top w:val="nil"/>
              <w:left w:val="nil"/>
              <w:bottom w:val="single" w:color="auto" w:sz="6" w:space="0"/>
              <w:right w:val="single" w:color="auto" w:sz="6" w:space="0"/>
            </w:tcBorders>
            <w:shd w:val="clear" w:color="auto" w:fill="auto"/>
            <w:tcMar>
              <w:left w:w="105" w:type="dxa"/>
              <w:right w:w="105" w:type="dxa"/>
            </w:tcMar>
            <w:vAlign w:val="center"/>
          </w:tcPr>
          <w:p w14:paraId="391F845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227CFB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20" w:type="dxa"/>
            <w:tcBorders>
              <w:top w:val="nil"/>
              <w:left w:val="nil"/>
              <w:bottom w:val="single" w:color="auto" w:sz="6" w:space="0"/>
              <w:right w:val="single" w:color="auto" w:sz="6" w:space="0"/>
            </w:tcBorders>
            <w:shd w:val="clear" w:color="auto" w:fill="auto"/>
            <w:tcMar>
              <w:left w:w="105" w:type="dxa"/>
              <w:right w:w="105" w:type="dxa"/>
            </w:tcMar>
            <w:vAlign w:val="center"/>
          </w:tcPr>
          <w:p w14:paraId="5990799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675" w:type="dxa"/>
            <w:tcBorders>
              <w:top w:val="nil"/>
              <w:left w:val="nil"/>
              <w:bottom w:val="single" w:color="auto" w:sz="6" w:space="0"/>
              <w:right w:val="single" w:color="auto" w:sz="6" w:space="0"/>
            </w:tcBorders>
            <w:shd w:val="clear" w:color="auto" w:fill="auto"/>
            <w:tcMar>
              <w:left w:w="105" w:type="dxa"/>
              <w:right w:w="105" w:type="dxa"/>
            </w:tcMar>
            <w:vAlign w:val="center"/>
          </w:tcPr>
          <w:p w14:paraId="6199A6A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525" w:type="dxa"/>
            <w:tcBorders>
              <w:top w:val="nil"/>
              <w:left w:val="nil"/>
              <w:bottom w:val="single" w:color="auto" w:sz="6" w:space="0"/>
              <w:right w:val="single" w:color="auto" w:sz="6" w:space="0"/>
            </w:tcBorders>
            <w:shd w:val="clear" w:color="auto" w:fill="auto"/>
            <w:tcMar>
              <w:left w:w="105" w:type="dxa"/>
              <w:right w:w="105" w:type="dxa"/>
            </w:tcMar>
            <w:vAlign w:val="center"/>
          </w:tcPr>
          <w:p w14:paraId="2A38537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0</w:t>
            </w:r>
          </w:p>
        </w:tc>
        <w:tc>
          <w:tcPr>
            <w:tcW w:w="705" w:type="dxa"/>
            <w:tcBorders>
              <w:top w:val="nil"/>
              <w:left w:val="nil"/>
              <w:bottom w:val="single" w:color="auto" w:sz="6" w:space="0"/>
              <w:right w:val="single" w:color="auto" w:sz="6" w:space="0"/>
            </w:tcBorders>
            <w:shd w:val="clear" w:color="auto" w:fill="auto"/>
            <w:tcMar>
              <w:left w:w="105" w:type="dxa"/>
              <w:right w:w="105" w:type="dxa"/>
            </w:tcMar>
            <w:vAlign w:val="center"/>
          </w:tcPr>
          <w:p w14:paraId="1E2D986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lang w:val="en-US" w:eastAsia="zh-CN"/>
              </w:rPr>
            </w:pPr>
            <w:r>
              <w:rPr>
                <w:rFonts w:hint="eastAsia" w:ascii="微软雅黑" w:hAnsi="微软雅黑" w:eastAsia="微软雅黑" w:cs="微软雅黑"/>
                <w:caps w:val="0"/>
                <w:color w:val="333333"/>
                <w:spacing w:val="0"/>
                <w:sz w:val="24"/>
                <w:szCs w:val="24"/>
                <w:lang w:val="en-US" w:eastAsia="zh-CN"/>
              </w:rPr>
              <w:t>1</w:t>
            </w:r>
          </w:p>
        </w:tc>
      </w:tr>
    </w:tbl>
    <w:p w14:paraId="5A759758">
      <w:pPr>
        <w:spacing w:line="560" w:lineRule="exact"/>
        <w:ind w:firstLine="640" w:firstLineChars="200"/>
        <w:rPr>
          <w:rFonts w:hint="eastAsia" w:ascii="黑体" w:hAnsi="黑体" w:eastAsia="黑体" w:cs="黑体"/>
          <w:bCs/>
          <w:kern w:val="0"/>
          <w:sz w:val="32"/>
          <w:szCs w:val="32"/>
          <w:shd w:val="clear" w:color="auto" w:fill="FFFFFF"/>
        </w:rPr>
      </w:pPr>
      <w:r>
        <w:rPr>
          <w:rFonts w:hint="eastAsia" w:ascii="黑体" w:hAnsi="黑体" w:eastAsia="黑体" w:cs="黑体"/>
          <w:bCs/>
          <w:kern w:val="0"/>
          <w:sz w:val="32"/>
          <w:szCs w:val="32"/>
          <w:shd w:val="clear" w:color="auto" w:fill="FFFFFF"/>
        </w:rPr>
        <w:t>四、政府信息公开行政复议、行政诉讼情况</w:t>
      </w:r>
    </w:p>
    <w:tbl>
      <w:tblPr>
        <w:tblStyle w:val="5"/>
        <w:tblW w:w="9075"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00"/>
        <w:gridCol w:w="600"/>
        <w:gridCol w:w="600"/>
        <w:gridCol w:w="600"/>
        <w:gridCol w:w="675"/>
        <w:gridCol w:w="555"/>
        <w:gridCol w:w="600"/>
        <w:gridCol w:w="600"/>
        <w:gridCol w:w="600"/>
        <w:gridCol w:w="615"/>
        <w:gridCol w:w="600"/>
        <w:gridCol w:w="600"/>
        <w:gridCol w:w="600"/>
        <w:gridCol w:w="600"/>
        <w:gridCol w:w="630"/>
      </w:tblGrid>
      <w:tr w14:paraId="7ABED9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5" w:hRule="atLeast"/>
        </w:trPr>
        <w:tc>
          <w:tcPr>
            <w:tcW w:w="3075" w:type="dxa"/>
            <w:gridSpan w:val="5"/>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14:paraId="56A5431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行政复议</w:t>
            </w:r>
          </w:p>
        </w:tc>
        <w:tc>
          <w:tcPr>
            <w:tcW w:w="6000" w:type="dxa"/>
            <w:gridSpan w:val="10"/>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B3B0F3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行政诉讼</w:t>
            </w:r>
          </w:p>
        </w:tc>
      </w:tr>
      <w:tr w14:paraId="1EB4CC2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0" w:hRule="atLeast"/>
        </w:trPr>
        <w:tc>
          <w:tcPr>
            <w:tcW w:w="600" w:type="dxa"/>
            <w:vMerge w:val="restart"/>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2FAFE0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结果</w:t>
            </w:r>
          </w:p>
          <w:p w14:paraId="172E964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维持</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6EDAD5C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结果纠正</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74FBA3A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其他结果</w:t>
            </w:r>
          </w:p>
        </w:tc>
        <w:tc>
          <w:tcPr>
            <w:tcW w:w="60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24C23BF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尚未</w:t>
            </w:r>
          </w:p>
          <w:p w14:paraId="1BD4AFD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审结</w:t>
            </w:r>
          </w:p>
        </w:tc>
        <w:tc>
          <w:tcPr>
            <w:tcW w:w="660" w:type="dxa"/>
            <w:vMerge w:val="restart"/>
            <w:tcBorders>
              <w:top w:val="nil"/>
              <w:left w:val="nil"/>
              <w:bottom w:val="single" w:color="auto" w:sz="6" w:space="0"/>
              <w:right w:val="single" w:color="auto" w:sz="6" w:space="0"/>
            </w:tcBorders>
            <w:shd w:val="clear" w:color="auto" w:fill="auto"/>
            <w:tcMar>
              <w:left w:w="105" w:type="dxa"/>
              <w:right w:w="105" w:type="dxa"/>
            </w:tcMar>
            <w:vAlign w:val="center"/>
          </w:tcPr>
          <w:p w14:paraId="0353FB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总</w:t>
            </w:r>
          </w:p>
          <w:p w14:paraId="61A845E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计</w:t>
            </w:r>
          </w:p>
        </w:tc>
        <w:tc>
          <w:tcPr>
            <w:tcW w:w="2970" w:type="dxa"/>
            <w:gridSpan w:val="5"/>
            <w:tcBorders>
              <w:top w:val="nil"/>
              <w:left w:val="nil"/>
              <w:bottom w:val="single" w:color="auto" w:sz="6" w:space="0"/>
              <w:right w:val="single" w:color="auto" w:sz="6" w:space="0"/>
            </w:tcBorders>
            <w:shd w:val="clear" w:color="auto" w:fill="auto"/>
            <w:tcMar>
              <w:left w:w="105" w:type="dxa"/>
              <w:right w:w="105" w:type="dxa"/>
            </w:tcMar>
            <w:vAlign w:val="center"/>
          </w:tcPr>
          <w:p w14:paraId="7D3994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未经复议直接起诉</w:t>
            </w:r>
          </w:p>
        </w:tc>
        <w:tc>
          <w:tcPr>
            <w:tcW w:w="3030" w:type="dxa"/>
            <w:gridSpan w:val="5"/>
            <w:tcBorders>
              <w:top w:val="nil"/>
              <w:left w:val="nil"/>
              <w:bottom w:val="single" w:color="auto" w:sz="6" w:space="0"/>
              <w:right w:val="single" w:color="auto" w:sz="6" w:space="0"/>
            </w:tcBorders>
            <w:shd w:val="clear" w:color="auto" w:fill="auto"/>
            <w:tcMar>
              <w:left w:w="105" w:type="dxa"/>
              <w:right w:w="105" w:type="dxa"/>
            </w:tcMar>
            <w:vAlign w:val="center"/>
          </w:tcPr>
          <w:p w14:paraId="5ABFCC2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sz w:val="24"/>
                <w:szCs w:val="24"/>
              </w:rPr>
            </w:pPr>
            <w:r>
              <w:rPr>
                <w:rFonts w:hint="eastAsia" w:ascii="微软雅黑" w:hAnsi="微软雅黑" w:eastAsia="微软雅黑" w:cs="微软雅黑"/>
                <w:caps w:val="0"/>
                <w:color w:val="333333"/>
                <w:spacing w:val="0"/>
                <w:sz w:val="24"/>
                <w:szCs w:val="24"/>
              </w:rPr>
              <w:t>复议后起诉</w:t>
            </w:r>
          </w:p>
        </w:tc>
      </w:tr>
      <w:tr w14:paraId="487A61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900" w:hRule="atLeast"/>
        </w:trPr>
        <w:tc>
          <w:tcPr>
            <w:tcW w:w="600" w:type="dxa"/>
            <w:vMerge w:val="continue"/>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0F837655">
            <w:pPr>
              <w:rPr>
                <w:rFonts w:hint="eastAsia" w:ascii="微软雅黑" w:hAnsi="微软雅黑" w:eastAsia="微软雅黑" w:cs="微软雅黑"/>
                <w:caps w:val="0"/>
                <w:color w:val="333333"/>
                <w:spacing w:val="0"/>
                <w:kern w:val="0"/>
                <w:sz w:val="24"/>
                <w:szCs w:val="24"/>
                <w:lang w:val="en-US" w:eastAsia="zh-CN" w:bidi="ar"/>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5EBEB62A">
            <w:pPr>
              <w:rPr>
                <w:rFonts w:hint="eastAsia" w:ascii="微软雅黑" w:hAnsi="微软雅黑" w:eastAsia="微软雅黑" w:cs="微软雅黑"/>
                <w:caps w:val="0"/>
                <w:color w:val="333333"/>
                <w:spacing w:val="0"/>
                <w:kern w:val="0"/>
                <w:sz w:val="24"/>
                <w:szCs w:val="24"/>
                <w:lang w:val="en-US" w:eastAsia="zh-CN" w:bidi="ar"/>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798BF827">
            <w:pPr>
              <w:rPr>
                <w:rFonts w:hint="eastAsia" w:ascii="微软雅黑" w:hAnsi="微软雅黑" w:eastAsia="微软雅黑" w:cs="微软雅黑"/>
                <w:caps w:val="0"/>
                <w:color w:val="333333"/>
                <w:spacing w:val="0"/>
                <w:kern w:val="0"/>
                <w:sz w:val="24"/>
                <w:szCs w:val="24"/>
                <w:lang w:val="en-US" w:eastAsia="zh-CN" w:bidi="ar"/>
              </w:rPr>
            </w:pPr>
          </w:p>
        </w:tc>
        <w:tc>
          <w:tcPr>
            <w:tcW w:w="60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38DB5090">
            <w:pPr>
              <w:rPr>
                <w:rFonts w:hint="eastAsia" w:ascii="微软雅黑" w:hAnsi="微软雅黑" w:eastAsia="微软雅黑" w:cs="微软雅黑"/>
                <w:caps w:val="0"/>
                <w:color w:val="333333"/>
                <w:spacing w:val="0"/>
                <w:kern w:val="0"/>
                <w:sz w:val="24"/>
                <w:szCs w:val="24"/>
                <w:lang w:val="en-US" w:eastAsia="zh-CN" w:bidi="ar"/>
              </w:rPr>
            </w:pPr>
          </w:p>
        </w:tc>
        <w:tc>
          <w:tcPr>
            <w:tcW w:w="660" w:type="dxa"/>
            <w:vMerge w:val="continue"/>
            <w:tcBorders>
              <w:top w:val="nil"/>
              <w:left w:val="nil"/>
              <w:bottom w:val="single" w:color="auto" w:sz="6" w:space="0"/>
              <w:right w:val="single" w:color="auto" w:sz="6" w:space="0"/>
            </w:tcBorders>
            <w:shd w:val="clear" w:color="auto" w:fill="auto"/>
            <w:tcMar>
              <w:left w:w="105" w:type="dxa"/>
              <w:right w:w="105" w:type="dxa"/>
            </w:tcMar>
            <w:vAlign w:val="center"/>
          </w:tcPr>
          <w:p w14:paraId="0071923D">
            <w:pPr>
              <w:rPr>
                <w:rFonts w:hint="eastAsia" w:ascii="微软雅黑" w:hAnsi="微软雅黑" w:eastAsia="微软雅黑" w:cs="微软雅黑"/>
                <w:caps w:val="0"/>
                <w:color w:val="333333"/>
                <w:spacing w:val="0"/>
                <w:kern w:val="0"/>
                <w:sz w:val="24"/>
                <w:szCs w:val="24"/>
                <w:lang w:val="en-US" w:eastAsia="zh-CN" w:bidi="ar"/>
              </w:rPr>
            </w:pP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14:paraId="269EA63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4F415983">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结果纠正</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534CD4D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其他</w:t>
            </w:r>
          </w:p>
          <w:p w14:paraId="7D2F60E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5EDC1A0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尚未</w:t>
            </w:r>
          </w:p>
          <w:p w14:paraId="513683D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审结</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26C9680">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总计</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20F8692A">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结果维持</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716E2C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w:t>
            </w:r>
          </w:p>
          <w:p w14:paraId="4475AB7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纠正</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702DB24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其他</w:t>
            </w:r>
          </w:p>
          <w:p w14:paraId="732B00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结果</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2DD180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尚未审结</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42E543F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总计</w:t>
            </w:r>
          </w:p>
        </w:tc>
      </w:tr>
      <w:tr w14:paraId="1E7A38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600"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14:paraId="510760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1</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705246C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4A7520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652819F9">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60" w:type="dxa"/>
            <w:tcBorders>
              <w:top w:val="nil"/>
              <w:left w:val="nil"/>
              <w:bottom w:val="single" w:color="auto" w:sz="6" w:space="0"/>
              <w:right w:val="single" w:color="auto" w:sz="6" w:space="0"/>
            </w:tcBorders>
            <w:shd w:val="clear" w:color="auto" w:fill="auto"/>
            <w:tcMar>
              <w:left w:w="105" w:type="dxa"/>
              <w:right w:w="105" w:type="dxa"/>
            </w:tcMar>
            <w:vAlign w:val="center"/>
          </w:tcPr>
          <w:p w14:paraId="1935632B">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1</w:t>
            </w:r>
          </w:p>
        </w:tc>
        <w:tc>
          <w:tcPr>
            <w:tcW w:w="555" w:type="dxa"/>
            <w:tcBorders>
              <w:top w:val="nil"/>
              <w:left w:val="nil"/>
              <w:bottom w:val="single" w:color="auto" w:sz="6" w:space="0"/>
              <w:right w:val="single" w:color="auto" w:sz="6" w:space="0"/>
            </w:tcBorders>
            <w:shd w:val="clear" w:color="auto" w:fill="auto"/>
            <w:tcMar>
              <w:left w:w="105" w:type="dxa"/>
              <w:right w:w="105" w:type="dxa"/>
            </w:tcMar>
            <w:vAlign w:val="center"/>
          </w:tcPr>
          <w:p w14:paraId="277D5CF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46BE13AD">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12B5301E">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F61E8FF">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3585664">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9FDF242">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07BF768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20EC286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3570BAD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c>
          <w:tcPr>
            <w:tcW w:w="600" w:type="dxa"/>
            <w:tcBorders>
              <w:top w:val="nil"/>
              <w:left w:val="nil"/>
              <w:bottom w:val="single" w:color="auto" w:sz="6" w:space="0"/>
              <w:right w:val="single" w:color="auto" w:sz="6" w:space="0"/>
            </w:tcBorders>
            <w:shd w:val="clear" w:color="auto" w:fill="auto"/>
            <w:tcMar>
              <w:left w:w="105" w:type="dxa"/>
              <w:right w:w="105" w:type="dxa"/>
            </w:tcMar>
            <w:vAlign w:val="center"/>
          </w:tcPr>
          <w:p w14:paraId="676E839C">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jc w:val="left"/>
              <w:rPr>
                <w:rFonts w:hint="eastAsia" w:ascii="微软雅黑" w:hAnsi="微软雅黑" w:eastAsia="微软雅黑" w:cs="微软雅黑"/>
                <w:caps w:val="0"/>
                <w:color w:val="333333"/>
                <w:spacing w:val="0"/>
                <w:kern w:val="0"/>
                <w:sz w:val="24"/>
                <w:szCs w:val="24"/>
                <w:lang w:val="en-US" w:eastAsia="zh-CN" w:bidi="ar"/>
              </w:rPr>
            </w:pPr>
            <w:r>
              <w:rPr>
                <w:rFonts w:hint="eastAsia" w:ascii="微软雅黑" w:hAnsi="微软雅黑" w:eastAsia="微软雅黑" w:cs="微软雅黑"/>
                <w:caps w:val="0"/>
                <w:color w:val="333333"/>
                <w:spacing w:val="0"/>
                <w:kern w:val="0"/>
                <w:sz w:val="24"/>
                <w:szCs w:val="24"/>
                <w:lang w:val="en-US" w:eastAsia="zh-CN" w:bidi="ar"/>
              </w:rPr>
              <w:t>0</w:t>
            </w:r>
          </w:p>
        </w:tc>
      </w:tr>
    </w:tbl>
    <w:p w14:paraId="4092B04E">
      <w:pPr>
        <w:spacing w:line="560" w:lineRule="exact"/>
        <w:ind w:firstLine="640" w:firstLineChars="200"/>
        <w:rPr>
          <w:rFonts w:hint="eastAsia" w:ascii="黑体" w:hAnsi="黑体" w:eastAsia="黑体" w:cs="黑体"/>
          <w:bCs/>
          <w:kern w:val="0"/>
          <w:sz w:val="32"/>
          <w:szCs w:val="32"/>
          <w:shd w:val="clear" w:color="auto" w:fill="FFFFFF"/>
        </w:rPr>
      </w:pPr>
      <w:r>
        <w:rPr>
          <w:rFonts w:hint="eastAsia" w:ascii="黑体" w:hAnsi="黑体" w:eastAsia="黑体" w:cs="黑体"/>
          <w:bCs/>
          <w:kern w:val="0"/>
          <w:sz w:val="32"/>
          <w:szCs w:val="32"/>
          <w:shd w:val="clear" w:color="auto" w:fill="FFFFFF"/>
        </w:rPr>
        <w:t>五、存在的主要问题及改进情况</w:t>
      </w:r>
    </w:p>
    <w:p w14:paraId="0EDC46C1">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2025年，威海市环翠区自然资源局严格按照《条例》要求开展政府信息公开工作，但对照国家、省、市关于政务公开工作各项部署要求，还存在一些问题和不足。</w:t>
      </w:r>
    </w:p>
    <w:p w14:paraId="4C52A00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eastAsia" w:ascii="Times New Roman" w:hAnsi="Times New Roman" w:eastAsia="仿宋_GB2312" w:cs="Times New Roman"/>
          <w:kern w:val="2"/>
          <w:sz w:val="32"/>
          <w:szCs w:val="32"/>
          <w:lang w:val="en-US" w:eastAsia="zh-CN" w:bidi="ar-SA"/>
        </w:rPr>
      </w:pPr>
      <w:r>
        <w:rPr>
          <w:rFonts w:hint="eastAsia" w:ascii="楷体_GB2312" w:hAnsi="楷体_GB2312" w:eastAsia="楷体_GB2312" w:cs="楷体_GB2312"/>
          <w:bCs/>
          <w:kern w:val="2"/>
          <w:sz w:val="32"/>
          <w:szCs w:val="32"/>
          <w:lang w:val="en-US" w:eastAsia="zh-CN" w:bidi="ar-SA"/>
        </w:rPr>
        <w:t>（一）存在问题。</w:t>
      </w:r>
      <w:r>
        <w:rPr>
          <w:rFonts w:hint="eastAsia" w:ascii="Times New Roman" w:hAnsi="Times New Roman" w:eastAsia="仿宋_GB2312" w:cs="Times New Roman"/>
          <w:kern w:val="2"/>
          <w:sz w:val="32"/>
          <w:szCs w:val="32"/>
          <w:lang w:val="en-US" w:eastAsia="zh-CN" w:bidi="ar-SA"/>
        </w:rPr>
        <w:t>一是对政府网站已公示信息自查力度不够，引用链接失效等问题订正不及时。二是信息公开及时性有待提高，个别文件印发后将近20个工作日才公示。</w:t>
      </w:r>
    </w:p>
    <w:p w14:paraId="3819FF35">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default" w:ascii="Times New Roman" w:hAnsi="Times New Roman" w:eastAsia="仿宋_GB2312" w:cs="Times New Roman"/>
          <w:kern w:val="2"/>
          <w:sz w:val="32"/>
          <w:szCs w:val="32"/>
          <w:lang w:val="en-US" w:eastAsia="zh-CN" w:bidi="ar-SA"/>
        </w:rPr>
      </w:pPr>
      <w:r>
        <w:rPr>
          <w:rFonts w:hint="eastAsia" w:ascii="楷体_GB2312" w:hAnsi="楷体_GB2312" w:eastAsia="楷体_GB2312" w:cs="楷体_GB2312"/>
          <w:bCs/>
          <w:kern w:val="2"/>
          <w:sz w:val="32"/>
          <w:szCs w:val="32"/>
          <w:lang w:val="en-US" w:eastAsia="zh-CN" w:bidi="ar-SA"/>
        </w:rPr>
        <w:t>（二）改进措施。</w:t>
      </w:r>
      <w:r>
        <w:rPr>
          <w:rFonts w:hint="eastAsia" w:ascii="Times New Roman" w:hAnsi="Times New Roman" w:eastAsia="仿宋_GB2312" w:cs="Times New Roman"/>
          <w:kern w:val="2"/>
          <w:sz w:val="32"/>
          <w:szCs w:val="32"/>
          <w:lang w:val="en-US" w:eastAsia="zh-CN" w:bidi="ar-SA"/>
        </w:rPr>
        <w:t>一是定期对发布在网站上的信息进行自查自纠，发现错敏词、错链等情况，及时进行整改，确保信息发布的准确性。二是在信息审核定稿后，及时主动公开，提高信息主动公开工作的自觉性，确保信息发布的时效性。</w:t>
      </w:r>
    </w:p>
    <w:p w14:paraId="0F4C2C2B">
      <w:pPr>
        <w:spacing w:line="560" w:lineRule="exact"/>
        <w:ind w:firstLine="640" w:firstLineChars="200"/>
        <w:rPr>
          <w:rFonts w:hint="eastAsia" w:ascii="黑体" w:hAnsi="黑体" w:eastAsia="黑体" w:cs="黑体"/>
          <w:bCs/>
          <w:kern w:val="0"/>
          <w:sz w:val="32"/>
          <w:szCs w:val="32"/>
          <w:shd w:val="clear" w:color="auto" w:fill="FFFFFF"/>
          <w:lang w:val="en-US" w:eastAsia="zh-CN"/>
        </w:rPr>
      </w:pPr>
      <w:r>
        <w:rPr>
          <w:rFonts w:hint="eastAsia" w:ascii="黑体" w:hAnsi="黑体" w:eastAsia="黑体" w:cs="黑体"/>
          <w:bCs/>
          <w:kern w:val="0"/>
          <w:sz w:val="32"/>
          <w:szCs w:val="32"/>
          <w:shd w:val="clear" w:color="auto" w:fill="FFFFFF"/>
          <w:lang w:val="en-US" w:eastAsia="zh-CN"/>
        </w:rPr>
        <w:t>六、其他需要报告的事项</w:t>
      </w:r>
    </w:p>
    <w:p w14:paraId="6B3348E7">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楷体_GB2312" w:cs="Times New Roman"/>
          <w:sz w:val="32"/>
          <w:szCs w:val="32"/>
          <w:lang w:val="en-US" w:eastAsia="zh-CN" w:bidi="ar-SA"/>
        </w:rPr>
        <w:t>1.政府信息公开收费方面：</w:t>
      </w:r>
      <w:r>
        <w:rPr>
          <w:rFonts w:hint="eastAsia" w:ascii="Times New Roman" w:hAnsi="Times New Roman" w:eastAsia="仿宋_GB2312" w:cs="Times New Roman"/>
          <w:kern w:val="2"/>
          <w:sz w:val="32"/>
          <w:szCs w:val="32"/>
          <w:lang w:val="en-US" w:eastAsia="zh-CN" w:bidi="ar-SA"/>
        </w:rPr>
        <w:t>2025年威海市环翠区自然资源局未收取政府信息公开信息处理费。</w:t>
      </w:r>
    </w:p>
    <w:p w14:paraId="7B755658">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楷体_GB2312" w:cs="Times New Roman"/>
          <w:sz w:val="32"/>
          <w:szCs w:val="32"/>
          <w:lang w:val="en-US" w:eastAsia="zh-CN" w:bidi="ar-SA"/>
        </w:rPr>
        <w:t>2.人大代表、政协委员提案办理方面：</w:t>
      </w:r>
      <w:r>
        <w:rPr>
          <w:rFonts w:hint="eastAsia" w:ascii="Times New Roman" w:hAnsi="Times New Roman" w:eastAsia="仿宋_GB2312" w:cs="Times New Roman"/>
          <w:kern w:val="2"/>
          <w:sz w:val="32"/>
          <w:szCs w:val="32"/>
          <w:lang w:val="en-US" w:eastAsia="zh-CN" w:bidi="ar-SA"/>
        </w:rPr>
        <w:t>2025年威海市环翠区自然资源局未承办人大代表、政协提案办理。</w:t>
      </w:r>
    </w:p>
    <w:p w14:paraId="64C23226">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50" w:lineRule="atLeast"/>
        <w:ind w:left="0" w:right="0" w:firstLine="420"/>
        <w:jc w:val="left"/>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楷体_GB2312" w:cs="Times New Roman"/>
          <w:sz w:val="32"/>
          <w:szCs w:val="32"/>
          <w:lang w:val="en-US" w:eastAsia="zh-CN" w:bidi="ar-SA"/>
        </w:rPr>
        <w:t>3.其他方面：</w:t>
      </w:r>
      <w:r>
        <w:rPr>
          <w:rFonts w:hint="eastAsia" w:ascii="Times New Roman" w:hAnsi="Times New Roman" w:eastAsia="仿宋_GB2312" w:cs="Times New Roman"/>
          <w:kern w:val="2"/>
          <w:sz w:val="32"/>
          <w:szCs w:val="32"/>
          <w:lang w:val="en-US" w:eastAsia="zh-CN" w:bidi="ar-SA"/>
        </w:rPr>
        <w:t>2025年，威海市环翠区自然资源局严格落实省市区政务公开工作要点要求，严格遵循《中华人民共和国政府信息公开条例》、《环翠区政府信息依申请公开办理答复工作规范》等法规文件，完善依申请公开工作全流程管理，包括登记、协查、会签、补正、延期、征求第三方意见、归档等环节，依法依规、及时准确答复反馈。通过开展“6·25土地日”、“政府开放日”、“8·29测绘法宣传日”、“12·4宪法日”等宣传活动，以及政府网站及“最威海是环翠”APP发布各类政务信息，畅通线上线下多渠道，向社会公众传达自然资源领域政策法规，有效提升了公众的认知度和参与度。</w:t>
      </w:r>
    </w:p>
    <w:p w14:paraId="07FAFF6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01122B"/>
    <w:rsid w:val="01483505"/>
    <w:rsid w:val="017E3DB0"/>
    <w:rsid w:val="026021E5"/>
    <w:rsid w:val="03082CDF"/>
    <w:rsid w:val="04647DB3"/>
    <w:rsid w:val="04E53BC5"/>
    <w:rsid w:val="06B07B82"/>
    <w:rsid w:val="07D97ECC"/>
    <w:rsid w:val="09207FBB"/>
    <w:rsid w:val="09D83C22"/>
    <w:rsid w:val="0B666A61"/>
    <w:rsid w:val="0D6C40D7"/>
    <w:rsid w:val="0D76383F"/>
    <w:rsid w:val="0E3A0123"/>
    <w:rsid w:val="0ED764F4"/>
    <w:rsid w:val="0F032819"/>
    <w:rsid w:val="0F196359"/>
    <w:rsid w:val="0FE73333"/>
    <w:rsid w:val="118612DF"/>
    <w:rsid w:val="13710085"/>
    <w:rsid w:val="15535D94"/>
    <w:rsid w:val="15D31623"/>
    <w:rsid w:val="16D27BAC"/>
    <w:rsid w:val="179208FE"/>
    <w:rsid w:val="1A926769"/>
    <w:rsid w:val="1D7C3EC2"/>
    <w:rsid w:val="1F0E3B85"/>
    <w:rsid w:val="1F6465B5"/>
    <w:rsid w:val="200F5CCA"/>
    <w:rsid w:val="22617B2B"/>
    <w:rsid w:val="236A544F"/>
    <w:rsid w:val="244A00AE"/>
    <w:rsid w:val="248B6682"/>
    <w:rsid w:val="25640244"/>
    <w:rsid w:val="25897AC4"/>
    <w:rsid w:val="259D70CC"/>
    <w:rsid w:val="26D57D33"/>
    <w:rsid w:val="27C941A8"/>
    <w:rsid w:val="27CB3D85"/>
    <w:rsid w:val="2CCB1263"/>
    <w:rsid w:val="2D985B2C"/>
    <w:rsid w:val="2D9F1EF2"/>
    <w:rsid w:val="2DDA398D"/>
    <w:rsid w:val="2DF302D1"/>
    <w:rsid w:val="2F9D679E"/>
    <w:rsid w:val="34FF310D"/>
    <w:rsid w:val="350B0863"/>
    <w:rsid w:val="350D4343"/>
    <w:rsid w:val="36F566A9"/>
    <w:rsid w:val="376B729E"/>
    <w:rsid w:val="38024EA8"/>
    <w:rsid w:val="38E10F3F"/>
    <w:rsid w:val="3A671998"/>
    <w:rsid w:val="3A992100"/>
    <w:rsid w:val="3CF17716"/>
    <w:rsid w:val="3E740D12"/>
    <w:rsid w:val="42BC5E87"/>
    <w:rsid w:val="43F65ECD"/>
    <w:rsid w:val="447D589A"/>
    <w:rsid w:val="46DB43B4"/>
    <w:rsid w:val="47417EE0"/>
    <w:rsid w:val="47E6086B"/>
    <w:rsid w:val="49B67007"/>
    <w:rsid w:val="4A010161"/>
    <w:rsid w:val="4CEC75AB"/>
    <w:rsid w:val="4CFA0BF6"/>
    <w:rsid w:val="4D153050"/>
    <w:rsid w:val="4D4749ED"/>
    <w:rsid w:val="4F005E52"/>
    <w:rsid w:val="4F946881"/>
    <w:rsid w:val="50603B73"/>
    <w:rsid w:val="52B0523D"/>
    <w:rsid w:val="54801803"/>
    <w:rsid w:val="54833DC8"/>
    <w:rsid w:val="567B18AA"/>
    <w:rsid w:val="56EF42BA"/>
    <w:rsid w:val="59861649"/>
    <w:rsid w:val="59AF1DFA"/>
    <w:rsid w:val="5AB93FB8"/>
    <w:rsid w:val="5B420501"/>
    <w:rsid w:val="5B58070F"/>
    <w:rsid w:val="5E486416"/>
    <w:rsid w:val="5E714090"/>
    <w:rsid w:val="61D75138"/>
    <w:rsid w:val="624522F1"/>
    <w:rsid w:val="62515056"/>
    <w:rsid w:val="652F5BBD"/>
    <w:rsid w:val="6656023A"/>
    <w:rsid w:val="66B07033"/>
    <w:rsid w:val="680E609E"/>
    <w:rsid w:val="68862DC8"/>
    <w:rsid w:val="688E391D"/>
    <w:rsid w:val="690D18E8"/>
    <w:rsid w:val="6AA627D7"/>
    <w:rsid w:val="6B6A0DCB"/>
    <w:rsid w:val="6CC80A8E"/>
    <w:rsid w:val="6D943EDD"/>
    <w:rsid w:val="6E8673A5"/>
    <w:rsid w:val="6EB028E8"/>
    <w:rsid w:val="71265F20"/>
    <w:rsid w:val="71F633B8"/>
    <w:rsid w:val="72EC3D37"/>
    <w:rsid w:val="76374958"/>
    <w:rsid w:val="763C1CB3"/>
    <w:rsid w:val="766B3B27"/>
    <w:rsid w:val="766E7A7C"/>
    <w:rsid w:val="7685212A"/>
    <w:rsid w:val="76DE4C32"/>
    <w:rsid w:val="77206955"/>
    <w:rsid w:val="78982FEB"/>
    <w:rsid w:val="79FE61B0"/>
    <w:rsid w:val="7AD85BCB"/>
    <w:rsid w:val="7CE40B0D"/>
    <w:rsid w:val="7DE442BC"/>
    <w:rsid w:val="7E550A48"/>
    <w:rsid w:val="7F16761B"/>
    <w:rsid w:val="7F3D1B1C"/>
    <w:rsid w:val="7F9F17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2774</Words>
  <Characters>2915</Characters>
  <Lines>0</Lines>
  <Paragraphs>0</Paragraphs>
  <TotalTime>33</TotalTime>
  <ScaleCrop>false</ScaleCrop>
  <LinksUpToDate>false</LinksUpToDate>
  <CharactersWithSpaces>2915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2026-01-04T02:11:00Z</dcterms:created>
  <dc:creator>Administrator</dc:creator>
  <cp:lastModifiedBy>Page 0</cp:lastModifiedBy>
  <dcterms:modified xsi:type="dcterms:W3CDTF">2026-01-20T06:03:05Z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eyJoZGlkIjoiMjBiZWQzZmY0M2RjZjQxMWNiNTM2ODY4NGYxMjE5ZDQiLCJ1c2VySWQiOiI0MDEzNjMxNDIifQ==</vt:lpwstr>
  </property>
  <property fmtid="{D5CDD505-2E9C-101B-9397-08002B2CF9AE}" pid="4" name="ICV">
    <vt:lpwstr>7E9E710F25084772A1CD837364065601_12</vt:lpwstr>
  </property>
</Properties>
</file>