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olors1.xml" ContentType="application/vnd.ms-office.chartcolorstyle+xml"/>
  <Override PartName="/word/charts/style1.xml" ContentType="application/vnd.ms-office.chart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威海市环翠区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鲸园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街道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办事处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20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22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880" w:firstLineChars="20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根据新修订的《中华人民共和国政府信息公开条例》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现公布威海市环翠区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鲸园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街道2022年政府信息公开工作年度报告。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本报告中所列数据的统计期限自20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日起至20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年12月31日止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本报告的电子版可在威海市环翠区人民政府门户网站（http://www.huancui.gov.cn/col/col82465/index.html）下载。 如对本报告有疑问，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请与鲸园街道办事处党政办联系（地址：东山路戚谷疃小区1号楼，电话：0631—5222975；传真：0631—5222975）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。 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 xml:space="preserve">总体情况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  <w:t>年，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鲸园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  <w:t>街道认真贯彻落实《中华人民共和国政府信息公开条例》及上级关于加强政府信息公开工作的相关文件要求，积极落实政府信息公开有关工作要求，进一步加大了公开度和时效性，在促进自身建设、推进依法行政、密切联系群众、优化发展环境等方面取得了明显成效。本部分包括202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  <w:t>年度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鲸园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  <w:t>街道办事处主动公开、依申请公开、政府信息管理、政府信息公开平台建设、监督保障等政府信息公开工作总体情况。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主动公开政府信息情况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年，本单位共主动公开信息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2354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条，其中通过政府网站公开政府信息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82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条，包括信息公开指南1条、机关职能1条、机构设置1条、领导信息1条、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人事任免2条、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部门文件3条、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部门办公会议10条、区域规划1条、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政府工作报告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条、年度计划1条、年度重点任务信息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条、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建议提案2条、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业务动态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55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条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、主动公开基本目录1条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。微信公众号“和谐鲸园”共发布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1121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条。官方微博“文明鲸园”共发布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1151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条。其中，政府网站侧重于公开政策文件、重点工作计划和进展等信息，微信公众号和和官方微博侧重于发布民生资讯、活动报道等信息。</w:t>
      </w:r>
    </w:p>
    <w:p>
      <w:pPr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0" w:firstLineChars="0"/>
        <w:jc w:val="center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drawing>
          <wp:inline distT="0" distB="0" distL="114300" distR="114300">
            <wp:extent cx="4572000" cy="2762250"/>
            <wp:effectExtent l="4445" t="4445" r="14605" b="14605"/>
            <wp:docPr id="5" name="图表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2.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依申请公开政府信息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2022年度以来，本单位未收到政府信息公开申请。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3.政府信息管理情况。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鲸园街道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  <w:t>认真执行和落实《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中华人民共和国政府信息公开条例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  <w:t>》等相关制度规定，由党政办公室主要负责具体政务信息公开工作的协调和实施，各科室结合自身工作职能，主动做好信息的搜集与公开工作，保证信息公开工作的正常开展。积极落实政府信息公开有关工作要求，主动公开政府信息，加强制度建设及政府信息管理，建设公开平台，深入推进政府信息公开工作制度化和规范化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4.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政府信息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公开平台建设情况。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年度本单位通过威海市环翠区人民政府网站、“和谐鲸园”微信公众号、“文明鲸园”官方微博三个政务公开平台发布基本情况、更新工作动态并发布解读内容。加大工作宣传报道力度，构建多元化、全方位、全覆盖的信息公开平台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主动安排新任专职人员对接区政府办公室政务公开科学习交流，通过在线指导、现场辅导等方式，学习了解政务公开平台信息发布的工作流程和具体要求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，对照标准，逐项整改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。根据实际情况，在街道办事处一楼设立了群众来访接待室，制定值班表，班子成员轮流接访，解答群众的现场咨询。在街道便民服务中心显要位置开辟专区，设置“政务公开体验区”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，使信息公开工作成为促进社会和谐的重要抓手，提高群众知晓率，方便群众办事。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5.监督保障情况。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鲸园街道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严格按照保密规定开展信息公开工作，规定所有公开的信息均按照程序逐级审批，按照《中华人民共和国政府信息公开条例》的要求严格审查把关。先由各科室负责人审核，再报党政办公室审核，经分管领导审核后发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为使政府信息公开工作落到实处，街道通过公开投诉电话、电子邮箱等方式，广泛听取社会各界的意见和要求，充分发挥社会监督的作用，并积极接受区政府的检查督导。我处严格按照《条例》要求开展政府信息公开工作，通过政府网站、微信公众号、官方微博形式，积极收集社会评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年度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鲸园街道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未收到政府信息公开有关的投诉、举报，也无其他责任追究的情形。</w:t>
      </w:r>
    </w:p>
    <w:p>
      <w:pPr>
        <w:pStyle w:val="7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topLinePunct w:val="0"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主动公开政府信息情况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3115"/>
        <w:gridCol w:w="2146"/>
        <w:gridCol w:w="1474"/>
        <w:gridCol w:w="1987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81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第二十条第（一）项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制发件数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废止件数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现行有效件数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4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规章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规范性文件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第二十条第（五）项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2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eastAsia="zh-CN"/>
              </w:rPr>
              <w:t>本年处理决定数量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行政许可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第二十条第（六）项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eastAsia="zh-CN"/>
              </w:rPr>
              <w:t>本年处理决定数量</w:t>
            </w:r>
          </w:p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行政处罚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行政强制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第二十条第（八）项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行政事业性收费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pStyle w:val="7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收到和处理政府信息公开申请情况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518"/>
        <w:gridCol w:w="1531"/>
        <w:gridCol w:w="2592"/>
        <w:gridCol w:w="624"/>
        <w:gridCol w:w="562"/>
        <w:gridCol w:w="562"/>
        <w:gridCol w:w="566"/>
        <w:gridCol w:w="566"/>
        <w:gridCol w:w="566"/>
        <w:gridCol w:w="634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6" w:hRule="exact"/>
          <w:jc w:val="center"/>
        </w:trPr>
        <w:tc>
          <w:tcPr>
            <w:gridSpan w:val="3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（本列数据的勾稽关系为：第一项加第二项之和， 等于第三项加第四项之和）</w:t>
            </w:r>
          </w:p>
        </w:tc>
        <w:tc>
          <w:tcPr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申请人情况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自然人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法人或其他组织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34" w:hRule="atLeast"/>
          <w:jc w:val="center"/>
        </w:trPr>
        <w:tc>
          <w:tcPr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商业 企业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科研 机构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ind w:firstLine="0"/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15"/>
                <w:szCs w:val="15"/>
                <w:u w:val="none"/>
                <w:shd w:val="clear" w:color="auto" w:fill="auto"/>
                <w:lang w:val="en-US" w:eastAsia="zh-CN" w:bidi="zh-TW"/>
              </w:rPr>
            </w:pPr>
          </w:p>
          <w:p>
            <w:pPr>
              <w:widowControl w:val="0"/>
              <w:ind w:firstLine="0"/>
              <w:rPr>
                <w:rFonts w:hint="default" w:ascii="Times New Roman" w:hAnsi="Times New Roman" w:eastAsia="宋体" w:cs="Times New Roman"/>
                <w:sz w:val="10"/>
                <w:szCs w:val="1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TW"/>
              </w:rPr>
              <w:t>社会公益组织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法律 服务 机构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</w:t>
            </w:r>
          </w:p>
        </w:tc>
        <w:tc>
          <w:tcPr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三、本年度办理结果</w:t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（一）予以公开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82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（二）部分公开（区分处理的，只计这一情形，不计其他情形）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（三）不予公开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属于国家秘密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zh-CN" w:bidi="en-US"/>
              </w:rPr>
              <w:t>其他法律行政法规禁止公开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危及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  <w:lang w:val="zh-CN" w:eastAsia="zh-CN" w:bidi="zh-CN"/>
              </w:rPr>
              <w:t>“三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安全一稳定”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保护第三方合法权益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属于三类内部事务信息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9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6.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属于四类过程性信息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3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7.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属于行政执法案卷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8.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属于行政查询事项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（四）无法提供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本机关不掌握相关政府信息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没有现成信息需要另行制作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补正后申请内容仍不明确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（五）不予处理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信访举报投诉类申请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重复申请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36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要求提供公开出版物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400" w:right="0" w:hanging="40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无正当理由大量反复申请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78" w:lineRule="exact"/>
              <w:ind w:left="340" w:right="0" w:hanging="340"/>
              <w:jc w:val="left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zh-CN" w:bidi="en-US"/>
              </w:rPr>
              <w:t>要求行政机关确认或重新出具已获取信息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（六）其他处理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（七）总计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四、结转下年度继续办理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pStyle w:val="7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24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bookmarkStart w:id="0" w:name="bookmark21"/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四</w:t>
      </w:r>
      <w:bookmarkEnd w:id="0"/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、政府信息公开行政复议、行政诉讼情况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629"/>
        <w:gridCol w:w="629"/>
        <w:gridCol w:w="624"/>
        <w:gridCol w:w="624"/>
        <w:gridCol w:w="562"/>
        <w:gridCol w:w="562"/>
        <w:gridCol w:w="571"/>
        <w:gridCol w:w="562"/>
        <w:gridCol w:w="566"/>
        <w:gridCol w:w="566"/>
        <w:gridCol w:w="562"/>
        <w:gridCol w:w="571"/>
        <w:gridCol w:w="562"/>
        <w:gridCol w:w="566"/>
        <w:gridCol w:w="581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行政复议</w:t>
            </w:r>
          </w:p>
        </w:tc>
        <w:tc>
          <w:tcPr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行政诉讼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62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未经复议直接起诉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复议后起诉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0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562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16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18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55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  <w:t xml:space="preserve">存在的主要问题及改进情况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  <w:t>年，在市、区两级政府的领导下，街道的政务公开工作取得了良好成效，但仍存在一些问题，主要表现在：一是政务公开机制不够完善，信息公开面有待拓宽。信息公开的全面性、及时性、连贯性还不够，信息公开不及时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  <w:t>主动公开的意识还有待进一步加强。二是</w:t>
      </w:r>
      <w:r>
        <w:rPr>
          <w:rFonts w:hint="eastAsia" w:ascii="Times New Roman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  <w:t>政府信息公开队伍力量不足，往往由新人兼任信息公开工作，工作经验不足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  <w:t>今后，我们将采取以下措施积极改进：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仿宋_GB2312" w:cstheme="minorBidi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kern w:val="2"/>
          <w:sz w:val="32"/>
          <w:szCs w:val="32"/>
          <w:lang w:val="en-US" w:eastAsia="zh-CN" w:bidi="ar-SA"/>
        </w:rPr>
        <w:t>加强主动公开意识，深化内容成效。</w:t>
      </w:r>
      <w:r>
        <w:rPr>
          <w:rFonts w:hint="eastAsia" w:ascii="Times New Roman" w:hAnsi="Times New Roman" w:eastAsia="仿宋_GB2312" w:cstheme="minorBidi"/>
          <w:kern w:val="2"/>
          <w:sz w:val="32"/>
          <w:szCs w:val="32"/>
          <w:lang w:val="en-US" w:eastAsia="zh-CN" w:bidi="ar-SA"/>
        </w:rPr>
        <w:t>完善公开制度机制，拓展政务公开形式方式，推动街道政务公开工作走深走实。强化责任意识，力求做到信息公开的快、准、实、细。同时在日常工作中，创新工作思路，提高信息公开意识，突破工作瓶颈，深化细化公开内容，规范公开的内容、时限和程序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theme="minorBidi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kern w:val="2"/>
          <w:sz w:val="32"/>
          <w:szCs w:val="32"/>
          <w:lang w:val="en-US" w:eastAsia="zh-CN" w:bidi="ar-SA"/>
        </w:rPr>
        <w:t>加强政府信息公开业务培训工作。</w:t>
      </w:r>
      <w:r>
        <w:rPr>
          <w:rFonts w:hint="eastAsia" w:ascii="Times New Roman" w:hAnsi="Times New Roman" w:eastAsia="仿宋_GB2312" w:cstheme="minorBidi"/>
          <w:kern w:val="2"/>
          <w:sz w:val="32"/>
          <w:szCs w:val="32"/>
          <w:lang w:val="en-US" w:eastAsia="zh-CN" w:bidi="ar-SA"/>
        </w:rPr>
        <w:t>培养从事政府信息公开工作的干部队伍，加强对工作人员政务公开内容、格式的培训，加大信息采集、整理的力度，提高从事政府信息公开工作人员的业务能力。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 xml:space="preserve">其他需要报告的事项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1.政府信息公开申请收费情况。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本年度我单位依申请公开政府信息未收取任何费用。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方正楷体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2.落实环翠区2022年度政务公开工作要点情况。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年，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鲸园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街道办事处全面贯彻落实国家、省、市、区关于全民深化政务公开的工作要求，坚持以人民为中心，全面深化政府信息公开，拓宽公开的广度和深度，深化重点领域政府信息公开，推进政务公开标准化和规范化，加强政务信息管理和平台建设，严格政务公开工作保障和落实，推进政务公开覆盖权力运行全流程、政务服务全过程，着力打通政务公开“最后一公里”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3.人大代表建议、政协委员提案办理情况。</w:t>
      </w:r>
    </w:p>
    <w:p>
      <w:pPr>
        <w:pStyle w:val="7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pacing w:val="0"/>
          <w:w w:val="100"/>
          <w:kern w:val="0"/>
          <w:position w:val="0"/>
          <w:sz w:val="32"/>
          <w:szCs w:val="32"/>
          <w:lang w:val="en-US" w:eastAsia="zh-CN" w:bidi="ar"/>
        </w:rPr>
      </w:pPr>
      <w:r>
        <w:rPr>
          <w:rFonts w:hint="default" w:ascii="仿宋_GB2312" w:hAnsi="仿宋_GB2312" w:eastAsia="仿宋_GB2312" w:cs="仿宋_GB2312"/>
          <w:color w:val="auto"/>
          <w:spacing w:val="0"/>
          <w:w w:val="100"/>
          <w:kern w:val="0"/>
          <w:position w:val="0"/>
          <w:sz w:val="32"/>
          <w:szCs w:val="32"/>
          <w:lang w:val="en-US" w:eastAsia="zh-CN" w:bidi="ar"/>
        </w:rPr>
        <w:t>202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kern w:val="0"/>
          <w:position w:val="0"/>
          <w:sz w:val="32"/>
          <w:szCs w:val="32"/>
          <w:lang w:val="en-US" w:eastAsia="zh-CN" w:bidi="ar"/>
        </w:rPr>
        <w:t>2</w:t>
      </w:r>
      <w:r>
        <w:rPr>
          <w:rFonts w:hint="default" w:ascii="仿宋_GB2312" w:hAnsi="仿宋_GB2312" w:eastAsia="仿宋_GB2312" w:cs="仿宋_GB2312"/>
          <w:color w:val="auto"/>
          <w:spacing w:val="0"/>
          <w:w w:val="100"/>
          <w:kern w:val="0"/>
          <w:position w:val="0"/>
          <w:sz w:val="32"/>
          <w:szCs w:val="32"/>
          <w:lang w:val="en-US" w:eastAsia="zh-CN" w:bidi="ar"/>
        </w:rPr>
        <w:t>年度本单位未收到人大代表建议和政协委员提案。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4.政务公开工作创新情况。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通过举办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政府开放日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活动，围绕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精致城市、全民共建，政务公开、人人参与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主题，打造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阳光透明·公开入威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政务公开品牌，营造公平、公正、公开的社会氛围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。同时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邀请区级人大代表和市级人大代表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约20人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走进鲸园街道便民服务大厅、党群服务中心，了解业务范围和办事流程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，人大代表们通过开展座谈会更好地了解群众需求，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对进一步提高群众满意度，促进政务公开工作提质增效具有重要意义。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所属事业单位信息公开工作情况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FF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鲸园街道线上线下齐发力，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积极推进公共企事业单位信息公开标准化规范化工作，建立起以办事公开指南和主动公开标准目录为基础、应公开信息为内容、公开渠道为手段、机制制度为保障的信息公开运行体系，有效破解公共企事业单位与服务对象之间信息不对称问题，有效提升公共服务水平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</w:t>
      </w:r>
    </w:p>
    <w:sectPr>
      <w:footerReference r:id="rId3" w:type="default"/>
      <w:pgSz w:w="11906" w:h="16838"/>
      <w:pgMar w:top="1701" w:right="1418" w:bottom="1701" w:left="141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C73D622-5E4A-400F-B3C7-45CC99C9E15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D4DFE53B-560D-4E2B-A920-0F6D985F9B45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BC0C3786-D81E-43D8-BE7B-ADDD032D95D5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E12A118B-AB11-42F3-97B1-2B57D20C1FDD}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5" w:fontKey="{3C83F6F3-96AF-4776-B5EC-C3B8B8C9D11C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BAAFF5"/>
    <w:multiLevelType w:val="singleLevel"/>
    <w:tmpl w:val="89BAAFF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A8ABE86A"/>
    <w:multiLevelType w:val="singleLevel"/>
    <w:tmpl w:val="A8ABE86A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B09A6DB4"/>
    <w:multiLevelType w:val="singleLevel"/>
    <w:tmpl w:val="B09A6DB4"/>
    <w:lvl w:ilvl="0" w:tentative="0">
      <w:start w:val="1"/>
      <w:numFmt w:val="chineseCounting"/>
      <w:suff w:val="nothing"/>
      <w:lvlText w:val="（%1）"/>
      <w:lvlJc w:val="left"/>
      <w:rPr>
        <w:rFonts w:hint="eastAsia" w:ascii="楷体_GB2312" w:hAnsi="楷体_GB2312" w:eastAsia="楷体_GB2312" w:cs="楷体_GB2312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ZiYzFhNzc2NDM4ZjE0NDM3MjM4OTg0MGYxN2JlOWYifQ=="/>
  </w:docVars>
  <w:rsids>
    <w:rsidRoot w:val="00000000"/>
    <w:rsid w:val="0008361F"/>
    <w:rsid w:val="00D23242"/>
    <w:rsid w:val="00F0308A"/>
    <w:rsid w:val="013577AC"/>
    <w:rsid w:val="01C92466"/>
    <w:rsid w:val="03392D36"/>
    <w:rsid w:val="0463118C"/>
    <w:rsid w:val="04C2468E"/>
    <w:rsid w:val="0501370E"/>
    <w:rsid w:val="05BC550E"/>
    <w:rsid w:val="062326B9"/>
    <w:rsid w:val="06B807E5"/>
    <w:rsid w:val="07413183"/>
    <w:rsid w:val="07B77D29"/>
    <w:rsid w:val="082E105B"/>
    <w:rsid w:val="09030A93"/>
    <w:rsid w:val="0A5E16A3"/>
    <w:rsid w:val="0B2E5519"/>
    <w:rsid w:val="0C636DD8"/>
    <w:rsid w:val="0D6E7E4F"/>
    <w:rsid w:val="0D9F5A17"/>
    <w:rsid w:val="13BA6A58"/>
    <w:rsid w:val="142357A8"/>
    <w:rsid w:val="142D3CA5"/>
    <w:rsid w:val="15072425"/>
    <w:rsid w:val="169A6998"/>
    <w:rsid w:val="19334076"/>
    <w:rsid w:val="199D5F29"/>
    <w:rsid w:val="1A91517D"/>
    <w:rsid w:val="1ABC2A04"/>
    <w:rsid w:val="1BCE4B75"/>
    <w:rsid w:val="1DAF0231"/>
    <w:rsid w:val="1EE135F3"/>
    <w:rsid w:val="1FC77D4B"/>
    <w:rsid w:val="20D92B06"/>
    <w:rsid w:val="21A50B34"/>
    <w:rsid w:val="22587648"/>
    <w:rsid w:val="241D650E"/>
    <w:rsid w:val="242C1780"/>
    <w:rsid w:val="24D950CE"/>
    <w:rsid w:val="261D0FA9"/>
    <w:rsid w:val="26207DC4"/>
    <w:rsid w:val="2784713D"/>
    <w:rsid w:val="278A3680"/>
    <w:rsid w:val="27AF470B"/>
    <w:rsid w:val="295B49DC"/>
    <w:rsid w:val="295E4994"/>
    <w:rsid w:val="2BB35523"/>
    <w:rsid w:val="2CB4622E"/>
    <w:rsid w:val="2CBE62A5"/>
    <w:rsid w:val="2E493C90"/>
    <w:rsid w:val="2E62595A"/>
    <w:rsid w:val="2EFD5413"/>
    <w:rsid w:val="31254D9C"/>
    <w:rsid w:val="324C7EAF"/>
    <w:rsid w:val="32F04CDF"/>
    <w:rsid w:val="36772C3A"/>
    <w:rsid w:val="369616B9"/>
    <w:rsid w:val="37DD091B"/>
    <w:rsid w:val="38BD1B07"/>
    <w:rsid w:val="39383221"/>
    <w:rsid w:val="3A1157B7"/>
    <w:rsid w:val="3B3C4D37"/>
    <w:rsid w:val="3D0870C9"/>
    <w:rsid w:val="41195BFF"/>
    <w:rsid w:val="413279EE"/>
    <w:rsid w:val="4268200E"/>
    <w:rsid w:val="42CA37F1"/>
    <w:rsid w:val="43FC3E73"/>
    <w:rsid w:val="454E44B9"/>
    <w:rsid w:val="45AE06B3"/>
    <w:rsid w:val="4A487FDE"/>
    <w:rsid w:val="4B456772"/>
    <w:rsid w:val="4B6650BF"/>
    <w:rsid w:val="4C246A68"/>
    <w:rsid w:val="4DC04BAC"/>
    <w:rsid w:val="4E4D546F"/>
    <w:rsid w:val="4FCE4806"/>
    <w:rsid w:val="500E459E"/>
    <w:rsid w:val="50191771"/>
    <w:rsid w:val="50AE6CAE"/>
    <w:rsid w:val="515416D5"/>
    <w:rsid w:val="51C85A81"/>
    <w:rsid w:val="52065E75"/>
    <w:rsid w:val="53D10A00"/>
    <w:rsid w:val="53EA01C8"/>
    <w:rsid w:val="540957A8"/>
    <w:rsid w:val="55DE6E82"/>
    <w:rsid w:val="55FD30EB"/>
    <w:rsid w:val="58E92FBE"/>
    <w:rsid w:val="5A6266B0"/>
    <w:rsid w:val="5BA529F7"/>
    <w:rsid w:val="5BFF8664"/>
    <w:rsid w:val="5C8000FD"/>
    <w:rsid w:val="5C964BFE"/>
    <w:rsid w:val="5D5812EC"/>
    <w:rsid w:val="5DC94305"/>
    <w:rsid w:val="5E07266A"/>
    <w:rsid w:val="5E1E349F"/>
    <w:rsid w:val="5F3376FB"/>
    <w:rsid w:val="5FFC638B"/>
    <w:rsid w:val="60B511B4"/>
    <w:rsid w:val="629616EA"/>
    <w:rsid w:val="63EF49BB"/>
    <w:rsid w:val="674B0E3B"/>
    <w:rsid w:val="68735867"/>
    <w:rsid w:val="68D26659"/>
    <w:rsid w:val="6A8E549C"/>
    <w:rsid w:val="6B856C99"/>
    <w:rsid w:val="6BF055A8"/>
    <w:rsid w:val="6EBB79A1"/>
    <w:rsid w:val="70330580"/>
    <w:rsid w:val="711B17F7"/>
    <w:rsid w:val="734D3842"/>
    <w:rsid w:val="75066E2C"/>
    <w:rsid w:val="77C22EDF"/>
    <w:rsid w:val="78066F6E"/>
    <w:rsid w:val="780A2AF2"/>
    <w:rsid w:val="7A4153ED"/>
    <w:rsid w:val="7A601A23"/>
    <w:rsid w:val="7ABE6A3D"/>
    <w:rsid w:val="7AEA69F0"/>
    <w:rsid w:val="7D9D6DDE"/>
    <w:rsid w:val="7F625BE9"/>
    <w:rsid w:val="7FEF9C73"/>
    <w:rsid w:val="BF376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Body text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8">
    <w:name w:val="Other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9">
    <w:name w:val="Other|2"/>
    <w:basedOn w:val="1"/>
    <w:qFormat/>
    <w:uiPriority w:val="0"/>
    <w:pPr>
      <w:widowControl w:val="0"/>
      <w:shd w:val="clear" w:color="auto" w:fill="auto"/>
      <w:spacing w:before="80"/>
      <w:ind w:firstLine="110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chart" Target="charts/chart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microsoft.com/office/2011/relationships/chartStyle" Target="style1.xml"/><Relationship Id="rId1" Type="http://schemas.openxmlformats.org/officeDocument/2006/relationships/oleObject" Target="file:///C:\Users\asus\Desktop\&#26032;&#24314;%20XLSX%20&#24037;&#20316;&#34920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08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charset="0"/>
                <a:ea typeface="Times New Roman" panose="02020603050405020304" charset="0"/>
                <a:cs typeface="Times New Roman" panose="02020603050405020304" charset="0"/>
                <a:sym typeface="Times New Roman" panose="02020603050405020304" charset="0"/>
              </a:defRPr>
            </a:pPr>
            <a:r>
              <a:rPr sz="1080" b="1">
                <a:latin typeface="Times New Roman" panose="02020603050405020304" charset="0"/>
                <a:ea typeface="Times New Roman" panose="02020603050405020304" charset="0"/>
                <a:cs typeface="Times New Roman" panose="02020603050405020304" charset="0"/>
                <a:sym typeface="Times New Roman" panose="02020603050405020304" charset="0"/>
              </a:rPr>
              <a:t>2022年政府网站公开情况</a:t>
            </a:r>
            <a:endParaRPr sz="1080" b="1">
              <a:latin typeface="Times New Roman" panose="02020603050405020304" charset="0"/>
              <a:ea typeface="Times New Roman" panose="02020603050405020304" charset="0"/>
              <a:cs typeface="Times New Roman" panose="02020603050405020304" charset="0"/>
              <a:sym typeface="Times New Roman" panose="02020603050405020304" charset="0"/>
            </a:endParaRPr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pieChart>
        <c:varyColors val="1"/>
        <c:ser>
          <c:idx val="0"/>
          <c:order val="0"/>
          <c:spPr/>
          <c:explosion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dLbls>
            <c:dLbl>
              <c:idx val="0"/>
              <c:layout>
                <c:manualLayout>
                  <c:x val="0.0131546400225257"/>
                  <c:y val="-0.0217376293578162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1"/>
              <c:layout>
                <c:manualLayout>
                  <c:x val="-0.0374559066126323"/>
                  <c:y val="0.0199594300280165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微软雅黑" panose="020B0503020204020204" pitchFamily="34" charset="-122"/>
                    <a:ea typeface="微软雅黑" panose="020B0503020204020204" pitchFamily="34" charset="-122"/>
                    <a:cs typeface="微软雅黑" panose="020B0503020204020204" pitchFamily="34" charset="-122"/>
                    <a:sym typeface="微软雅黑" panose="020B0503020204020204" pitchFamily="34" charset="-122"/>
                  </a:defRPr>
                </a:pPr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'[新建 XLSX 工作表.xlsx]Sheet1'!$A$15:$A$17</c:f>
              <c:strCache>
                <c:ptCount val="3"/>
                <c:pt idx="0">
                  <c:v>和谐鲸园</c:v>
                </c:pt>
                <c:pt idx="1">
                  <c:v>文明鲸园</c:v>
                </c:pt>
                <c:pt idx="2">
                  <c:v>政府网站</c:v>
                </c:pt>
              </c:strCache>
            </c:strRef>
          </c:cat>
          <c:val>
            <c:numRef>
              <c:f>'[新建 XLSX 工作表.xlsx]Sheet1'!$D$15:$D$17</c:f>
              <c:numCache>
                <c:formatCode>0%</c:formatCode>
                <c:ptCount val="3"/>
                <c:pt idx="0">
                  <c:v>0.48</c:v>
                </c:pt>
                <c:pt idx="1">
                  <c:v>0.49</c:v>
                </c:pt>
                <c:pt idx="2">
                  <c:v>0.03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egendEntry>
        <c:idx val="0"/>
        <c:txPr>
          <a:bodyPr rot="0" spcFirstLastPara="0" vertOverflow="ellipsis" vert="horz" wrap="square" anchor="ctr" anchorCtr="1"/>
          <a:lstStyle/>
          <a:p>
            <a:pPr>
              <a:defRPr lang="zh-CN"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charset="0"/>
                <a:ea typeface="Times New Roman" panose="02020603050405020304" charset="0"/>
                <a:cs typeface="Times New Roman" panose="02020603050405020304" charset="0"/>
                <a:sym typeface="Times New Roman" panose="02020603050405020304" charset="0"/>
              </a:defRPr>
            </a:pPr>
          </a:p>
        </c:txPr>
      </c:legendEntry>
      <c:legendEntry>
        <c:idx val="1"/>
        <c:txPr>
          <a:bodyPr rot="0" spcFirstLastPara="0" vertOverflow="ellipsis" vert="horz" wrap="square" anchor="ctr" anchorCtr="1"/>
          <a:lstStyle/>
          <a:p>
            <a:pPr>
              <a:defRPr lang="zh-CN"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charset="0"/>
                <a:ea typeface="Times New Roman" panose="02020603050405020304" charset="0"/>
                <a:cs typeface="Times New Roman" panose="02020603050405020304" charset="0"/>
                <a:sym typeface="Times New Roman" panose="02020603050405020304" charset="0"/>
              </a:defRPr>
            </a:pPr>
          </a:p>
        </c:txPr>
      </c:legendEntry>
      <c:legendEntry>
        <c:idx val="2"/>
        <c:txPr>
          <a:bodyPr rot="0" spcFirstLastPara="0" vertOverflow="ellipsis" vert="horz" wrap="square" anchor="ctr" anchorCtr="1"/>
          <a:lstStyle/>
          <a:p>
            <a:pPr>
              <a:defRPr lang="zh-CN"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charset="0"/>
                <a:ea typeface="Times New Roman" panose="02020603050405020304" charset="0"/>
                <a:cs typeface="Times New Roman" panose="02020603050405020304" charset="0"/>
                <a:sym typeface="Times New Roman" panose="02020603050405020304" charset="0"/>
              </a:defRPr>
            </a:pPr>
          </a:p>
        </c:txPr>
      </c:legendEntry>
      <c:layout>
        <c:manualLayout>
          <c:xMode val="edge"/>
          <c:yMode val="edge"/>
          <c:x val="0.802361111111111"/>
          <c:y val="0.224046242774566"/>
        </c:manualLayout>
      </c:layout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1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charset="0"/>
              <a:ea typeface="Times New Roman" panose="02020603050405020304" charset="0"/>
              <a:cs typeface="Times New Roman" panose="02020603050405020304" charset="0"/>
              <a:sym typeface="Times New Roman" panose="02020603050405020304" charset="0"/>
            </a:defRPr>
          </a:pPr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 sz="900" b="1">
          <a:latin typeface="Times New Roman" panose="02020603050405020304" charset="0"/>
          <a:ea typeface="Times New Roman" panose="02020603050405020304" charset="0"/>
          <a:cs typeface="Times New Roman" panose="02020603050405020304" charset="0"/>
          <a:sym typeface="Times New Roman" panose="02020603050405020304" charset="0"/>
        </a:defRPr>
      </a:pPr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3241</Words>
  <Characters>3394</Characters>
  <Lines>0</Lines>
  <Paragraphs>0</Paragraphs>
  <TotalTime>71</TotalTime>
  <ScaleCrop>false</ScaleCrop>
  <LinksUpToDate>false</LinksUpToDate>
  <CharactersWithSpaces>3416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2014-10-30T04:08:00Z</dcterms:created>
  <dc:creator>Administrator</dc:creator>
  <cp:lastModifiedBy>^_^</cp:lastModifiedBy>
  <dcterms:modified xsi:type="dcterms:W3CDTF">2023-01-10T08:56:58Z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C572666A6F1B4635A951FB1178BB458E</vt:lpwstr>
  </property>
</Properties>
</file>