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auto"/>
          <w:spacing w:val="0"/>
          <w:sz w:val="44"/>
          <w:szCs w:val="44"/>
          <w:shd w:val="clear" w:fill="FFFFFF"/>
          <w:lang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威海市环翠区人民政府</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2023年政府信息公开工作年度报告</w:t>
      </w: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auto"/>
          <w:sz w:val="32"/>
          <w:szCs w:val="32"/>
        </w:rPr>
      </w:pP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年威海市环翠区</w:t>
      </w:r>
      <w:r>
        <w:rPr>
          <w:rFonts w:hint="default" w:ascii="Times New Roman" w:hAnsi="Times New Roman" w:eastAsia="仿宋_GB2312" w:cs="Times New Roman"/>
          <w:color w:val="auto"/>
          <w:sz w:val="32"/>
          <w:szCs w:val="32"/>
          <w:lang w:val="en-US" w:eastAsia="zh-CN"/>
        </w:rPr>
        <w:t>人民政府办公室</w:t>
      </w:r>
      <w:r>
        <w:rPr>
          <w:rFonts w:hint="default" w:ascii="Times New Roman" w:hAnsi="Times New Roman" w:eastAsia="仿宋_GB2312" w:cs="Times New Roman"/>
          <w:color w:val="auto"/>
          <w:sz w:val="32"/>
          <w:szCs w:val="32"/>
        </w:rPr>
        <w:t>政府信息公开工作实际，编制发布本报告。</w:t>
      </w:r>
    </w:p>
    <w:p>
      <w:pPr>
        <w:pStyle w:val="5"/>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val="en-US" w:eastAsia="zh-CN"/>
        </w:rPr>
        <w:t>威海市环翠区人民政府网站</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u w:val="none"/>
          <w:lang w:val="en-US" w:eastAsia="zh-CN"/>
        </w:rPr>
        <w:t>网址：http://www.huancui.gov.cn/col/col42981/index.html</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color w:val="auto"/>
          <w:sz w:val="32"/>
          <w:szCs w:val="32"/>
          <w:lang w:val="en-US" w:eastAsia="zh-CN"/>
        </w:rPr>
        <w:t>威海市环翠区人民政府办公室</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u w:val="none"/>
          <w:lang w:val="en-US" w:eastAsia="zh-CN"/>
        </w:rPr>
        <w:t>威海市新威路75号</w:t>
      </w:r>
      <w:r>
        <w:rPr>
          <w:rFonts w:hint="default" w:ascii="Times New Roman" w:hAnsi="Times New Roman" w:eastAsia="仿宋_GB2312" w:cs="Times New Roman"/>
          <w:color w:val="auto"/>
          <w:sz w:val="32"/>
          <w:szCs w:val="32"/>
        </w:rPr>
        <w:t>，电话：</w:t>
      </w:r>
      <w:r>
        <w:rPr>
          <w:rFonts w:hint="default" w:ascii="Times New Roman" w:hAnsi="Times New Roman" w:eastAsia="仿宋_GB2312" w:cs="Times New Roman"/>
          <w:color w:val="auto"/>
          <w:sz w:val="32"/>
          <w:szCs w:val="32"/>
          <w:u w:val="none"/>
          <w:lang w:val="en-US" w:eastAsia="zh-CN"/>
        </w:rPr>
        <w:t>0631-5208761</w:t>
      </w:r>
      <w:r>
        <w:rPr>
          <w:rFonts w:hint="default" w:ascii="Times New Roman" w:hAnsi="Times New Roman" w:eastAsia="仿宋_GB2312" w:cs="Times New Roman"/>
          <w:color w:val="auto"/>
          <w:sz w:val="32"/>
          <w:szCs w:val="32"/>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rPr>
      </w:pPr>
      <w:r>
        <w:rPr>
          <w:rFonts w:hint="default" w:ascii="Times New Roman" w:hAnsi="Times New Roman" w:eastAsia="黑体" w:cs="Times New Roman"/>
          <w:b w:val="0"/>
          <w:bCs/>
          <w:i w:val="0"/>
          <w:caps w:val="0"/>
          <w:color w:val="auto"/>
          <w:spacing w:val="0"/>
          <w:sz w:val="32"/>
          <w:szCs w:val="32"/>
          <w:shd w:val="clear" w:fill="FFFFFF"/>
        </w:rPr>
        <w:t>一、总体情况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lang w:eastAsia="zh-CN"/>
        </w:rPr>
        <w:t>年，威海市环翠区人民政府认真落实</w:t>
      </w:r>
      <w:r>
        <w:rPr>
          <w:rFonts w:hint="default" w:ascii="Times New Roman" w:hAnsi="Times New Roman" w:eastAsia="仿宋_GB2312" w:cs="Times New Roman"/>
          <w:color w:val="auto"/>
          <w:sz w:val="32"/>
          <w:szCs w:val="32"/>
          <w:lang w:val="en-US" w:eastAsia="zh-CN"/>
        </w:rPr>
        <w:t>国家、</w:t>
      </w:r>
      <w:r>
        <w:rPr>
          <w:rFonts w:hint="default" w:ascii="Times New Roman" w:hAnsi="Times New Roman" w:eastAsia="仿宋_GB2312" w:cs="Times New Roman"/>
          <w:color w:val="auto"/>
          <w:sz w:val="32"/>
          <w:szCs w:val="32"/>
          <w:lang w:eastAsia="zh-CN"/>
        </w:rPr>
        <w:t>省、</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lang w:eastAsia="zh-CN"/>
        </w:rPr>
        <w:t>关于全面深化政务公开的工作要求，坚持以人民为中心，不断拓展公开的广度和深度，充分发挥政务公开在建设服务政府、法治政府、效能政府、廉洁政府等方面的促进作用。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b w:val="0"/>
          <w:bCs/>
          <w:color w:val="auto"/>
          <w:sz w:val="32"/>
          <w:szCs w:val="32"/>
        </w:rPr>
        <w:t>202</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年，通过政府门户网站</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lang w:val="en-US" w:eastAsia="zh-CN"/>
        </w:rPr>
        <w:t>政府公报</w:t>
      </w:r>
      <w:r>
        <w:rPr>
          <w:rFonts w:hint="default" w:ascii="Times New Roman" w:hAnsi="Times New Roman" w:eastAsia="仿宋_GB2312" w:cs="Times New Roman"/>
          <w:b w:val="0"/>
          <w:bCs/>
          <w:color w:val="auto"/>
          <w:sz w:val="32"/>
          <w:szCs w:val="32"/>
        </w:rPr>
        <w:t>主动公开</w:t>
      </w:r>
      <w:r>
        <w:rPr>
          <w:rFonts w:hint="default" w:ascii="Times New Roman" w:hAnsi="Times New Roman" w:eastAsia="仿宋_GB2312" w:cs="Times New Roman"/>
          <w:b w:val="0"/>
          <w:bCs/>
          <w:color w:val="auto"/>
          <w:sz w:val="32"/>
          <w:szCs w:val="32"/>
          <w:lang w:val="en-US" w:eastAsia="zh-CN"/>
        </w:rPr>
        <w:t>政府规范性文件6件、区政府文件16件、区政府办公室文件14件。</w:t>
      </w:r>
      <w:r>
        <w:rPr>
          <w:rFonts w:hint="default" w:ascii="Times New Roman" w:hAnsi="Times New Roman" w:eastAsia="仿宋_GB2312" w:cs="Times New Roman"/>
          <w:b w:val="0"/>
          <w:bCs/>
          <w:color w:val="auto"/>
          <w:sz w:val="32"/>
          <w:szCs w:val="32"/>
        </w:rPr>
        <w:t>加强和改进政策解读工作，认真做好政策发布跟踪解读，持续增进社会公众对政府政策的理解认同</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lang w:val="en-US" w:eastAsia="zh-CN"/>
        </w:rPr>
        <w:t>全年制发政策性文件13件，发布解读材料60件，包括动漫解读、图文解读、领导干部解读、媒体解读等</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召开</w:t>
      </w:r>
      <w:r>
        <w:rPr>
          <w:rFonts w:hint="default" w:ascii="Times New Roman" w:hAnsi="Times New Roman" w:eastAsia="仿宋_GB2312" w:cs="Times New Roman"/>
          <w:b w:val="0"/>
          <w:bCs/>
          <w:color w:val="auto"/>
          <w:sz w:val="32"/>
          <w:szCs w:val="32"/>
          <w:lang w:val="en-US" w:eastAsia="zh-CN"/>
        </w:rPr>
        <w:t>政策解读</w:t>
      </w:r>
      <w:r>
        <w:rPr>
          <w:rFonts w:hint="default" w:ascii="Times New Roman" w:hAnsi="Times New Roman" w:eastAsia="仿宋_GB2312" w:cs="Times New Roman"/>
          <w:b w:val="0"/>
          <w:bCs/>
          <w:color w:val="auto"/>
          <w:sz w:val="32"/>
          <w:szCs w:val="32"/>
        </w:rPr>
        <w:t>新闻发布会</w:t>
      </w:r>
      <w:r>
        <w:rPr>
          <w:rFonts w:hint="default" w:ascii="Times New Roman" w:hAnsi="Times New Roman" w:eastAsia="仿宋_GB2312" w:cs="Times New Roman"/>
          <w:b w:val="0"/>
          <w:bCs/>
          <w:color w:val="auto"/>
          <w:sz w:val="32"/>
          <w:szCs w:val="32"/>
          <w:lang w:val="en-US" w:eastAsia="zh-CN"/>
        </w:rPr>
        <w:t>9次，</w:t>
      </w:r>
      <w:r>
        <w:rPr>
          <w:rFonts w:hint="default" w:ascii="Times New Roman" w:hAnsi="Times New Roman" w:eastAsia="仿宋_GB2312" w:cs="Times New Roman"/>
          <w:b w:val="0"/>
          <w:bCs/>
          <w:color w:val="auto"/>
          <w:sz w:val="32"/>
          <w:szCs w:val="32"/>
        </w:rPr>
        <w:t>详细</w:t>
      </w:r>
      <w:r>
        <w:rPr>
          <w:rFonts w:hint="default" w:ascii="Times New Roman" w:hAnsi="Times New Roman" w:eastAsia="仿宋_GB2312" w:cs="Times New Roman"/>
          <w:b w:val="0"/>
          <w:bCs/>
          <w:color w:val="auto"/>
          <w:sz w:val="32"/>
          <w:szCs w:val="32"/>
          <w:lang w:val="en-US" w:eastAsia="zh-CN"/>
        </w:rPr>
        <w:t>讲解民生领域</w:t>
      </w:r>
      <w:r>
        <w:rPr>
          <w:rFonts w:hint="default" w:ascii="Times New Roman" w:hAnsi="Times New Roman" w:eastAsia="仿宋_GB2312" w:cs="Times New Roman"/>
          <w:b w:val="0"/>
          <w:bCs/>
          <w:color w:val="auto"/>
          <w:sz w:val="32"/>
          <w:szCs w:val="32"/>
        </w:rPr>
        <w:t>政策</w:t>
      </w:r>
      <w:r>
        <w:rPr>
          <w:rFonts w:hint="default" w:ascii="Times New Roman" w:hAnsi="Times New Roman" w:eastAsia="仿宋_GB2312" w:cs="Times New Roman"/>
          <w:b w:val="0"/>
          <w:bCs/>
          <w:color w:val="auto"/>
          <w:sz w:val="32"/>
          <w:szCs w:val="32"/>
          <w:lang w:val="en-US" w:eastAsia="zh-CN"/>
        </w:rPr>
        <w:t>文件出台</w:t>
      </w:r>
      <w:r>
        <w:rPr>
          <w:rFonts w:hint="default" w:ascii="Times New Roman" w:hAnsi="Times New Roman" w:eastAsia="仿宋_GB2312" w:cs="Times New Roman"/>
          <w:b w:val="0"/>
          <w:bCs/>
          <w:color w:val="auto"/>
          <w:sz w:val="32"/>
          <w:szCs w:val="32"/>
        </w:rPr>
        <w:t>背景、决策依据、出台目的和重要举措</w:t>
      </w:r>
      <w:r>
        <w:rPr>
          <w:rFonts w:hint="default" w:ascii="Times New Roman" w:hAnsi="Times New Roman" w:eastAsia="仿宋_GB2312" w:cs="Times New Roman"/>
          <w:b w:val="0"/>
          <w:bCs/>
          <w:color w:val="auto"/>
          <w:sz w:val="32"/>
          <w:szCs w:val="32"/>
          <w:lang w:val="en-US" w:eastAsia="zh-CN"/>
        </w:rPr>
        <w:t>等</w:t>
      </w:r>
      <w:r>
        <w:rPr>
          <w:rFonts w:hint="default" w:ascii="Times New Roman" w:hAnsi="Times New Roman" w:eastAsia="仿宋_GB2312" w:cs="Times New Roman"/>
          <w:b w:val="0"/>
          <w:bCs/>
          <w:color w:val="auto"/>
          <w:sz w:val="32"/>
          <w:szCs w:val="32"/>
        </w:rPr>
        <w:t>，积极释放“正能量”。</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2.</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color w:val="auto"/>
          <w:sz w:val="32"/>
          <w:szCs w:val="32"/>
          <w:lang w:val="en-US" w:eastAsia="zh-CN"/>
        </w:rPr>
        <w:t>制发《环翠区政府信息依申请公开办理答复工作规范》，详细讲解政府信息公开申请办理的工作程序、工作要求等，进一步提高我区依申请公开规范化水平。</w:t>
      </w:r>
      <w:r>
        <w:rPr>
          <w:rFonts w:hint="default" w:ascii="Times New Roman" w:hAnsi="Times New Roman" w:eastAsia="仿宋_GB2312" w:cs="Times New Roman"/>
          <w:b w:val="0"/>
          <w:bCs/>
          <w:color w:val="auto"/>
          <w:sz w:val="32"/>
          <w:szCs w:val="32"/>
        </w:rPr>
        <w:t>202</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rPr>
        <w:t>年</w:t>
      </w:r>
      <w:r>
        <w:rPr>
          <w:rFonts w:hint="default" w:ascii="Times New Roman" w:hAnsi="Times New Roman" w:eastAsia="仿宋_GB2312" w:cs="Times New Roman"/>
          <w:b w:val="0"/>
          <w:bCs/>
          <w:color w:val="auto"/>
          <w:sz w:val="32"/>
          <w:szCs w:val="32"/>
          <w:lang w:val="en-US" w:eastAsia="zh-CN"/>
        </w:rPr>
        <w:t>全区</w:t>
      </w:r>
      <w:r>
        <w:rPr>
          <w:rFonts w:hint="default" w:ascii="Times New Roman" w:hAnsi="Times New Roman" w:eastAsia="仿宋_GB2312" w:cs="Times New Roman"/>
          <w:b w:val="0"/>
          <w:bCs/>
          <w:color w:val="auto"/>
          <w:sz w:val="32"/>
          <w:szCs w:val="32"/>
        </w:rPr>
        <w:t>新收政府信息公开申请</w:t>
      </w:r>
      <w:r>
        <w:rPr>
          <w:rFonts w:hint="default" w:ascii="Times New Roman" w:hAnsi="Times New Roman" w:eastAsia="仿宋_GB2312" w:cs="Times New Roman"/>
          <w:b w:val="0"/>
          <w:bCs/>
          <w:color w:val="auto"/>
          <w:sz w:val="32"/>
          <w:szCs w:val="32"/>
          <w:lang w:val="en-US" w:eastAsia="zh-CN"/>
        </w:rPr>
        <w:t>259</w:t>
      </w:r>
      <w:r>
        <w:rPr>
          <w:rFonts w:hint="default" w:ascii="Times New Roman" w:hAnsi="Times New Roman" w:eastAsia="仿宋_GB2312" w:cs="Times New Roman"/>
          <w:b w:val="0"/>
          <w:bCs/>
          <w:color w:val="auto"/>
          <w:sz w:val="32"/>
          <w:szCs w:val="32"/>
        </w:rPr>
        <w:t>件，结转</w:t>
      </w:r>
      <w:r>
        <w:rPr>
          <w:rFonts w:hint="default" w:ascii="Times New Roman" w:hAnsi="Times New Roman" w:eastAsia="仿宋_GB2312" w:cs="Times New Roman"/>
          <w:b w:val="0"/>
          <w:bCs/>
          <w:color w:val="auto"/>
          <w:sz w:val="32"/>
          <w:szCs w:val="32"/>
          <w:lang w:val="en-US" w:eastAsia="zh-CN"/>
        </w:rPr>
        <w:t>下年度继续</w:t>
      </w:r>
      <w:r>
        <w:rPr>
          <w:rFonts w:hint="default" w:ascii="Times New Roman" w:hAnsi="Times New Roman" w:eastAsia="仿宋_GB2312" w:cs="Times New Roman"/>
          <w:b w:val="0"/>
          <w:bCs/>
          <w:color w:val="auto"/>
          <w:sz w:val="32"/>
          <w:szCs w:val="32"/>
        </w:rPr>
        <w:t>办理</w:t>
      </w:r>
      <w:r>
        <w:rPr>
          <w:rFonts w:hint="default" w:ascii="Times New Roman" w:hAnsi="Times New Roman" w:eastAsia="仿宋_GB2312" w:cs="Times New Roman"/>
          <w:b w:val="0"/>
          <w:bCs/>
          <w:color w:val="auto"/>
          <w:sz w:val="32"/>
          <w:szCs w:val="32"/>
          <w:lang w:val="en-US" w:eastAsia="zh-CN"/>
        </w:rPr>
        <w:t>7</w:t>
      </w:r>
      <w:r>
        <w:rPr>
          <w:rFonts w:hint="default" w:ascii="Times New Roman" w:hAnsi="Times New Roman" w:eastAsia="仿宋_GB2312" w:cs="Times New Roman"/>
          <w:b w:val="0"/>
          <w:bCs/>
          <w:color w:val="auto"/>
          <w:sz w:val="32"/>
          <w:szCs w:val="32"/>
        </w:rPr>
        <w:t>件</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和去年政府信息公开申请的数量相比</w:t>
      </w:r>
      <w:r>
        <w:rPr>
          <w:rFonts w:hint="default" w:ascii="Times New Roman" w:hAnsi="Times New Roman" w:eastAsia="仿宋_GB2312" w:cs="Times New Roman"/>
          <w:b w:val="0"/>
          <w:bCs/>
          <w:color w:val="auto"/>
          <w:sz w:val="32"/>
          <w:szCs w:val="32"/>
          <w:lang w:val="en-US" w:eastAsia="zh-CN"/>
        </w:rPr>
        <w:t>增幅较大</w:t>
      </w:r>
      <w:r>
        <w:rPr>
          <w:rFonts w:hint="default" w:ascii="Times New Roman" w:hAnsi="Times New Roman" w:eastAsia="仿宋_GB2312" w:cs="Times New Roman"/>
          <w:b w:val="0"/>
          <w:bCs/>
          <w:color w:val="auto"/>
          <w:sz w:val="32"/>
          <w:szCs w:val="32"/>
        </w:rPr>
        <w:t>。本年度共收到政府信息公开申请方面的行政复议1件，</w:t>
      </w:r>
      <w:r>
        <w:rPr>
          <w:rFonts w:hint="default" w:ascii="Times New Roman" w:hAnsi="Times New Roman" w:eastAsia="仿宋_GB2312" w:cs="Times New Roman"/>
          <w:b w:val="0"/>
          <w:bCs/>
          <w:color w:val="auto"/>
          <w:sz w:val="32"/>
          <w:szCs w:val="32"/>
          <w:lang w:val="en-US" w:eastAsia="zh-CN"/>
        </w:rPr>
        <w:t>结果纠正</w:t>
      </w:r>
      <w:r>
        <w:rPr>
          <w:rFonts w:hint="default" w:ascii="Times New Roman" w:hAnsi="Times New Roman" w:eastAsia="仿宋_GB2312" w:cs="Times New Roman"/>
          <w:b w:val="0"/>
          <w:bCs/>
          <w:color w:val="auto"/>
          <w:sz w:val="32"/>
          <w:szCs w:val="32"/>
        </w:rPr>
        <w:t>1件；行政诉讼案件</w:t>
      </w:r>
      <w:r>
        <w:rPr>
          <w:rFonts w:hint="default" w:ascii="Times New Roman" w:hAnsi="Times New Roman" w:eastAsia="仿宋_GB2312" w:cs="Times New Roman"/>
          <w:b w:val="0"/>
          <w:bCs/>
          <w:color w:val="auto"/>
          <w:sz w:val="32"/>
          <w:szCs w:val="32"/>
          <w:lang w:val="en-US" w:eastAsia="zh-CN"/>
        </w:rPr>
        <w:t>1件，尚未结案</w:t>
      </w:r>
      <w:r>
        <w:rPr>
          <w:rFonts w:hint="default" w:ascii="Times New Roman" w:hAnsi="Times New Roman" w:eastAsia="仿宋_GB2312" w:cs="Times New Roman"/>
          <w:b w:val="0"/>
          <w:bCs/>
          <w:color w:val="auto"/>
          <w:sz w:val="32"/>
          <w:szCs w:val="32"/>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eastAsia="zh-CN"/>
        </w:rPr>
      </w:pP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color w:val="auto"/>
          <w:sz w:val="32"/>
          <w:szCs w:val="32"/>
          <w:lang w:val="en-US" w:eastAsia="zh-CN"/>
        </w:rPr>
        <w:t>一是提高信息发布时效性，及时发布办事指南、通知公告等时效性较高的内容。二是贯彻落实政府信息全生命周期管理制度和政府信息发布的保密审查机制，全年未发生在政府信息公开过程中公布涉密文件和泄密的情况。三是强化政府信息的动态更新调整，对于已废止、失效的文件，及时在公开页面进行标注，</w:t>
      </w:r>
      <w:r>
        <w:rPr>
          <w:rFonts w:hint="default" w:ascii="Times New Roman" w:hAnsi="Times New Roman" w:eastAsia="仿宋_GB2312" w:cs="Times New Roman"/>
          <w:b w:val="0"/>
          <w:bCs/>
          <w:color w:val="auto"/>
          <w:sz w:val="32"/>
          <w:szCs w:val="32"/>
          <w:lang w:eastAsia="zh-CN"/>
        </w:rPr>
        <w:t>202</w:t>
      </w:r>
      <w:r>
        <w:rPr>
          <w:rFonts w:hint="default" w:ascii="Times New Roman" w:hAnsi="Times New Roman" w:eastAsia="仿宋_GB2312" w:cs="Times New Roman"/>
          <w:b w:val="0"/>
          <w:bCs/>
          <w:color w:val="auto"/>
          <w:sz w:val="32"/>
          <w:szCs w:val="32"/>
          <w:lang w:val="en-US" w:eastAsia="zh-CN"/>
        </w:rPr>
        <w:t>3</w:t>
      </w:r>
      <w:r>
        <w:rPr>
          <w:rFonts w:hint="default" w:ascii="Times New Roman" w:hAnsi="Times New Roman" w:eastAsia="仿宋_GB2312" w:cs="Times New Roman"/>
          <w:b w:val="0"/>
          <w:bCs/>
          <w:color w:val="auto"/>
          <w:sz w:val="32"/>
          <w:szCs w:val="32"/>
          <w:lang w:eastAsia="zh-CN"/>
        </w:rPr>
        <w:t>年宣布废止和失效</w:t>
      </w:r>
      <w:r>
        <w:rPr>
          <w:rFonts w:hint="default" w:ascii="Times New Roman" w:hAnsi="Times New Roman" w:eastAsia="仿宋_GB2312" w:cs="Times New Roman"/>
          <w:b w:val="0"/>
          <w:bCs/>
          <w:color w:val="auto"/>
          <w:sz w:val="32"/>
          <w:szCs w:val="32"/>
          <w:lang w:val="en-US" w:eastAsia="zh-CN"/>
        </w:rPr>
        <w:t>10</w:t>
      </w:r>
      <w:r>
        <w:rPr>
          <w:rFonts w:hint="default" w:ascii="Times New Roman" w:hAnsi="Times New Roman" w:eastAsia="仿宋_GB2312" w:cs="Times New Roman"/>
          <w:b w:val="0"/>
          <w:bCs/>
          <w:color w:val="auto"/>
          <w:sz w:val="32"/>
          <w:szCs w:val="32"/>
          <w:lang w:eastAsia="zh-CN"/>
        </w:rPr>
        <w:t>件，</w:t>
      </w:r>
      <w:r>
        <w:rPr>
          <w:rFonts w:hint="default" w:ascii="Times New Roman" w:hAnsi="Times New Roman" w:eastAsia="仿宋_GB2312" w:cs="Times New Roman"/>
          <w:b w:val="0"/>
          <w:bCs/>
          <w:color w:val="auto"/>
          <w:sz w:val="32"/>
          <w:szCs w:val="32"/>
          <w:lang w:val="en-US" w:eastAsia="zh-CN"/>
        </w:rPr>
        <w:t>现行有效规范性文件17件</w:t>
      </w:r>
      <w:r>
        <w:rPr>
          <w:rFonts w:hint="default" w:ascii="Times New Roman" w:hAnsi="Times New Roman" w:eastAsia="仿宋_GB2312" w:cs="Times New Roman"/>
          <w:b w:val="0"/>
          <w:bCs/>
          <w:color w:val="auto"/>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4.</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color w:val="auto"/>
          <w:sz w:val="32"/>
          <w:szCs w:val="32"/>
          <w:lang w:eastAsia="zh-CN"/>
        </w:rPr>
        <w:t>进一步优化政府门户网站建设，规范“政府信息公开专栏”设置。规范政务新媒体管理，依托政务新媒体备案管理系统，坚持正向引领与检查通报相结合，对新媒体实施常态化监管，</w:t>
      </w:r>
      <w:r>
        <w:rPr>
          <w:rFonts w:hint="default" w:ascii="Times New Roman" w:hAnsi="Times New Roman" w:eastAsia="仿宋_GB2312" w:cs="Times New Roman"/>
          <w:b w:val="0"/>
          <w:bCs/>
          <w:color w:val="auto"/>
          <w:sz w:val="32"/>
          <w:szCs w:val="32"/>
          <w:lang w:val="en-US" w:eastAsia="zh-CN"/>
        </w:rPr>
        <w:t>并</w:t>
      </w:r>
      <w:r>
        <w:rPr>
          <w:rFonts w:hint="default" w:ascii="Times New Roman" w:hAnsi="Times New Roman" w:eastAsia="仿宋_GB2312" w:cs="Times New Roman"/>
          <w:b w:val="0"/>
          <w:bCs/>
          <w:color w:val="auto"/>
          <w:sz w:val="32"/>
          <w:szCs w:val="32"/>
          <w:lang w:eastAsia="zh-CN"/>
        </w:rPr>
        <w:t>对粉丝量少、关注度低、发布信息频率不高的账号进行清理整合，全年累计关停账号20个。</w:t>
      </w:r>
      <w:r>
        <w:rPr>
          <w:rFonts w:hint="default" w:ascii="Times New Roman" w:hAnsi="Times New Roman" w:eastAsia="仿宋_GB2312" w:cs="Times New Roman"/>
          <w:b w:val="0"/>
          <w:bCs/>
          <w:color w:val="auto"/>
          <w:sz w:val="32"/>
          <w:szCs w:val="32"/>
          <w:lang w:val="en-US" w:eastAsia="zh-CN"/>
        </w:rPr>
        <w:t>优化“政务公开工作措施”栏目建设，全年各镇街和部门累计发布政务公开经验做法信息133条。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仿宋_GB2312" w:cs="Times New Roman"/>
          <w:b w:val="0"/>
          <w:bCs/>
          <w:color w:val="auto"/>
          <w:sz w:val="32"/>
          <w:szCs w:val="32"/>
          <w:lang w:val="en-US" w:eastAsia="zh-CN"/>
        </w:rPr>
        <w:t>5.</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rPr>
        <w:t>对各单位</w:t>
      </w:r>
      <w:r>
        <w:rPr>
          <w:rFonts w:hint="default" w:ascii="Times New Roman" w:hAnsi="Times New Roman" w:eastAsia="仿宋_GB2312" w:cs="Times New Roman"/>
          <w:b w:val="0"/>
          <w:bCs/>
          <w:color w:val="auto"/>
          <w:sz w:val="32"/>
          <w:szCs w:val="32"/>
          <w:lang w:val="en-US" w:eastAsia="zh-CN"/>
        </w:rPr>
        <w:t>政务公开工作</w:t>
      </w:r>
      <w:r>
        <w:rPr>
          <w:rFonts w:hint="default" w:ascii="Times New Roman" w:hAnsi="Times New Roman" w:eastAsia="仿宋_GB2312" w:cs="Times New Roman"/>
          <w:b w:val="0"/>
          <w:bCs/>
          <w:color w:val="auto"/>
          <w:sz w:val="32"/>
          <w:szCs w:val="32"/>
        </w:rPr>
        <w:t>人员，组织安排政务公开轮训，推动以干代训</w:t>
      </w:r>
      <w:r>
        <w:rPr>
          <w:rFonts w:hint="default" w:ascii="Times New Roman" w:hAnsi="Times New Roman" w:eastAsia="仿宋_GB2312" w:cs="Times New Roman"/>
          <w:b w:val="0"/>
          <w:bCs/>
          <w:color w:val="auto"/>
          <w:sz w:val="32"/>
          <w:szCs w:val="32"/>
          <w:lang w:eastAsia="zh-CN"/>
        </w:rPr>
        <w:t>。</w:t>
      </w:r>
      <w:r>
        <w:rPr>
          <w:rFonts w:hint="default" w:ascii="Times New Roman" w:hAnsi="Times New Roman" w:eastAsia="仿宋_GB2312" w:cs="Times New Roman"/>
          <w:b w:val="0"/>
          <w:bCs/>
          <w:color w:val="auto"/>
          <w:sz w:val="32"/>
          <w:szCs w:val="32"/>
        </w:rPr>
        <w:t>开展全覆盖式依申请公开</w:t>
      </w:r>
      <w:r>
        <w:rPr>
          <w:rFonts w:hint="default" w:ascii="Times New Roman" w:hAnsi="Times New Roman" w:eastAsia="仿宋_GB2312" w:cs="Times New Roman"/>
          <w:b w:val="0"/>
          <w:bCs/>
          <w:color w:val="auto"/>
          <w:sz w:val="32"/>
          <w:szCs w:val="32"/>
          <w:lang w:val="en-US" w:eastAsia="zh-CN"/>
        </w:rPr>
        <w:t>暗访</w:t>
      </w:r>
      <w:r>
        <w:rPr>
          <w:rFonts w:hint="default" w:ascii="Times New Roman" w:hAnsi="Times New Roman" w:eastAsia="仿宋_GB2312" w:cs="Times New Roman"/>
          <w:b w:val="0"/>
          <w:bCs/>
          <w:color w:val="auto"/>
          <w:sz w:val="32"/>
          <w:szCs w:val="32"/>
        </w:rPr>
        <w:t>测试，推动以测试促提升，有效提升</w:t>
      </w:r>
      <w:r>
        <w:rPr>
          <w:rFonts w:hint="default" w:ascii="Times New Roman" w:hAnsi="Times New Roman" w:eastAsia="仿宋_GB2312" w:cs="Times New Roman"/>
          <w:b w:val="0"/>
          <w:bCs/>
          <w:color w:val="auto"/>
          <w:sz w:val="32"/>
          <w:szCs w:val="32"/>
          <w:lang w:val="en-US" w:eastAsia="zh-CN"/>
        </w:rPr>
        <w:t>全区依申请</w:t>
      </w:r>
      <w:r>
        <w:rPr>
          <w:rFonts w:hint="default" w:ascii="Times New Roman" w:hAnsi="Times New Roman" w:eastAsia="仿宋_GB2312" w:cs="Times New Roman"/>
          <w:b w:val="0"/>
          <w:bCs/>
          <w:color w:val="auto"/>
          <w:sz w:val="32"/>
          <w:szCs w:val="32"/>
        </w:rPr>
        <w:t>公开工作</w:t>
      </w:r>
      <w:r>
        <w:rPr>
          <w:rFonts w:hint="default" w:ascii="Times New Roman" w:hAnsi="Times New Roman" w:eastAsia="仿宋_GB2312" w:cs="Times New Roman"/>
          <w:b w:val="0"/>
          <w:bCs/>
          <w:color w:val="auto"/>
          <w:sz w:val="32"/>
          <w:szCs w:val="32"/>
          <w:lang w:val="en-US" w:eastAsia="zh-CN"/>
        </w:rPr>
        <w:t>规范性。制发《2023年环翠区政务公开优化提升日常考核指标体系》《关于开展2023年政务公开工作考核的通知》，组织各部门逐项细化落实，确保各领域信息高标准、高质量发布。</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sz w:val="32"/>
          <w:szCs w:val="32"/>
          <w:shd w:val="clear" w:fill="FFFFFF"/>
        </w:rPr>
      </w:pPr>
      <w:r>
        <w:rPr>
          <w:rFonts w:hint="default" w:ascii="Times New Roman" w:hAnsi="Times New Roman" w:eastAsia="黑体" w:cs="Times New Roman"/>
          <w:b w:val="0"/>
          <w:bCs/>
          <w:i w:val="0"/>
          <w:caps w:val="0"/>
          <w:color w:val="auto"/>
          <w:spacing w:val="0"/>
          <w:sz w:val="32"/>
          <w:szCs w:val="32"/>
          <w:shd w:val="clear" w:fill="FFFFFF"/>
        </w:rPr>
        <w:t>二、主动公开政府信息情况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6</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10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17</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47451（60111）</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2875</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7588</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本年收费金额（单位：万元）</w:t>
            </w:r>
          </w:p>
        </w:tc>
      </w:tr>
      <w:tr>
        <w:tblPrEx>
          <w:tblCellMar>
            <w:top w:w="0" w:type="dxa"/>
            <w:left w:w="108" w:type="dxa"/>
            <w:bottom w:w="0" w:type="dxa"/>
            <w:right w:w="108" w:type="dxa"/>
          </w:tblCellMar>
        </w:tblPrEx>
        <w:trPr>
          <w:trHeight w:val="761"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5741.8</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5"/>
        <w:gridCol w:w="1"/>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color w:val="auto"/>
                <w:kern w:val="0"/>
                <w:szCs w:val="21"/>
              </w:rPr>
            </w:pPr>
            <w:r>
              <w:rPr>
                <w:rFonts w:hint="default" w:ascii="Times New Roman" w:hAnsi="Times New Roman" w:eastAsia="楷体_GB2312" w:cs="Times New Roman"/>
                <w:color w:val="auto"/>
                <w:kern w:val="0"/>
                <w:szCs w:val="21"/>
              </w:rPr>
              <w:t>（本列数据的勾稽关系为：第一项加第二项之和，</w:t>
            </w:r>
          </w:p>
          <w:p>
            <w:pPr>
              <w:widowControl/>
              <w:jc w:val="center"/>
              <w:rPr>
                <w:rFonts w:hint="default" w:ascii="Times New Roman" w:hAnsi="Times New Roman" w:eastAsia="仿宋_GB2312" w:cs="Times New Roman"/>
                <w:color w:val="auto"/>
                <w:szCs w:val="21"/>
              </w:rPr>
            </w:pPr>
            <w:r>
              <w:rPr>
                <w:rFonts w:hint="default" w:ascii="Times New Roman" w:hAnsi="Times New Roman" w:eastAsia="楷体_GB2312" w:cs="Times New Roman"/>
                <w:color w:val="auto"/>
                <w:kern w:val="0"/>
                <w:szCs w:val="21"/>
              </w:rPr>
              <w:t>等于第三项加第四项之和）</w:t>
            </w:r>
          </w:p>
        </w:tc>
        <w:tc>
          <w:tcPr>
            <w:tcW w:w="4448" w:type="dxa"/>
            <w:gridSpan w:val="20"/>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c>
          <w:tcPr>
            <w:tcW w:w="747" w:type="dxa"/>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自然人</w:t>
            </w:r>
          </w:p>
        </w:tc>
        <w:tc>
          <w:tcPr>
            <w:tcW w:w="3000" w:type="dxa"/>
            <w:gridSpan w:val="1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法人或其他组织</w:t>
            </w:r>
          </w:p>
        </w:tc>
        <w:tc>
          <w:tcPr>
            <w:tcW w:w="701" w:type="dxa"/>
            <w:gridSpan w:val="2"/>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c>
          <w:tcPr>
            <w:tcW w:w="747" w:type="dxa"/>
            <w:vMerge w:val="continue"/>
            <w:shd w:val="clear" w:color="auto" w:fill="auto"/>
            <w:tcMar>
              <w:left w:w="108" w:type="dxa"/>
              <w:right w:w="108" w:type="dxa"/>
            </w:tcMar>
            <w:vAlign w:val="center"/>
          </w:tcPr>
          <w:p>
            <w:pPr>
              <w:jc w:val="center"/>
              <w:rPr>
                <w:rFonts w:hint="default" w:ascii="Times New Roman" w:hAnsi="Times New Roman" w:eastAsia="黑体" w:cs="Times New Roman"/>
                <w:color w:val="auto"/>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其他</w:t>
            </w:r>
          </w:p>
        </w:tc>
        <w:tc>
          <w:tcPr>
            <w:tcW w:w="701" w:type="dxa"/>
            <w:gridSpan w:val="2"/>
            <w:vMerge w:val="continue"/>
            <w:shd w:val="clear" w:color="auto" w:fill="auto"/>
            <w:tcMar>
              <w:left w:w="108" w:type="dxa"/>
              <w:right w:w="108" w:type="dxa"/>
            </w:tcMar>
            <w:vAlign w:val="center"/>
          </w:tcPr>
          <w:p>
            <w:pPr>
              <w:jc w:val="center"/>
              <w:rPr>
                <w:rFonts w:hint="default" w:ascii="Times New Roman" w:hAnsi="Times New Roman" w:eastAsia="仿宋_GB2312" w:cs="Times New Roman"/>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w:t>
            </w:r>
            <w:bookmarkStart w:id="0" w:name="_Hlk66973412"/>
            <w:r>
              <w:rPr>
                <w:rFonts w:hint="default" w:ascii="Times New Roman" w:hAnsi="Times New Roman" w:eastAsia="黑体" w:cs="Times New Roman"/>
                <w:color w:val="auto"/>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258</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259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98</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98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（二）部分公开（</w:t>
            </w:r>
            <w:bookmarkStart w:id="1" w:name="_Hlk66973981"/>
            <w:r>
              <w:rPr>
                <w:rFonts w:hint="default" w:ascii="Times New Roman" w:hAnsi="Times New Roman" w:eastAsia="黑体" w:cs="Times New Roman"/>
                <w:color w:val="auto"/>
                <w:kern w:val="0"/>
                <w:szCs w:val="21"/>
              </w:rPr>
              <w:t>区分处理的，只计这一情形，不计其他情形</w:t>
            </w:r>
            <w:bookmarkEnd w:id="1"/>
            <w:r>
              <w:rPr>
                <w:rFonts w:hint="default" w:ascii="Times New Roman" w:hAnsi="Times New Roman" w:eastAsia="黑体" w:cs="Times New Roman"/>
                <w:color w:val="auto"/>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26</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（三）不予公开</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2" w:name="_Hlk66974104"/>
            <w:r>
              <w:rPr>
                <w:rFonts w:hint="default" w:ascii="Times New Roman" w:hAnsi="Times New Roman" w:eastAsia="仿宋_GB2312" w:cs="Times New Roman"/>
                <w:color w:val="auto"/>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4.</w:t>
            </w:r>
            <w:bookmarkStart w:id="3" w:name="_Hlk66974290"/>
            <w:r>
              <w:rPr>
                <w:rFonts w:hint="default" w:ascii="Times New Roman" w:hAnsi="Times New Roman" w:eastAsia="仿宋_GB2312" w:cs="Times New Roman"/>
                <w:color w:val="auto"/>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2</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6.</w:t>
            </w:r>
            <w:bookmarkStart w:id="4" w:name="_Hlk66974555"/>
            <w:r>
              <w:rPr>
                <w:rFonts w:hint="default" w:ascii="Times New Roman" w:hAnsi="Times New Roman" w:eastAsia="仿宋_GB2312" w:cs="Times New Roman"/>
                <w:color w:val="auto"/>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4</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8.</w:t>
            </w:r>
            <w:bookmarkStart w:id="5" w:name="_Hlk66975211"/>
            <w:r>
              <w:rPr>
                <w:rFonts w:hint="default" w:ascii="Times New Roman" w:hAnsi="Times New Roman" w:eastAsia="仿宋_GB2312" w:cs="Times New Roman"/>
                <w:color w:val="auto"/>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（四）无法提供</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103</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1</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104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w:t>
            </w:r>
            <w:bookmarkStart w:id="6" w:name="_Hlk66975392"/>
            <w:r>
              <w:rPr>
                <w:rFonts w:hint="default" w:ascii="Times New Roman" w:hAnsi="Times New Roman" w:eastAsia="仿宋_GB2312" w:cs="Times New Roman"/>
                <w:color w:val="auto"/>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1</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3.</w:t>
            </w:r>
            <w:bookmarkStart w:id="7" w:name="_Hlk66975466"/>
            <w:r>
              <w:rPr>
                <w:rFonts w:hint="default" w:ascii="Times New Roman" w:hAnsi="Times New Roman" w:eastAsia="仿宋_GB2312" w:cs="Times New Roman"/>
                <w:color w:val="auto"/>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（五）不予处理</w:t>
            </w: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1.</w:t>
            </w:r>
            <w:bookmarkStart w:id="8" w:name="_Hlk66975537"/>
            <w:r>
              <w:rPr>
                <w:rFonts w:hint="default" w:ascii="Times New Roman" w:hAnsi="Times New Roman" w:eastAsia="仿宋_GB2312" w:cs="Times New Roman"/>
                <w:color w:val="auto"/>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2</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200" w:lineRule="exact"/>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kern w:val="0"/>
                <w:szCs w:val="21"/>
              </w:rPr>
              <w:t>5.要求行政机关确认或重新</w:t>
            </w:r>
          </w:p>
          <w:p>
            <w:pPr>
              <w:widowControl/>
              <w:spacing w:line="300" w:lineRule="exact"/>
              <w:ind w:firstLine="210" w:firstLineChars="100"/>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（六）其他处理</w:t>
            </w: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rPr>
            </w:pPr>
            <w:r>
              <w:rPr>
                <w:rFonts w:hint="default" w:ascii="Times New Roman" w:hAnsi="Times New Roman" w:eastAsia="仿宋_GB2312" w:cs="Times New Roman"/>
                <w:color w:val="auto"/>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15</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15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251</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1</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kern w:val="2"/>
                <w:sz w:val="21"/>
                <w:szCs w:val="21"/>
                <w:lang w:val="en-US" w:eastAsia="zh-CN" w:bidi="ar-SA"/>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252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7</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7</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pPr>
              <w:widowControl/>
              <w:ind w:left="-149" w:leftChars="-71" w:right="-170" w:rightChars="-8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pPr>
              <w:widowControl/>
              <w:ind w:left="-118" w:leftChars="-56" w:right="-118" w:rightChars="-56"/>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总</w:t>
            </w:r>
          </w:p>
          <w:p>
            <w:pPr>
              <w:widowControl/>
              <w:spacing w:line="320" w:lineRule="exact"/>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bookmarkStart w:id="9" w:name="_Hlk67039688"/>
            <w:r>
              <w:rPr>
                <w:rFonts w:hint="default" w:ascii="Times New Roman" w:hAnsi="Times New Roman" w:eastAsia="黑体" w:cs="Times New Roman"/>
                <w:color w:val="auto"/>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default" w:ascii="Times New Roman" w:hAnsi="Times New Roman" w:eastAsia="黑体" w:cs="Times New Roman"/>
                <w:color w:val="auto"/>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pPr>
              <w:widowControl/>
              <w:ind w:left="-126" w:leftChars="-60" w:right="-136" w:rightChars="-65"/>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尚未</w:t>
            </w:r>
          </w:p>
          <w:p>
            <w:pPr>
              <w:widowControl/>
              <w:ind w:left="-164" w:leftChars="-78" w:right="-153" w:rightChars="-73"/>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结果</w:t>
            </w:r>
          </w:p>
          <w:p>
            <w:pPr>
              <w:widowControl/>
              <w:ind w:left="-136" w:leftChars="-65" w:right="-124" w:rightChars="-59"/>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hint="default" w:ascii="Times New Roman" w:hAnsi="Times New Roman" w:eastAsia="黑体" w:cs="Times New Roman"/>
                <w:color w:val="auto"/>
                <w:kern w:val="0"/>
                <w:sz w:val="20"/>
                <w:szCs w:val="20"/>
              </w:rPr>
            </w:pPr>
            <w:r>
              <w:rPr>
                <w:rFonts w:hint="default" w:ascii="Times New Roman" w:hAnsi="Times New Roman" w:eastAsia="黑体" w:cs="Times New Roman"/>
                <w:color w:val="auto"/>
                <w:kern w:val="0"/>
                <w:sz w:val="20"/>
                <w:szCs w:val="20"/>
              </w:rPr>
              <w:t>其他</w:t>
            </w:r>
          </w:p>
          <w:p>
            <w:pPr>
              <w:widowControl/>
              <w:ind w:left="-173" w:leftChars="-83" w:right="-134" w:rightChars="-64" w:hanging="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hint="default" w:ascii="Times New Roman" w:hAnsi="Times New Roman" w:eastAsia="黑体" w:cs="Times New Roman"/>
                <w:color w:val="auto"/>
              </w:rPr>
            </w:pPr>
            <w:r>
              <w:rPr>
                <w:rFonts w:hint="default" w:ascii="Times New Roman" w:hAnsi="Times New Roman" w:eastAsia="黑体" w:cs="Times New Roman"/>
                <w:color w:val="auto"/>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1</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1</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1</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1</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0</w:t>
            </w:r>
          </w:p>
        </w:tc>
      </w:tr>
    </w:tbl>
    <w:p>
      <w:pPr>
        <w:widowControl/>
        <w:jc w:val="left"/>
        <w:rPr>
          <w:rFonts w:hint="default" w:ascii="Times New Roman" w:hAnsi="Times New Roman" w:eastAsia="仿宋_GB2312" w:cs="Times New Roman"/>
          <w:color w:val="auto"/>
          <w:kern w:val="0"/>
          <w:szCs w:val="21"/>
          <w:lang w:val="en-US" w:eastAsia="zh-CN"/>
        </w:rPr>
      </w:pP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存在的主要问题及改进情况</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存在问题：</w:t>
      </w:r>
      <w:r>
        <w:rPr>
          <w:rFonts w:hint="default" w:ascii="Times New Roman" w:hAnsi="Times New Roman" w:eastAsia="仿宋_GB2312" w:cs="Times New Roman"/>
          <w:color w:val="auto"/>
          <w:sz w:val="32"/>
          <w:szCs w:val="32"/>
          <w:lang w:val="en-US" w:eastAsia="zh-CN"/>
        </w:rPr>
        <w:t xml:space="preserve">一是政民互动的活动形式相对单一，在“政府开放日”等互动类活动的形式和内容上缺乏创新亮点。二是重大行政决策公众参与程度还需进一步提高。  </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下步打算：</w:t>
      </w:r>
      <w:r>
        <w:rPr>
          <w:rFonts w:hint="default" w:ascii="Times New Roman" w:hAnsi="Times New Roman" w:eastAsia="仿宋_GB2312" w:cs="Times New Roman"/>
          <w:color w:val="auto"/>
          <w:sz w:val="32"/>
          <w:szCs w:val="32"/>
          <w:lang w:val="en-US" w:eastAsia="zh-CN"/>
        </w:rPr>
        <w:t>一是探索创新多样的互动形式。积极学习外地先进经验，聚焦群众需求，扩大公众参与范围，以群众喜闻乐见的方式开展各类政民互动。二是邀请市民代表常态化列席政府常务会议，真正让公众有效参与涉及自身权益的决策制定、实施等行政过程，推动实现重大决策的民主化、法治化。</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六、其他需要报告的事项</w:t>
      </w:r>
    </w:p>
    <w:p>
      <w:pPr>
        <w:pStyle w:val="5"/>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right="0" w:firstLine="645"/>
        <w:jc w:val="both"/>
        <w:textAlignment w:val="auto"/>
        <w:rPr>
          <w:rFonts w:hint="default" w:ascii="Times New Roman" w:hAnsi="Times New Roman" w:eastAsia="仿宋_GB2312" w:cs="Times New Roman"/>
          <w:color w:val="auto"/>
          <w:sz w:val="32"/>
          <w:szCs w:val="32"/>
          <w:u w:val="single"/>
          <w:lang w:val="en-US" w:eastAsia="zh-CN"/>
        </w:rPr>
      </w:pP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政府信息公开收费方面：</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威海市环翠区所有部门和单位均</w:t>
      </w:r>
      <w:r>
        <w:rPr>
          <w:rFonts w:hint="default" w:ascii="Times New Roman" w:hAnsi="Times New Roman" w:eastAsia="仿宋_GB2312" w:cs="Times New Roman"/>
          <w:color w:val="auto"/>
          <w:sz w:val="32"/>
          <w:szCs w:val="32"/>
        </w:rPr>
        <w:t>未收取政府信息公开信息处理费。</w:t>
      </w:r>
    </w:p>
    <w:p>
      <w:pPr>
        <w:pStyle w:val="5"/>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cs="Times New Roman"/>
          <w:color w:val="auto"/>
          <w:sz w:val="32"/>
          <w:szCs w:val="32"/>
          <w:highlight w:val="none"/>
        </w:rPr>
        <w:t>2</w:t>
      </w:r>
      <w:r>
        <w:rPr>
          <w:rFonts w:hint="default" w:ascii="Times New Roman" w:hAnsi="Times New Roman" w:eastAsia="仿宋_GB2312" w:cs="Times New Roman"/>
          <w:color w:val="auto"/>
          <w:sz w:val="32"/>
          <w:szCs w:val="32"/>
          <w:highlight w:val="none"/>
        </w:rPr>
        <w:t>.</w:t>
      </w:r>
      <w:r>
        <w:rPr>
          <w:rFonts w:hint="default" w:ascii="Times New Roman" w:hAnsi="Times New Roman" w:eastAsia="楷体_GB2312" w:cs="Times New Roman"/>
          <w:color w:val="auto"/>
          <w:sz w:val="32"/>
          <w:szCs w:val="32"/>
          <w:highlight w:val="none"/>
        </w:rPr>
        <w:t>人大代表、政协委员提案办理方面：</w:t>
      </w:r>
      <w:r>
        <w:rPr>
          <w:rFonts w:hint="default" w:ascii="Times New Roman" w:hAnsi="Times New Roman" w:eastAsia="仿宋_GB2312" w:cs="Times New Roman"/>
          <w:color w:val="auto"/>
          <w:sz w:val="32"/>
          <w:szCs w:val="32"/>
          <w:lang w:val="en-US" w:eastAsia="zh-CN"/>
        </w:rPr>
        <w:t>2023年，共收到需我区办理的人大代表建议、政协委员提案119件，其中区级人大代表建议41件，区级政协委员提案78件，未收到上级人大代表建议和政协委员提案。在区人大、区政协的监督、支持和指导下，在各承办单位和经办人员的共同努力下，截至7月底，人大代表建议、政协委员提案已全部落实、办结，面复率及满意率均为100%。</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kern w:val="0"/>
          <w:sz w:val="32"/>
          <w:szCs w:val="32"/>
          <w:highlight w:val="none"/>
          <w:lang w:val="en-US" w:eastAsia="zh-CN" w:bidi="ar"/>
        </w:rPr>
      </w:pP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default" w:ascii="Times New Roman" w:hAnsi="Times New Roman" w:eastAsia="楷体_GB2312" w:cs="Times New Roman"/>
          <w:color w:val="auto"/>
          <w:sz w:val="32"/>
          <w:szCs w:val="32"/>
        </w:rPr>
        <w:t>落实上级政务公开要点做法：</w:t>
      </w:r>
      <w:r>
        <w:rPr>
          <w:rFonts w:hint="default" w:ascii="Times New Roman" w:hAnsi="Times New Roman" w:eastAsia="仿宋_GB2312" w:cs="Times New Roman"/>
          <w:color w:val="auto"/>
          <w:kern w:val="0"/>
          <w:sz w:val="32"/>
          <w:szCs w:val="32"/>
          <w:highlight w:val="none"/>
          <w:lang w:val="en-US" w:eastAsia="zh-CN" w:bidi="ar"/>
        </w:rPr>
        <w:t>制定环翠区2023年度政务公开重点工作及责任分工方案，逐项落实责任单位和完成时限，并持续开展专项督查，推动年度政务公开重点工作任务落实到位。</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kern w:val="0"/>
          <w:sz w:val="32"/>
          <w:szCs w:val="32"/>
          <w:highlight w:val="none"/>
          <w:lang w:val="en-US" w:eastAsia="zh-CN" w:bidi="ar"/>
        </w:rPr>
      </w:pPr>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kern w:val="0"/>
          <w:sz w:val="32"/>
          <w:szCs w:val="32"/>
          <w:highlight w:val="none"/>
          <w:lang w:val="en-US" w:eastAsia="zh-CN" w:bidi="ar"/>
        </w:rPr>
        <w:t>取得荣誉：</w:t>
      </w:r>
      <w:r>
        <w:rPr>
          <w:rFonts w:hint="eastAsia" w:ascii="Times New Roman" w:hAnsi="Times New Roman" w:eastAsia="仿宋_GB2312" w:cs="Times New Roman"/>
          <w:color w:val="auto"/>
          <w:kern w:val="0"/>
          <w:sz w:val="32"/>
          <w:szCs w:val="32"/>
          <w:highlight w:val="none"/>
          <w:lang w:val="en-US" w:eastAsia="zh-CN" w:bidi="ar"/>
        </w:rPr>
        <w:t>威海市环翠区人民政府办公室荣获</w:t>
      </w:r>
      <w:r>
        <w:rPr>
          <w:rFonts w:hint="default" w:ascii="Times New Roman" w:hAnsi="Times New Roman" w:eastAsia="仿宋_GB2312" w:cs="Times New Roman"/>
          <w:color w:val="auto"/>
          <w:kern w:val="0"/>
          <w:sz w:val="32"/>
          <w:szCs w:val="32"/>
          <w:highlight w:val="none"/>
          <w:lang w:val="en-US" w:eastAsia="zh-CN" w:bidi="ar"/>
        </w:rPr>
        <w:t>山东省政务公开工作先进集体</w:t>
      </w:r>
      <w:r>
        <w:rPr>
          <w:rFonts w:hint="eastAsia" w:ascii="Times New Roman" w:hAnsi="Times New Roman" w:eastAsia="仿宋_GB2312" w:cs="Times New Roman"/>
          <w:color w:val="auto"/>
          <w:kern w:val="0"/>
          <w:sz w:val="32"/>
          <w:szCs w:val="32"/>
          <w:highlight w:val="none"/>
          <w:lang w:val="en-US" w:eastAsia="zh-CN" w:bidi="ar"/>
        </w:rPr>
        <w:t>荣誉称号</w:t>
      </w:r>
      <w:r>
        <w:rPr>
          <w:rFonts w:hint="default" w:ascii="Times New Roman" w:hAnsi="Times New Roman" w:eastAsia="仿宋_GB2312" w:cs="Times New Roman"/>
          <w:color w:val="auto"/>
          <w:kern w:val="0"/>
          <w:sz w:val="32"/>
          <w:szCs w:val="32"/>
          <w:highlight w:val="none"/>
          <w:lang w:val="en-US" w:eastAsia="zh-CN" w:bidi="ar"/>
        </w:rPr>
        <w:t>。</w:t>
      </w:r>
    </w:p>
    <w:p>
      <w:pPr>
        <w:pStyle w:val="8"/>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lang w:val="en-US" w:eastAsia="zh-CN"/>
        </w:rPr>
      </w:pPr>
      <w:bookmarkStart w:id="10" w:name="_GoBack"/>
      <w:bookmarkEnd w:id="1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iY2QyZDU3NjdlNTIyZTJiNWU5NTdiM2ZiY2YwOWYifQ=="/>
  </w:docVars>
  <w:rsids>
    <w:rsidRoot w:val="11AF18C8"/>
    <w:rsid w:val="0095088C"/>
    <w:rsid w:val="01C4531A"/>
    <w:rsid w:val="076C5D57"/>
    <w:rsid w:val="08D157AC"/>
    <w:rsid w:val="09D21BBD"/>
    <w:rsid w:val="0D2C7836"/>
    <w:rsid w:val="0F3D6E42"/>
    <w:rsid w:val="10AFA3C6"/>
    <w:rsid w:val="11AF18C8"/>
    <w:rsid w:val="133256D6"/>
    <w:rsid w:val="13E12516"/>
    <w:rsid w:val="14AD74AF"/>
    <w:rsid w:val="166013EE"/>
    <w:rsid w:val="16821CF2"/>
    <w:rsid w:val="1A6A77C7"/>
    <w:rsid w:val="1AA47505"/>
    <w:rsid w:val="1CB174D9"/>
    <w:rsid w:val="201A18F4"/>
    <w:rsid w:val="212C57D3"/>
    <w:rsid w:val="21E9640B"/>
    <w:rsid w:val="25B73564"/>
    <w:rsid w:val="289625EF"/>
    <w:rsid w:val="2A9A5A45"/>
    <w:rsid w:val="2C7A1F15"/>
    <w:rsid w:val="2DF357BC"/>
    <w:rsid w:val="35F332F8"/>
    <w:rsid w:val="36241E36"/>
    <w:rsid w:val="37DA7D0B"/>
    <w:rsid w:val="3813421A"/>
    <w:rsid w:val="3AA12D62"/>
    <w:rsid w:val="3BB645EB"/>
    <w:rsid w:val="3C2B4FD9"/>
    <w:rsid w:val="3CB02FDD"/>
    <w:rsid w:val="3DF144D8"/>
    <w:rsid w:val="3E173A67"/>
    <w:rsid w:val="3F7F6D07"/>
    <w:rsid w:val="3FA02FAC"/>
    <w:rsid w:val="40307062"/>
    <w:rsid w:val="41B051C6"/>
    <w:rsid w:val="45F005CE"/>
    <w:rsid w:val="464F74E8"/>
    <w:rsid w:val="48C937E8"/>
    <w:rsid w:val="48F84A93"/>
    <w:rsid w:val="492C5BF2"/>
    <w:rsid w:val="4977360C"/>
    <w:rsid w:val="49FC1D63"/>
    <w:rsid w:val="4A5B4CDC"/>
    <w:rsid w:val="4A8835F7"/>
    <w:rsid w:val="4B1227D4"/>
    <w:rsid w:val="4DE34C8F"/>
    <w:rsid w:val="4EEF1EC7"/>
    <w:rsid w:val="4FB97C87"/>
    <w:rsid w:val="511E6463"/>
    <w:rsid w:val="54F23AC6"/>
    <w:rsid w:val="56F344A5"/>
    <w:rsid w:val="57236B81"/>
    <w:rsid w:val="573C7C43"/>
    <w:rsid w:val="587A4EC7"/>
    <w:rsid w:val="5B2F2252"/>
    <w:rsid w:val="5BD668B8"/>
    <w:rsid w:val="5C675D8D"/>
    <w:rsid w:val="5F0C04A7"/>
    <w:rsid w:val="5F807B10"/>
    <w:rsid w:val="62930ACC"/>
    <w:rsid w:val="657F7FC2"/>
    <w:rsid w:val="667E088B"/>
    <w:rsid w:val="68C9088B"/>
    <w:rsid w:val="6C7C7FF0"/>
    <w:rsid w:val="6E0334E4"/>
    <w:rsid w:val="71147D32"/>
    <w:rsid w:val="74B02D5E"/>
    <w:rsid w:val="763A5ADE"/>
    <w:rsid w:val="77181135"/>
    <w:rsid w:val="774C25A1"/>
    <w:rsid w:val="78564BB1"/>
    <w:rsid w:val="79B62A81"/>
    <w:rsid w:val="7BFC1E22"/>
    <w:rsid w:val="7E2277F5"/>
    <w:rsid w:val="7F5D0D7A"/>
    <w:rsid w:val="7FF3217F"/>
    <w:rsid w:val="CFD98EC0"/>
    <w:rsid w:val="F95F4281"/>
    <w:rsid w:val="FABFFB74"/>
    <w:rsid w:val="FBBB7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Title"/>
    <w:basedOn w:val="1"/>
    <w:next w:val="3"/>
    <w:qFormat/>
    <w:uiPriority w:val="0"/>
    <w:pPr>
      <w:jc w:val="center"/>
      <w:outlineLvl w:val="0"/>
    </w:pPr>
    <w:rPr>
      <w:rFonts w:ascii="Arial" w:hAnsi="Arial"/>
      <w:b/>
    </w:rPr>
  </w:style>
  <w:style w:type="paragraph" w:customStyle="1" w:styleId="3">
    <w:name w:val="文章附标题"/>
    <w:basedOn w:val="1"/>
    <w:next w:val="4"/>
    <w:autoRedefine/>
    <w:qFormat/>
    <w:uiPriority w:val="0"/>
    <w:pPr>
      <w:spacing w:before="104" w:beforeLines="0" w:after="104" w:afterLines="0" w:line="0" w:lineRule="atLeast"/>
      <w:ind w:firstLine="0" w:firstLineChars="0"/>
      <w:jc w:val="center"/>
    </w:pPr>
    <w:rPr>
      <w:rFonts w:ascii="Calibri" w:hAnsi="Calibri" w:eastAsia="宋体" w:cs="Times New Roman"/>
      <w:sz w:val="36"/>
    </w:rPr>
  </w:style>
  <w:style w:type="paragraph" w:styleId="5">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8">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2547</Words>
  <Characters>2724</Characters>
  <Lines>0</Lines>
  <Paragraphs>0</Paragraphs>
  <TotalTime>7</TotalTime>
  <ScaleCrop>false</ScaleCrop>
  <LinksUpToDate>false</LinksUpToDate>
  <CharactersWithSpaces>2726</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WPS_1528096066</cp:lastModifiedBy>
  <cp:lastPrinted>2023-01-16T17:08:00Z</cp:lastPrinted>
  <dcterms:modified xsi:type="dcterms:W3CDTF">2024-02-19T10:39:52Z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E69FC135B6704485BACA57740AE2D712</vt:lpwstr>
  </property>
</Properties>
</file>