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0A10F5">
      <w:pPr>
        <w:widowControl/>
        <w:shd w:val="clear" w:color="auto" w:fill="FFFFFF"/>
        <w:spacing w:beforeAutospacing="0" w:afterAutospacing="0" w:line="560" w:lineRule="exact"/>
        <w:jc w:val="center"/>
        <w:rPr>
          <w:rFonts w:hint="default" w:ascii="Times New Roman" w:hAnsi="Times New Roman" w:eastAsia="方正小标宋简体" w:cs="Times New Roman"/>
          <w:bCs/>
          <w:color w:val="auto"/>
          <w:spacing w:val="-17"/>
          <w:kern w:val="0"/>
          <w:sz w:val="44"/>
          <w:szCs w:val="44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方正小标宋简体" w:cs="Times New Roman"/>
          <w:bCs/>
          <w:color w:val="auto"/>
          <w:spacing w:val="-17"/>
          <w:kern w:val="0"/>
          <w:sz w:val="44"/>
          <w:szCs w:val="44"/>
          <w:shd w:val="clear" w:color="auto" w:fill="FFFFFF"/>
          <w:lang w:val="en-US" w:eastAsia="zh-CN" w:bidi="ar-SA"/>
        </w:rPr>
        <w:t>威海市环翠区商务局</w:t>
      </w:r>
    </w:p>
    <w:p w14:paraId="5567DCB5">
      <w:pPr>
        <w:widowControl/>
        <w:shd w:val="clear" w:color="auto" w:fill="FFFFFF"/>
        <w:spacing w:beforeAutospacing="0" w:afterAutospacing="0" w:line="560" w:lineRule="exact"/>
        <w:jc w:val="center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Cs/>
          <w:color w:val="auto"/>
          <w:spacing w:val="-17"/>
          <w:kern w:val="0"/>
          <w:sz w:val="44"/>
          <w:szCs w:val="44"/>
          <w:shd w:val="clear" w:color="auto" w:fill="FFFFFF"/>
          <w:lang w:val="en-US" w:eastAsia="zh-CN" w:bidi="ar-SA"/>
        </w:rPr>
        <w:t>2025年政府信息公开工作年度报告</w:t>
      </w:r>
    </w:p>
    <w:p w14:paraId="186A8B24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仿宋_GB2312" w:cs="Times New Roman"/>
          <w:bCs/>
          <w:color w:val="auto"/>
          <w:kern w:val="0"/>
          <w:sz w:val="32"/>
          <w:szCs w:val="32"/>
          <w:lang w:val="en-US" w:eastAsia="zh-CN" w:bidi="ar-SA"/>
        </w:rPr>
      </w:pPr>
    </w:p>
    <w:p w14:paraId="31F7C7B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根据《中华人民共和国政府信息公开条例》（国务院令第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"/>
        </w:rPr>
        <w:t>711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"/>
        </w:rPr>
        <w:t>2021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〕30号）要求，结合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"/>
        </w:rPr>
        <w:t>2024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年环翠区商务局单位政府信息公开工作实际，编制发布本报告。</w:t>
      </w:r>
    </w:p>
    <w:p w14:paraId="3E183F9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本报告的电子版可在威海市环翠区人民政府门户网站（http://www.huancui.gov.cn）下载。如对本报告有疑问，请与环翠区商务局联系（地址：威海市文化中路59号，邮箱：hcqswj38500@wh.shandong.cn，邮编：264200，电话：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lang w:val="en-US" w:eastAsia="zh-CN" w:bidi="ar"/>
        </w:rPr>
        <w:t>0631-5273106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 xml:space="preserve">）。 </w:t>
      </w:r>
    </w:p>
    <w:p w14:paraId="2A871509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一、总体情况</w:t>
      </w:r>
    </w:p>
    <w:p w14:paraId="62338EC4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hint="default" w:ascii="Times New Roman" w:hAnsi="Times New Roman" w:cs="Times New Roman"/>
          <w:bCs/>
          <w:color w:val="auto"/>
          <w:sz w:val="32"/>
          <w:szCs w:val="32"/>
          <w:lang w:val="en-US" w:eastAsia="zh-CN"/>
        </w:rPr>
        <w:t>2025年，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</w:rPr>
        <w:t>环翠区商务局在区委、区政府的领导下，深入贯彻落实上级政务公开工作部署，遵循“公正、公平、合法、便民”原则，不断完善工作机制，拓宽信息公开领域，保障公民、法人和其他组织依法获取政府信息的途径。</w:t>
      </w:r>
    </w:p>
    <w:p w14:paraId="1B784A6C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bCs/>
          <w:color w:val="auto"/>
          <w:kern w:val="0"/>
          <w:sz w:val="32"/>
          <w:szCs w:val="32"/>
          <w:lang w:val="en-US" w:eastAsia="zh-CN" w:bidi="ar-SA"/>
        </w:rPr>
        <w:t>1.</w:t>
      </w:r>
      <w:r>
        <w:rPr>
          <w:rFonts w:hint="default" w:ascii="Times New Roman" w:hAnsi="Times New Roman" w:eastAsia="楷体_GB2312" w:cs="Times New Roman"/>
          <w:bCs/>
          <w:color w:val="auto"/>
          <w:kern w:val="0"/>
          <w:sz w:val="32"/>
          <w:szCs w:val="32"/>
          <w:lang w:val="en-US" w:eastAsia="zh-CN" w:bidi="ar-SA"/>
        </w:rPr>
        <w:t>主动公开情况。</w:t>
      </w:r>
      <w:r>
        <w:rPr>
          <w:rFonts w:hint="default" w:ascii="Times New Roman" w:hAnsi="Times New Roman" w:cs="Times New Roman"/>
          <w:lang w:val="en-US" w:eastAsia="zh-CN"/>
        </w:rPr>
        <w:t>2025年，区商务局</w:t>
      </w:r>
      <w:r>
        <w:rPr>
          <w:rFonts w:hint="default" w:ascii="Times New Roman" w:hAnsi="Times New Roman" w:cs="Times New Roman"/>
        </w:rPr>
        <w:t>聚焦</w:t>
      </w:r>
      <w:r>
        <w:rPr>
          <w:rFonts w:hint="default" w:ascii="Times New Roman" w:hAnsi="Times New Roman" w:cs="Times New Roman"/>
          <w:lang w:val="en-US" w:eastAsia="zh-CN"/>
        </w:rPr>
        <w:t>招商引资、</w:t>
      </w:r>
      <w:r>
        <w:rPr>
          <w:rFonts w:hint="default" w:ascii="Times New Roman" w:hAnsi="Times New Roman" w:cs="Times New Roman"/>
        </w:rPr>
        <w:t>商贸流通、外资外贸、</w:t>
      </w:r>
      <w:r>
        <w:rPr>
          <w:rFonts w:hint="default" w:ascii="Times New Roman" w:hAnsi="Times New Roman" w:cs="Times New Roman"/>
          <w:lang w:val="en-US" w:eastAsia="zh-CN"/>
        </w:rPr>
        <w:t>对外开放</w:t>
      </w:r>
      <w:r>
        <w:rPr>
          <w:rFonts w:hint="default" w:ascii="Times New Roman" w:hAnsi="Times New Roman" w:cs="Times New Roman"/>
        </w:rPr>
        <w:t>等核心业务，系统公开商务发展实施方案、重点工作成效、企业服务指南等关键信息，助力市场主体与社会公众全面掌握商务工作部署与进展。</w:t>
      </w:r>
      <w:r>
        <w:rPr>
          <w:rFonts w:hint="default" w:ascii="Times New Roman" w:hAnsi="Times New Roman" w:cs="Times New Roman"/>
          <w:lang w:val="en-US" w:eastAsia="zh-CN"/>
        </w:rPr>
        <w:t>本年度，通过政务网站</w:t>
      </w:r>
      <w:r>
        <w:rPr>
          <w:rFonts w:hint="default" w:ascii="Times New Roman" w:hAnsi="Times New Roman" w:cs="Times New Roman"/>
        </w:rPr>
        <w:t>累计发布</w:t>
      </w:r>
      <w:r>
        <w:rPr>
          <w:rFonts w:hint="default" w:ascii="Times New Roman" w:hAnsi="Times New Roman" w:cs="Times New Roman"/>
          <w:lang w:val="en-US" w:eastAsia="zh-CN"/>
        </w:rPr>
        <w:t>政策文件、年度计划、建议答复等各类文件共41条。持续</w:t>
      </w:r>
      <w:r>
        <w:rPr>
          <w:rFonts w:hint="default" w:ascii="Times New Roman" w:hAnsi="Times New Roman" w:cs="Times New Roman"/>
        </w:rPr>
        <w:t>完善政务公开互动交流机制，</w:t>
      </w:r>
      <w:r>
        <w:rPr>
          <w:rFonts w:hint="default" w:ascii="Times New Roman" w:hAnsi="Times New Roman" w:cs="Times New Roman"/>
          <w:lang w:val="en-US" w:eastAsia="zh-CN"/>
        </w:rPr>
        <w:t>通过政府开放日和政企座谈会等各类渠道，</w:t>
      </w:r>
      <w:r>
        <w:rPr>
          <w:rFonts w:hint="default" w:ascii="Times New Roman" w:hAnsi="Times New Roman" w:cs="Times New Roman"/>
        </w:rPr>
        <w:t>畅通诉求表达与回应渠道，健全高效回应处置流程，及时回应解决各方疑问与建议，持续提升政务公开的针对性与实效性。</w:t>
      </w:r>
    </w:p>
    <w:p w14:paraId="00923FA5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</w:rPr>
        <w:t>2.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</w:rPr>
        <w:t>依申请公开工作方面。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本年度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bidi="ar"/>
        </w:rPr>
        <w:t>，环翠区商务局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暂未收到依申请公开信息。</w:t>
      </w:r>
    </w:p>
    <w:p w14:paraId="2E0602D1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Cs/>
          <w:color w:val="auto"/>
          <w:kern w:val="2"/>
          <w:sz w:val="32"/>
          <w:szCs w:val="32"/>
          <w:lang w:val="en-US" w:eastAsia="zh-CN" w:bidi="ar-SA"/>
        </w:rPr>
        <w:t>3.政府信息管理方面</w:t>
      </w:r>
      <w:r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  <w:t>。优化政府信息主动公开清单，立足全区商务领域履职实际，结合重点工作部署，编制了《环翠区商务局政府主动公开基本目录（2025年版）》，明确各事项的公开范围、核心要素、发布时限及推送渠道，建立清单动态调整机制，持续提升主动公开工作的精准性和有序性</w:t>
      </w:r>
      <w:r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  <w:t>；规范政策文件全周期管理，健全商务领域政策文件起草、论证、审核、发布、备案全流程管控体系，重点梳理排查与现行法律法规、上级政策要求不符的文件，及时完成修订或废止工作，确保政策文件体系的合规性与适配性，本年度宣布废止和失效2件，并动态调整文件有效性标注；构建信息公开前置审核闭环机制，明确各层级保密审查职责、流程标准及责任追究细则，保障政务信息公开工作安全有序推进。</w:t>
      </w:r>
    </w:p>
    <w:p w14:paraId="68AE2FB0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Cs/>
          <w:color w:val="auto"/>
          <w:kern w:val="2"/>
          <w:sz w:val="32"/>
          <w:szCs w:val="32"/>
          <w:lang w:val="en-US" w:eastAsia="zh-CN" w:bidi="ar-SA"/>
        </w:rPr>
        <w:t>4.平台建设方面。</w:t>
      </w:r>
      <w:r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  <w:t>通过“最威海 是环翠”新媒体平台累计公开政策文件、业务动态等信息23条，内容涵盖商务领域业务进展、上级政策传达、营商环境优化等多个关键领域，有效拓宽了信息公开覆盖面。同时，建立平台信息核查清理机制，定期排查过期失效信息，及时完成下架并公示，保障公开信息的时效性与可用性。</w:t>
      </w:r>
    </w:p>
    <w:p w14:paraId="4DEE1CB2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Cs/>
          <w:color w:val="auto"/>
          <w:kern w:val="2"/>
          <w:sz w:val="32"/>
          <w:szCs w:val="32"/>
          <w:lang w:val="en-US" w:eastAsia="zh-CN" w:bidi="ar-SA"/>
        </w:rPr>
        <w:t>5.监督保障方面。</w:t>
      </w:r>
      <w:r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  <w:t>优化完善政务公开组织架构，结合工作实际调整充实政务公开工作领导小组组成人员，形成“主要领导亲自抓、分管领导具体抓、各科室协同落实”的工作格局，确保监督保障责任层层压实。加强政务公开队伍建设，组织开展政务公开政策法规、工作流程</w:t>
      </w:r>
      <w:r>
        <w:rPr>
          <w:rFonts w:hint="eastAsia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  <w:t>、</w:t>
      </w:r>
      <w:r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  <w:t>保密审查等专题培训，提升工作人员的专业素养和业务能力，为政务公开工作规范高效推进提供坚实人才保障。</w:t>
      </w:r>
    </w:p>
    <w:p w14:paraId="7171F79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9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FD30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3E68C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第二十条第（一）项</w:t>
            </w:r>
          </w:p>
        </w:tc>
      </w:tr>
      <w:tr w14:paraId="114E8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FAC0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130BD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AF292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4A4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现行有效件数</w:t>
            </w:r>
          </w:p>
        </w:tc>
      </w:tr>
      <w:tr w14:paraId="67AE7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44CEA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A6B9E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56C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659AD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122E4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26E74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A28D1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E25E1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CD79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278FF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02B96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第二十条第（五）项</w:t>
            </w:r>
          </w:p>
        </w:tc>
      </w:tr>
      <w:tr w14:paraId="2F711E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8BE5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0F30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本年处理决定数量</w:t>
            </w:r>
          </w:p>
        </w:tc>
      </w:tr>
      <w:tr w14:paraId="5C071B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D2BC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0F7B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428CE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720CE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第二十条第（六）项</w:t>
            </w:r>
          </w:p>
        </w:tc>
      </w:tr>
      <w:tr w14:paraId="1398A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3E1B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FEF6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本年处理决定数量</w:t>
            </w:r>
          </w:p>
        </w:tc>
      </w:tr>
      <w:tr w14:paraId="07546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84D04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18D9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1CA59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27CE9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6F2E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0AC702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A4BBF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第二十条第（八）项</w:t>
            </w:r>
          </w:p>
        </w:tc>
      </w:tr>
      <w:tr w14:paraId="57789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37C99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4D0E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本年收费金额（单位：万元）</w:t>
            </w:r>
          </w:p>
        </w:tc>
      </w:tr>
      <w:tr w14:paraId="3B1F4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684F5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0A12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</w:tbl>
    <w:p w14:paraId="271CC9E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9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22137C1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0FD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楷体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 w:val="21"/>
                <w:szCs w:val="21"/>
              </w:rPr>
              <w:t>（本列数据的勾稽关系为：第一项加第二项之和，</w:t>
            </w:r>
          </w:p>
          <w:p w14:paraId="65AC3E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 w:val="21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ED3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申请人情况</w:t>
            </w:r>
          </w:p>
        </w:tc>
      </w:tr>
      <w:tr w14:paraId="537196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A72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D673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A78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5BEB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总计</w:t>
            </w:r>
          </w:p>
        </w:tc>
      </w:tr>
      <w:tr w14:paraId="21E0C0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AE97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4547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3783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2" w:leftChars="-51" w:right="-163" w:rightChars="-51" w:hanging="1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758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right="-163" w:rightChars="-51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AB4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right="-163" w:rightChars="-51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DC1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2" w:leftChars="-51" w:right="-163" w:rightChars="-51" w:hanging="1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6889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96" w:leftChars="-30" w:right="-205" w:rightChars="-64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55F4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</w:p>
        </w:tc>
      </w:tr>
      <w:tr w14:paraId="2A5051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6DE9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A33C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5C2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45C5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6A84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5A29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AB68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24F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</w:tr>
      <w:tr w14:paraId="6D6A704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348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995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6968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1F9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54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A63E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10F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8A1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</w:tr>
      <w:tr w14:paraId="20B9A99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4342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3BC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2585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CCD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5F72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4F1C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76F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0F2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48B6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0E0427E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9F15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172E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C934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675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4A2C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7C95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A02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2BE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12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5F64283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DCB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A45C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D5A8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218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3CC3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0780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D1EE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E87E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DB5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C63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2D428A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BAC1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4E24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42DD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867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6B40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3282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1DD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EB76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FCC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37C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28724B8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9D6B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DB26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715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7C22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D3B4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831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9DF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A76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CFAB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979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338C644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900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B34E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ECF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AE0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524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6A0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FBEC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CF0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AFE9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21BE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3FD7EE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5148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31A5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BBA0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1BB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5021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9D5A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60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526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E264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F5B5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1411D66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3C08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CEF8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D3A2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126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54E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D525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0FF5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DBF7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A20E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19E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05A4B1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6B8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6E5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F9E4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8B76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67C0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814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D29D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3C2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DEBA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CCCA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4409D03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D9F4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31CA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AD8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C787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F51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A8D1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CB1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62DD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BC12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8AF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223583F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9412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1A8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5AC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27DC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1FC8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4D2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872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D69B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182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F058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345B096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763F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F0D6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F360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874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69B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5861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7107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2EAB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626C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4553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22E107F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9F6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1E0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2DA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D038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289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A57F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D2D6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69D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BD08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FFDB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78AB836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E4E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49C0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720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690B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FB4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9E56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AE0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F791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3150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5AE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2FC137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9306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82E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E7C2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8E8B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E7D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8C5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5477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394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F93F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7CB8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347787F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58B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DB4F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6C7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079A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D4F5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7CE8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22F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CF7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1668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DE90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419B9BC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070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BF9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E3A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DD00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62E6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5813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386F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538D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6A0E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A540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1E15810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7E94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1BB6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81F1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5.要求行政机关确认或重新</w:t>
            </w:r>
          </w:p>
          <w:p w14:paraId="0D237B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210" w:firstLineChars="1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0059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237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6A7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45C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3150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65C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0C8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6A20D01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DB5C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86D0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6A87B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C581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3AF1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9BFB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03F0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29B3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C71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0C62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792C5D6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4A5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2BD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24B17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0AF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5991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18EE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872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266C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E6F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56DE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20EF715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EE82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4E64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B9DE8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2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774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0AF9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672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E70C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171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705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A28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5FEE9F7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D26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9E4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6C7D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F7F5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9965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B042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CB1D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4F24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62B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 w14:paraId="660A177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1077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002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5989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027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922A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8503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1EA9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0CA3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</w:tbl>
    <w:p w14:paraId="2229B8F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9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39E512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EB7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4EA8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 w14:paraId="36E924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026E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27" w:leftChars="-71" w:right="-259" w:rightChars="-81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 w14:paraId="114EF5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27" w:leftChars="-71" w:right="-259" w:rightChars="-81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6A1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66" w:leftChars="-21" w:right="-202" w:rightChars="-63" w:hanging="1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B78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25" w:leftChars="-39" w:right="-147" w:rightChars="-46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C964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79" w:leftChars="-56" w:right="-179" w:rightChars="-56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 w14:paraId="11084B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79" w:leftChars="-56" w:right="-179" w:rightChars="-56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598F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</w:t>
            </w:r>
          </w:p>
          <w:p w14:paraId="0E6500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476C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BE8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699730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F1A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1196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EBD8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CD25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2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F66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A516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0" w:leftChars="-50" w:right="-192" w:rightChars="-6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3545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31" w:leftChars="-41" w:right="-134" w:rightChars="-42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F61D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92" w:leftChars="-60" w:right="-208" w:rightChars="-65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 w14:paraId="0ECDCE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92" w:leftChars="-60" w:right="-208" w:rightChars="-65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DDC3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50" w:leftChars="-78" w:right="-234" w:rightChars="-73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 w14:paraId="097493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50" w:leftChars="-78" w:right="-234" w:rightChars="-73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232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B672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50" w:leftChars="-47" w:right="-118" w:rightChars="-37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DBA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08" w:leftChars="-65" w:right="-189" w:rightChars="-59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 w14:paraId="5ADA1C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08" w:leftChars="-65" w:right="-189" w:rightChars="-59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E33A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65" w:leftChars="-83" w:right="-205" w:rightChars="-64" w:hanging="1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 w14:paraId="0514C9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65" w:leftChars="-83" w:right="-205" w:rightChars="-64" w:hanging="1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680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04" w:leftChars="-33" w:right="-160" w:rightChars="-50" w:hanging="2" w:hangingChars="1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027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 w14:paraId="70AAB6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F76B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8F35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6A9C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DD94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9D87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2FD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F99A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46D4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F56E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3933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AF31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1F9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A47A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5449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4FB6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</w:tbl>
    <w:p w14:paraId="5DDC6830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lang w:val="en-US" w:eastAsia="zh-CN" w:bidi="ar-SA"/>
        </w:rPr>
        <w:t>五、存在的主要问题及改进情况</w:t>
      </w:r>
    </w:p>
    <w:p w14:paraId="70BAC4F9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  <w:t>2025年，对照国家、省、市</w:t>
      </w:r>
      <w:r>
        <w:rPr>
          <w:rFonts w:hint="eastAsia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  <w:t>、区</w:t>
      </w:r>
      <w:r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  <w:t>关于政务公开工作各项部署要求，还存在一些问题和不足</w:t>
      </w:r>
      <w:r>
        <w:rPr>
          <w:rFonts w:hint="eastAsia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 w14:paraId="7D359D63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Style w:val="11"/>
          <w:rFonts w:hint="eastAsia"/>
          <w:lang w:val="en-US" w:eastAsia="zh-CN"/>
        </w:rPr>
        <w:t>（一）存在问题。</w:t>
      </w:r>
      <w:r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  <w:t>一是政务公开内容覆盖面有待拓宽，部分领域信息发布存在滞后性，未能完全满足群众和企业的信息获取需求；二是公开形式创新性不足，线上线下公开渠道融合度不高，与群众、企业的互动回应机制不够健全，沟通交流的针对性有待提升；三是政务公开专业队伍建设仍需深化，部分工作人员对政策法规的理解掌握不够透彻，业务实操能力有待进一步提升。</w:t>
      </w:r>
    </w:p>
    <w:p w14:paraId="2E8BDAE4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Style w:val="11"/>
          <w:rFonts w:hint="eastAsia"/>
          <w:lang w:val="en-US" w:eastAsia="zh-CN"/>
        </w:rPr>
        <w:t>（二）改进措施。</w:t>
      </w:r>
      <w:r>
        <w:rPr>
          <w:rFonts w:hint="default" w:ascii="Times New Roman" w:hAnsi="Times New Roman" w:cs="Times New Roman"/>
          <w:bCs/>
          <w:color w:val="auto"/>
          <w:kern w:val="2"/>
          <w:sz w:val="32"/>
          <w:szCs w:val="32"/>
          <w:lang w:val="en-US" w:eastAsia="zh-CN" w:bidi="ar-SA"/>
        </w:rPr>
        <w:t>区商务局将以问题为导向，持续深化政务公开工作。进一步强化政务公开工作力度，聚焦群众和企业关切，不断拓展公开内容的深度与广度，提升信息发布的及时性与精准性；积极创新公开形式，健全常态化互动交流机制，畅通意见反馈渠道，增强政务公开的互动性与实效性；持续加强队伍专业化建设，通过常态化培训、实操演练等方式提升工作人员业务能力，推动全区商务领域政务公开工作再上新台阶。</w:t>
      </w:r>
    </w:p>
    <w:p w14:paraId="02E37CB9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lang w:val="en-US" w:eastAsia="zh-CN" w:bidi="ar-SA"/>
        </w:rPr>
        <w:t>六、其他需要报告的事项</w:t>
      </w:r>
    </w:p>
    <w:p w14:paraId="10446C9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560" w:lineRule="exact"/>
        <w:ind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  <w:t>1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.</w:t>
      </w: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  <w:t>政府信息公开收费方面。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  <w:t>2025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年威海市环翠区商务局未收取政府信息公开信息处理费。</w:t>
      </w:r>
    </w:p>
    <w:p w14:paraId="3748C6A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560" w:lineRule="exact"/>
        <w:ind w:firstLine="645"/>
        <w:jc w:val="both"/>
        <w:textAlignment w:val="auto"/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  <w:t>2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.</w:t>
      </w: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  <w:t>人大代表、政协委员提案办理方面。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  <w:t>2024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年环翠区商务局共承办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val="en-US" w:eastAsia="zh-CN" w:bidi="ar-SA"/>
        </w:rPr>
        <w:t>人大代表建议1件、政协委员提案12件，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目前，已全部办理完成，办复率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  <w:t>100%。</w:t>
      </w:r>
    </w:p>
    <w:p w14:paraId="520A900D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cs="Times New Roman"/>
          <w:color w:val="auto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  <w:t>3.其他方面。</w:t>
      </w:r>
      <w:bookmarkStart w:id="10" w:name="_GoBack"/>
      <w:bookmarkEnd w:id="10"/>
      <w:r>
        <w:rPr>
          <w:rFonts w:hint="default" w:ascii="Times New Roman" w:hAnsi="Times New Roman" w:cs="Times New Roman"/>
          <w:color w:val="auto"/>
          <w:lang w:val="en-US" w:eastAsia="zh-CN"/>
        </w:rPr>
        <w:t>区商务局严格落实《2025年威海市环翠区政务公开工作要点》要求，丰富公开形式，拓展公开信息的范围和载体。组建服务专班分片对接全区批发、零售、住宿、餐饮企业，依托常态化企业走访、“千人助万企”专项行动等载体，精准推送解读助企扶持政策。在对接过程中，全面摸排企业生产经营实情与发展诉求，针对企业提出的政策适用咨询、项目申报流程、资金补贴申领等高频问题，提供一对一精准答疑与实操指导，助力企业精准把握、高效运用政策红利，切实让政务公开成果转化为服务企业发展的实效。</w:t>
      </w:r>
    </w:p>
    <w:sectPr>
      <w:pgSz w:w="11906" w:h="16838"/>
      <w:pgMar w:top="1928" w:right="1531" w:bottom="1701" w:left="1531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F914EF"/>
    <w:rsid w:val="032F27C8"/>
    <w:rsid w:val="0E6B25E0"/>
    <w:rsid w:val="1E663172"/>
    <w:rsid w:val="21F914EF"/>
    <w:rsid w:val="222E41A0"/>
    <w:rsid w:val="30A14D7C"/>
    <w:rsid w:val="34DE4287"/>
    <w:rsid w:val="3A9E50AF"/>
    <w:rsid w:val="3F7A35DD"/>
    <w:rsid w:val="41A80444"/>
    <w:rsid w:val="4E810A89"/>
    <w:rsid w:val="5FF55917"/>
    <w:rsid w:val="6E2837B0"/>
    <w:rsid w:val="74703F13"/>
    <w:rsid w:val="7FE24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outlineLvl w:val="0"/>
    </w:pPr>
    <w:rPr>
      <w:rFonts w:eastAsia="文星简小标宋"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黑体"/>
    </w:rPr>
  </w:style>
  <w:style w:type="paragraph" w:styleId="4">
    <w:name w:val="heading 3"/>
    <w:basedOn w:val="1"/>
    <w:next w:val="1"/>
    <w:link w:val="11"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80" w:firstLineChars="200"/>
      <w:outlineLvl w:val="2"/>
    </w:pPr>
    <w:rPr>
      <w:rFonts w:eastAsia="楷体_GB2312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qFormat/>
    <w:uiPriority w:val="0"/>
    <w:pPr>
      <w:widowControl w:val="0"/>
      <w:spacing w:after="120" w:afterLines="0" w:afterAutospacing="0" w:line="560" w:lineRule="exact"/>
      <w:ind w:firstLine="880" w:firstLineChars="20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6">
    <w:name w:val="Body Text Indent"/>
    <w:basedOn w:val="1"/>
    <w:qFormat/>
    <w:uiPriority w:val="0"/>
    <w:pPr>
      <w:spacing w:after="120"/>
      <w:ind w:left="420" w:leftChars="200"/>
    </w:pPr>
    <w:rPr>
      <w:rFonts w:ascii="Times New Roman" w:hAnsi="Times New Roman" w:eastAsia="宋体" w:cs="Times New Roman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Body Text First Indent 2"/>
    <w:basedOn w:val="6"/>
    <w:next w:val="1"/>
    <w:qFormat/>
    <w:uiPriority w:val="0"/>
    <w:pPr>
      <w:ind w:firstLine="420" w:firstLineChars="200"/>
    </w:pPr>
  </w:style>
  <w:style w:type="character" w:customStyle="1" w:styleId="11">
    <w:name w:val="标题 3 Char"/>
    <w:link w:val="4"/>
    <w:qFormat/>
    <w:uiPriority w:val="0"/>
    <w:rPr>
      <w:rFonts w:eastAsia="楷体_GB231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6700;&#38754;\&#22522;&#30784;&#25991;&#26412;&#27169;&#29256;.dotx" TargetMode="Externa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bd827947-5458-49b8-93ba-4b4fa2f81d70</errorID>
      <errorWord>0631—5273106</errorWord>
      <group>L1_Punc</group>
      <groupName>标点问题</groupName>
      <ability>L2_Punc</ability>
      <abilityName>标点符号检查</abilityName>
      <candidateList>
        <item>0631-5273106</item>
      </candidateList>
      <explain>电话号码使用短横线。</explain>
      <paraID>3E183F9E</paraID>
      <start>218</start>
      <end>230</end>
      <status>modified</status>
      <modifiedWord>0631-5273106</modifiedWord>
      <trackRevisions>false</trackRevisions>
    </reviewItem>
    <reviewItem>
      <errorID>59326aaa-3c2a-4870-82d7-b1571b074209</errorID>
      <errorWord>、及</errorWord>
      <group>L1_Grammar</group>
      <groupName>语法问题</groupName>
      <ability>L2_Order</ability>
      <abilityName>语序不当</abilityName>
      <candidateList>
        <item>、</item>
      </candidateList>
      <explain>句子可能没有遵循时空、逻辑顺序，或者介词、关联词等位置不当。</explain>
      <paraID>4DEE1CB2</paraID>
      <start>121</start>
      <end>122</end>
      <status>modified</status>
      <modifiedWord>、</modifiedWord>
      <trackRevisions>false</trackRevisions>
    </reviewItem>
    <reviewItem>
      <errorID>9974d039-d5bb-4e6c-96d1-2c77789441da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46A87B31</paraID>
      <start>22</start>
      <end>24</end>
      <status>ignored</status>
      <modifiedWord/>
      <trackRevisions>false</trackRevisions>
    </reviewItem>
    <reviewItem>
      <errorID>97f9fd01-40b1-4624-992f-4bf42ac58c24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 24B1728</paraID>
      <start>26</start>
      <end>28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69c2e028-ee72-4e89-aa06-ffb5527fae9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基础文本模版.dotx</Template>
  <Pages>7</Pages>
  <Words>2916</Words>
  <Characters>3048</Characters>
  <Lines>0</Lines>
  <Paragraphs>0</Paragraphs>
  <TotalTime>13</TotalTime>
  <ScaleCrop>false</ScaleCrop>
  <LinksUpToDate>false</LinksUpToDate>
  <CharactersWithSpaces>3050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2026-01-14T01:32:00Z</dcterms:created>
  <dc:creator>LIUKAI</dc:creator>
  <cp:lastModifiedBy>LIUKAI</cp:lastModifiedBy>
  <dcterms:modified xsi:type="dcterms:W3CDTF">2026-01-22T08:45:04Z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7CB4E3FFAC694634B999625CA1B92D5E_13</vt:lpwstr>
  </property>
  <property fmtid="{D5CDD505-2E9C-101B-9397-08002B2CF9AE}" pid="4" name="KSOTemplateDocerSaveRecord">
    <vt:lpwstr>eyJoZGlkIjoiOGYzZTM4YmFjMmI0YzczOTAwMjY5NTFiMmJmOTQ3NzYiLCJ1c2VySWQiOiIyMDM2NTc4MCJ9</vt:lpwstr>
  </property>
</Properties>
</file>