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CEBADF8"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80" w:lineRule="exact"/>
        <w:ind w:right="0"/>
        <w:jc w:val="center"/>
        <w:textAlignment w:val="auto"/>
        <w:outlineLvl w:val="9"/>
        <w:rPr>
          <w:rFonts w:hint="eastAsia" w:ascii="文星简小标宋" w:hAnsi="文星简小标宋" w:eastAsia="文星简小标宋" w:cs="文星简小标宋"/>
          <w:b w:val="0"/>
          <w:bCs/>
          <w:i w:val="0"/>
          <w:caps w:val="0"/>
          <w:color w:val="auto"/>
          <w:spacing w:val="-17"/>
          <w:sz w:val="44"/>
          <w:szCs w:val="44"/>
          <w:shd w:val="clear" w:fill="FFFFFF"/>
          <w:lang w:val="en-US" w:eastAsia="zh-CN"/>
        </w:rPr>
      </w:pPr>
      <w:bookmarkStart w:id="0" w:name="OLE_LINK1"/>
    </w:p>
    <w:p w14:paraId="1EED57ED"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80" w:lineRule="exact"/>
        <w:ind w:right="0"/>
        <w:jc w:val="center"/>
        <w:textAlignment w:val="auto"/>
        <w:outlineLvl w:val="9"/>
        <w:rPr>
          <w:rFonts w:hint="eastAsia" w:ascii="文星简小标宋" w:hAnsi="文星简小标宋" w:eastAsia="文星简小标宋" w:cs="文星简小标宋"/>
          <w:b w:val="0"/>
          <w:bCs/>
          <w:i w:val="0"/>
          <w:caps w:val="0"/>
          <w:color w:val="auto"/>
          <w:spacing w:val="-17"/>
          <w:sz w:val="44"/>
          <w:szCs w:val="44"/>
          <w:shd w:val="clear" w:fill="FFFFFF"/>
          <w:lang w:val="en-US" w:eastAsia="zh-CN"/>
        </w:rPr>
      </w:pPr>
      <w:r>
        <w:rPr>
          <w:rFonts w:hint="eastAsia" w:ascii="文星简小标宋" w:hAnsi="文星简小标宋" w:eastAsia="文星简小标宋" w:cs="文星简小标宋"/>
          <w:b w:val="0"/>
          <w:bCs/>
          <w:i w:val="0"/>
          <w:caps w:val="0"/>
          <w:color w:val="auto"/>
          <w:spacing w:val="-17"/>
          <w:sz w:val="44"/>
          <w:szCs w:val="44"/>
          <w:shd w:val="clear" w:fill="FFFFFF"/>
          <w:lang w:val="en-US" w:eastAsia="zh-CN"/>
        </w:rPr>
        <w:t>威海市环翠区人民政府</w:t>
      </w:r>
    </w:p>
    <w:p w14:paraId="55E91D0E"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80" w:lineRule="exact"/>
        <w:ind w:right="0"/>
        <w:jc w:val="center"/>
        <w:textAlignment w:val="auto"/>
        <w:outlineLvl w:val="9"/>
        <w:rPr>
          <w:rFonts w:hint="eastAsia" w:ascii="文星简小标宋" w:hAnsi="文星简小标宋" w:eastAsia="文星简小标宋" w:cs="文星简小标宋"/>
          <w:b w:val="0"/>
          <w:bCs/>
          <w:i w:val="0"/>
          <w:caps w:val="0"/>
          <w:color w:val="auto"/>
          <w:spacing w:val="-17"/>
          <w:sz w:val="44"/>
          <w:szCs w:val="44"/>
          <w:shd w:val="clear" w:fill="FFFFFF"/>
          <w:lang w:val="en-US" w:eastAsia="zh-CN"/>
        </w:rPr>
      </w:pPr>
      <w:r>
        <w:rPr>
          <w:rFonts w:hint="eastAsia" w:ascii="文星简小标宋" w:hAnsi="文星简小标宋" w:eastAsia="文星简小标宋" w:cs="文星简小标宋"/>
          <w:b w:val="0"/>
          <w:bCs/>
          <w:i w:val="0"/>
          <w:caps w:val="0"/>
          <w:color w:val="auto"/>
          <w:spacing w:val="-17"/>
          <w:sz w:val="44"/>
          <w:szCs w:val="44"/>
          <w:shd w:val="clear" w:fill="FFFFFF"/>
          <w:lang w:val="en-US" w:eastAsia="zh-CN"/>
        </w:rPr>
        <w:t>2025年政府信息公开工作年度报告</w:t>
      </w:r>
    </w:p>
    <w:bookmarkEnd w:id="0"/>
    <w:p w14:paraId="6CF4654B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="0" w:beforeAutospacing="0" w:after="0" w:afterAutospacing="0" w:line="580" w:lineRule="exact"/>
        <w:jc w:val="both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</w:p>
    <w:p w14:paraId="2429C581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="0" w:beforeAutospacing="0" w:after="0" w:afterAutospacing="0" w:line="580" w:lineRule="exact"/>
        <w:ind w:left="0" w:firstLine="645"/>
        <w:jc w:val="both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  <w:t>根据《中华人民共和国政府信息公开条例》（国务院令第711号，以下简称《条例》）和《中华人民共和国政府信息公开工作年度报告格式》（国办公开办函〔2021〕30号）要求，结合202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highlight w:val="none"/>
          <w:lang w:val="en-US" w:eastAsia="zh-CN"/>
        </w:rPr>
        <w:t>5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  <w:t>年威海市环翠区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lang w:val="en-US" w:eastAsia="zh-CN"/>
        </w:rPr>
        <w:t>人民政府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  <w:t>信息公开工作实际，编制发布本报告。</w:t>
      </w:r>
    </w:p>
    <w:p w14:paraId="630EA9B3">
      <w:pPr>
        <w:keepNext w:val="0"/>
        <w:keepLines w:val="0"/>
        <w:pageBreakBefore w:val="0"/>
        <w:widowControl/>
        <w:suppressLineNumbers w:val="0"/>
        <w:kinsoku/>
        <w:wordWrap w:val="0"/>
        <w:overflowPunct/>
        <w:topLinePunct w:val="0"/>
        <w:autoSpaceDE w:val="0"/>
        <w:autoSpaceDN/>
        <w:bidi w:val="0"/>
        <w:adjustRightInd/>
        <w:snapToGrid/>
        <w:spacing w:before="0" w:beforeAutospacing="0" w:after="0" w:afterAutospacing="0" w:line="580" w:lineRule="exact"/>
        <w:ind w:left="0" w:firstLine="646"/>
        <w:jc w:val="both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  <w:t>本报告内容包括：总体情况、主动公开政府信息情况、收到和处理政府信息公开申请情况、政府信息公开行政复议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lang w:val="en-US" w:eastAsia="zh-CN"/>
        </w:rPr>
        <w:t>及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  <w:t>行政诉讼情况、存在的主要问题及改进情况、其他事项，以及相关指标统计附表等。报告中所列数据统计期限从202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highlight w:val="none"/>
          <w:lang w:val="en-US" w:eastAsia="zh-CN"/>
        </w:rPr>
        <w:t>5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  <w:t>年1月1日到12月31日止。报告电子版可从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lang w:val="en-US" w:eastAsia="zh-CN"/>
        </w:rPr>
        <w:t>威海市环翠区人民政府网站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  <w:t>（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u w:val="none"/>
          <w:lang w:val="en-US" w:eastAsia="zh-CN"/>
        </w:rPr>
        <w:t>网址：http://www.huancui.gov.cn/col/col183096/index.html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  <w:t>）查阅或下载。公众如需进一步咨询了解相关信息，请与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lang w:val="en-US" w:eastAsia="zh-CN"/>
        </w:rPr>
        <w:t>威海市环翠区人民政府办公室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  <w:t>联系（地址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lang w:eastAsia="zh-CN"/>
        </w:rPr>
        <w:t>：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u w:val="none"/>
          <w:lang w:val="en-US" w:eastAsia="zh-CN"/>
        </w:rPr>
        <w:t>威海市新威路75号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  <w:t>，电话：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u w:val="none"/>
          <w:lang w:val="en-US" w:eastAsia="zh-CN"/>
        </w:rPr>
        <w:t>0631-5208761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  <w:t>）。</w:t>
      </w:r>
    </w:p>
    <w:p w14:paraId="04606DE4"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80" w:lineRule="exact"/>
        <w:ind w:right="0" w:firstLine="640" w:firstLineChars="200"/>
        <w:jc w:val="both"/>
        <w:textAlignment w:val="auto"/>
        <w:rPr>
          <w:rFonts w:hint="default" w:ascii="Times New Roman" w:hAnsi="Times New Roman" w:eastAsia="黑体" w:cs="Times New Roman"/>
          <w:b w:val="0"/>
          <w:bCs/>
          <w:i w:val="0"/>
          <w:caps w:val="0"/>
          <w:color w:val="auto"/>
          <w:spacing w:val="0"/>
          <w:sz w:val="32"/>
          <w:szCs w:val="32"/>
          <w:highlight w:val="none"/>
        </w:rPr>
      </w:pPr>
      <w:r>
        <w:rPr>
          <w:rFonts w:hint="default" w:ascii="Times New Roman" w:hAnsi="Times New Roman" w:eastAsia="黑体" w:cs="Times New Roman"/>
          <w:b w:val="0"/>
          <w:bCs/>
          <w:i w:val="0"/>
          <w:caps w:val="0"/>
          <w:color w:val="auto"/>
          <w:spacing w:val="0"/>
          <w:sz w:val="32"/>
          <w:szCs w:val="32"/>
          <w:highlight w:val="none"/>
          <w:shd w:val="clear" w:fill="FFFFFF"/>
        </w:rPr>
        <w:t>一、总体情况</w:t>
      </w:r>
    </w:p>
    <w:p w14:paraId="1E22A915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202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5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年，威海市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环翠区人民政府严格落实国家、省、市关于政务公开工作的决策部署，紧紧围绕区委、区政府中心工作，以打造标准化、规范化、数字化政务公开为主线，以满足企业群众需求为导向，坚持统筹政务公开与安全保密，全力做好政策解读回应、依申请公开办理等工作，全区政务公开效能显著提升。</w:t>
      </w:r>
    </w:p>
    <w:p w14:paraId="64EF9C4C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Times New Roman" w:hAnsi="Times New Roman" w:eastAsia="仿宋_GB2312" w:cs="仿宋_GB2312"/>
          <w:b w:val="0"/>
          <w:bCs/>
          <w:color w:val="auto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1.</w:t>
      </w:r>
      <w:r>
        <w:rPr>
          <w:rFonts w:hint="default" w:ascii="Times New Roman" w:hAnsi="Times New Roman" w:eastAsia="楷体_GB2312" w:cs="Times New Roman"/>
          <w:b w:val="0"/>
          <w:bCs/>
          <w:color w:val="auto"/>
          <w:sz w:val="32"/>
          <w:szCs w:val="32"/>
          <w:lang w:val="en-US" w:eastAsia="zh-CN"/>
        </w:rPr>
        <w:t>主</w:t>
      </w:r>
      <w:r>
        <w:rPr>
          <w:rFonts w:hint="default" w:ascii="Times New Roman" w:hAnsi="Times New Roman" w:eastAsia="楷体_GB2312" w:cs="Times New Roman"/>
          <w:b w:val="0"/>
          <w:bCs/>
          <w:color w:val="auto"/>
          <w:sz w:val="32"/>
          <w:szCs w:val="32"/>
          <w:highlight w:val="none"/>
          <w:lang w:val="en-US" w:eastAsia="zh-CN"/>
        </w:rPr>
        <w:t>动公开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。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全年在区政府网站公</w:t>
      </w:r>
      <w:bookmarkStart w:id="11" w:name="_GoBack"/>
      <w:bookmarkEnd w:id="11"/>
      <w:r>
        <w:rPr>
          <w:rFonts w:hint="eastAsia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开各类政府信息1.2万余条，其中，</w:t>
      </w:r>
      <w:r>
        <w:rPr>
          <w:rFonts w:hint="eastAsia" w:ascii="Times New Roman" w:hAnsi="Times New Roman" w:eastAsia="仿宋_GB2312" w:cs="仿宋_GB2312"/>
          <w:b w:val="0"/>
          <w:bCs/>
          <w:color w:val="auto"/>
          <w:sz w:val="32"/>
          <w:szCs w:val="32"/>
          <w:lang w:val="en-US" w:eastAsia="zh-CN"/>
        </w:rPr>
        <w:t>主动公开政府和政府办文件20件，部门规范性文件2件，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政府常务会议9次、全体会议1次、专题会议6次，邀请公众代表列席区政府常务会议2次。持续做好稳岗就业、养老服务、教育教学等重点领域政策文件公开与解读回应，发布意见调查征集14次，</w:t>
      </w:r>
      <w:r>
        <w:rPr>
          <w:rFonts w:hint="eastAsia" w:ascii="Times New Roman" w:hAnsi="Times New Roman" w:eastAsia="仿宋_GB2312" w:cs="仿宋_GB2312"/>
          <w:b w:val="0"/>
          <w:bCs/>
          <w:color w:val="auto"/>
          <w:sz w:val="32"/>
          <w:szCs w:val="32"/>
          <w:lang w:val="en-US" w:eastAsia="zh-CN"/>
        </w:rPr>
        <w:t>公开各类会议、政策等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解读材料22篇。</w:t>
      </w:r>
      <w:r>
        <w:rPr>
          <w:rFonts w:hint="eastAsia" w:ascii="Times New Roman" w:hAnsi="Times New Roman" w:eastAsia="仿宋_GB2312" w:cs="仿宋_GB2312"/>
          <w:b w:val="0"/>
          <w:bCs/>
          <w:color w:val="auto"/>
          <w:sz w:val="32"/>
          <w:szCs w:val="32"/>
          <w:lang w:val="en-US" w:eastAsia="zh-CN"/>
        </w:rPr>
        <w:t>严格落实山东省政策文件库管理办法，梳理政策文件历史修订版本</w:t>
      </w:r>
      <w:r>
        <w:rPr>
          <w:rFonts w:hint="eastAsia" w:ascii="Times New Roman" w:hAnsi="Times New Roman" w:eastAsia="仿宋_GB2312" w:cs="仿宋_GB2312"/>
          <w:b w:val="0"/>
          <w:bCs/>
          <w:color w:val="auto"/>
          <w:sz w:val="32"/>
          <w:szCs w:val="32"/>
          <w:highlight w:val="none"/>
          <w:lang w:val="en-US" w:eastAsia="zh-CN"/>
        </w:rPr>
        <w:t>71件，</w:t>
      </w:r>
      <w:r>
        <w:rPr>
          <w:rFonts w:hint="eastAsia" w:ascii="Times New Roman" w:hAnsi="Times New Roman" w:eastAsia="仿宋_GB2312" w:cs="仿宋_GB2312"/>
          <w:b w:val="0"/>
          <w:bCs/>
          <w:color w:val="auto"/>
          <w:sz w:val="32"/>
          <w:szCs w:val="32"/>
          <w:lang w:val="en-US" w:eastAsia="zh-CN"/>
        </w:rPr>
        <w:t>规范录入省政策文件库并做好关联展示。</w:t>
      </w:r>
    </w:p>
    <w:p w14:paraId="5AC05608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2.</w:t>
      </w:r>
      <w:r>
        <w:rPr>
          <w:rFonts w:hint="default" w:ascii="Times New Roman" w:hAnsi="Times New Roman" w:eastAsia="楷体_GB2312" w:cs="楷体_GB2312"/>
          <w:b w:val="0"/>
          <w:bCs/>
          <w:color w:val="auto"/>
          <w:sz w:val="32"/>
          <w:szCs w:val="32"/>
          <w:lang w:val="en-US" w:eastAsia="zh-CN"/>
        </w:rPr>
        <w:t>依申请公开。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严格落实申请人身份审查、答复书会签等工作机制，用好依申请公开办理平台，全年收到政府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信息公开申请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134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件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，比上年度减少22件，均如期规范办理。收到依申请公开方面的行政复议9件，其中结果维持6件、结果纠正1件、其他结果2件。未收到依申请公开办理相关的行政诉讼。</w:t>
      </w:r>
    </w:p>
    <w:p w14:paraId="6790D520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Times New Roman" w:hAnsi="Times New Roman" w:eastAsia="仿宋_GB2312" w:cs="Times New Roman"/>
          <w:b w:val="0"/>
          <w:bCs/>
          <w:color w:val="auto"/>
          <w:sz w:val="32"/>
          <w:szCs w:val="32"/>
          <w:lang w:eastAsia="zh-CN"/>
        </w:rPr>
      </w:pP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3.</w:t>
      </w:r>
      <w:r>
        <w:rPr>
          <w:rFonts w:hint="default" w:ascii="Times New Roman" w:hAnsi="Times New Roman" w:eastAsia="楷体_GB2312" w:cs="楷体_GB2312"/>
          <w:b w:val="0"/>
          <w:bCs/>
          <w:color w:val="auto"/>
          <w:sz w:val="32"/>
          <w:szCs w:val="32"/>
          <w:lang w:val="en-US" w:eastAsia="zh-CN"/>
        </w:rPr>
        <w:t>政府信息管理。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对照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主动公开事项目录，按季度开展人工读网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清理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，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共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清理过期文件、过时信息等近千条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，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sz w:val="32"/>
          <w:szCs w:val="32"/>
          <w:lang w:eastAsia="zh-CN"/>
        </w:rPr>
        <w:t>全年未发生在政府信息公开过程中公布涉密文件和泄密的情况。对现行有效的行政规范性文件和政策性文件开展集中清理，废止区政府行政规范性文件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1件、继续执行4件，废止区政府政策性文件4件、宣布失效10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sz w:val="32"/>
          <w:szCs w:val="32"/>
          <w:lang w:eastAsia="zh-CN"/>
        </w:rPr>
        <w:t>件，相关文件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均已更新文件编号及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sz w:val="32"/>
          <w:szCs w:val="32"/>
          <w:lang w:eastAsia="zh-CN"/>
        </w:rPr>
        <w:t>有效性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标注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sz w:val="32"/>
          <w:szCs w:val="32"/>
          <w:lang w:eastAsia="zh-CN"/>
        </w:rPr>
        <w:t>。</w:t>
      </w:r>
    </w:p>
    <w:p w14:paraId="67BCAD0B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4.</w:t>
      </w:r>
      <w:r>
        <w:rPr>
          <w:rFonts w:hint="eastAsia" w:ascii="Times New Roman" w:hAnsi="Times New Roman" w:eastAsia="楷体_GB2312" w:cs="楷体_GB2312"/>
          <w:b w:val="0"/>
          <w:bCs/>
          <w:color w:val="auto"/>
          <w:sz w:val="32"/>
          <w:szCs w:val="32"/>
          <w:lang w:val="en-US" w:eastAsia="zh-CN"/>
        </w:rPr>
        <w:t>政府信息公开平台建设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。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政府门户网站专栏建设持续优化，新增“爱山东政务服务专区”“人事考试专栏”等专题和栏目6个，进一步调整美化页面布局。持续加强政务新媒体日常监管，规范开设微信公众号政务新媒体“政民互动”服务，通过13个政务新媒体推送重点文章844篇，推动政务公开向政务新媒体延伸。持续做好政府公报编纂赠阅工作，全年刊发并公开政府公报4期。</w:t>
      </w:r>
    </w:p>
    <w:p w14:paraId="3DBF34B3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b w:val="0"/>
          <w:bCs/>
          <w:color w:val="C00000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5.</w:t>
      </w:r>
      <w:r>
        <w:rPr>
          <w:rFonts w:hint="default" w:ascii="Times New Roman" w:hAnsi="Times New Roman" w:eastAsia="楷体_GB2312" w:cs="Times New Roman"/>
          <w:b w:val="0"/>
          <w:bCs/>
          <w:color w:val="auto"/>
          <w:sz w:val="32"/>
          <w:szCs w:val="32"/>
          <w:lang w:val="en-US" w:eastAsia="zh-CN"/>
        </w:rPr>
        <w:t>监督保障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。</w:t>
      </w:r>
      <w:r>
        <w:rPr>
          <w:rFonts w:hint="default" w:ascii="Times New Roman" w:hAnsi="Times New Roman" w:eastAsia="仿宋_GB2312" w:cs="仿宋_GB2312"/>
          <w:b w:val="0"/>
          <w:bCs/>
          <w:color w:val="auto"/>
          <w:sz w:val="32"/>
          <w:szCs w:val="32"/>
          <w:lang w:val="en-US" w:eastAsia="zh-CN"/>
        </w:rPr>
        <w:t>印发《2025年威海市环翠区政务公开工作要点》，明确各部门工作职责与全年重点任务</w:t>
      </w:r>
      <w:r>
        <w:rPr>
          <w:rFonts w:hint="eastAsia" w:ascii="Times New Roman" w:hAnsi="Times New Roman" w:eastAsia="仿宋_GB2312" w:cs="仿宋_GB2312"/>
          <w:b w:val="0"/>
          <w:bCs/>
          <w:color w:val="auto"/>
          <w:sz w:val="32"/>
          <w:szCs w:val="32"/>
          <w:lang w:val="en-US" w:eastAsia="zh-CN"/>
        </w:rPr>
        <w:t>，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组织全区政务公开工作人员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收听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收看省级、市级视频培训会议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2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次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，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召开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全区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政务公开专题会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1次，重点对政务公开工作要点进行解读，对政府网站维护和依申请公开件办理进行培训，进一步提升政务公开工作人员能力与水平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。</w:t>
      </w:r>
    </w:p>
    <w:p w14:paraId="093A9E95"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80" w:lineRule="exact"/>
        <w:ind w:right="0" w:firstLine="640" w:firstLineChars="200"/>
        <w:jc w:val="both"/>
        <w:textAlignment w:val="auto"/>
        <w:rPr>
          <w:rFonts w:hint="default" w:ascii="Times New Roman" w:hAnsi="Times New Roman" w:eastAsia="黑体" w:cs="Times New Roman"/>
          <w:b w:val="0"/>
          <w:bCs/>
          <w:i w:val="0"/>
          <w:caps w:val="0"/>
          <w:color w:val="auto"/>
          <w:spacing w:val="0"/>
          <w:sz w:val="32"/>
          <w:szCs w:val="32"/>
          <w:shd w:val="clear" w:fill="FFFFFF"/>
        </w:rPr>
      </w:pPr>
      <w:r>
        <w:rPr>
          <w:rFonts w:hint="default" w:ascii="Times New Roman" w:hAnsi="Times New Roman" w:eastAsia="黑体" w:cs="Times New Roman"/>
          <w:b w:val="0"/>
          <w:bCs/>
          <w:i w:val="0"/>
          <w:caps w:val="0"/>
          <w:color w:val="auto"/>
          <w:spacing w:val="0"/>
          <w:sz w:val="32"/>
          <w:szCs w:val="32"/>
          <w:shd w:val="clear" w:fill="FFFFFF"/>
        </w:rPr>
        <w:t>二、主动公开政府信息情况</w:t>
      </w:r>
    </w:p>
    <w:p w14:paraId="42A71D85">
      <w:pPr>
        <w:pStyle w:val="3"/>
        <w:rPr>
          <w:rFonts w:hint="default"/>
        </w:rPr>
      </w:pPr>
    </w:p>
    <w:tbl>
      <w:tblPr>
        <w:tblStyle w:val="5"/>
        <w:tblW w:w="8824" w:type="dxa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06"/>
        <w:gridCol w:w="2206"/>
        <w:gridCol w:w="2206"/>
        <w:gridCol w:w="2206"/>
      </w:tblGrid>
      <w:tr w14:paraId="7BC680A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8824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000000" w:fill="C6D9F1"/>
            <w:vAlign w:val="center"/>
          </w:tcPr>
          <w:p w14:paraId="45065A7C">
            <w:pPr>
              <w:widowControl/>
              <w:jc w:val="center"/>
              <w:rPr>
                <w:rFonts w:hint="default" w:ascii="Times New Roman" w:hAnsi="Times New Roman" w:eastAsia="黑体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Cs w:val="21"/>
              </w:rPr>
              <w:t>第二十条第（一）项</w:t>
            </w:r>
          </w:p>
        </w:tc>
      </w:tr>
      <w:tr w14:paraId="001769C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2755877F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信息内容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6E1CA006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本年制发件数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1B729140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本年废止件数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6E1FF9F2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现行有效件数</w:t>
            </w:r>
          </w:p>
        </w:tc>
      </w:tr>
      <w:tr w14:paraId="3C42EDE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2EC1287A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规章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588F45B2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1EF77627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29B33EDA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</w:tr>
      <w:tr w14:paraId="16DEFF5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70AC1CC7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行政规范性文件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2B7FA1A5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kern w:val="0"/>
                <w:szCs w:val="21"/>
                <w:lang w:val="en-US" w:eastAsia="zh-CN"/>
              </w:rPr>
              <w:t>2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74DFCA21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kern w:val="0"/>
                <w:szCs w:val="21"/>
                <w:lang w:val="en-US" w:eastAsia="zh-CN"/>
              </w:rPr>
              <w:t>8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3E8EF57D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kern w:val="0"/>
                <w:szCs w:val="21"/>
                <w:lang w:val="en-US" w:eastAsia="zh-CN"/>
              </w:rPr>
              <w:t>10</w:t>
            </w:r>
          </w:p>
        </w:tc>
      </w:tr>
      <w:tr w14:paraId="40EAEAC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8824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000000" w:fill="C6D9F1"/>
            <w:vAlign w:val="center"/>
          </w:tcPr>
          <w:p w14:paraId="03BF7CD8">
            <w:pPr>
              <w:widowControl/>
              <w:jc w:val="center"/>
              <w:rPr>
                <w:rFonts w:hint="default" w:ascii="Times New Roman" w:hAnsi="Times New Roman" w:eastAsia="黑体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Cs w:val="21"/>
              </w:rPr>
              <w:t>第二十条第（五）项</w:t>
            </w:r>
          </w:p>
        </w:tc>
      </w:tr>
      <w:tr w14:paraId="06D6EB2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628329E3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信息内容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5327AE49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本年处理决定数量</w:t>
            </w:r>
          </w:p>
        </w:tc>
      </w:tr>
      <w:tr w14:paraId="6F1E079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421D6344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行政许可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0034DA0D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C00000"/>
                <w:kern w:val="0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kern w:val="0"/>
                <w:szCs w:val="21"/>
                <w:lang w:val="en-US" w:eastAsia="zh-CN"/>
              </w:rPr>
              <w:t>37839</w:t>
            </w:r>
          </w:p>
        </w:tc>
      </w:tr>
      <w:tr w14:paraId="5EC7018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8824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000000" w:fill="C6D9F1"/>
            <w:vAlign w:val="center"/>
          </w:tcPr>
          <w:p w14:paraId="017E55D0">
            <w:pPr>
              <w:widowControl/>
              <w:jc w:val="center"/>
              <w:rPr>
                <w:rFonts w:hint="default" w:ascii="Times New Roman" w:hAnsi="Times New Roman" w:eastAsia="黑体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Cs w:val="21"/>
              </w:rPr>
              <w:t>第二十条第（六）项</w:t>
            </w:r>
          </w:p>
        </w:tc>
      </w:tr>
      <w:tr w14:paraId="22AEE4F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432666ED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信息内容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13D066BE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本年处理决定数量</w:t>
            </w:r>
          </w:p>
        </w:tc>
      </w:tr>
      <w:tr w14:paraId="39DD7B5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72085792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行政处罚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1F78CE76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kern w:val="0"/>
                <w:szCs w:val="21"/>
                <w:lang w:val="en-US" w:eastAsia="zh-CN"/>
              </w:rPr>
              <w:t>756</w:t>
            </w:r>
          </w:p>
        </w:tc>
      </w:tr>
      <w:tr w14:paraId="10A704A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73905516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行政强制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6E2F3B2D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kern w:val="0"/>
                <w:szCs w:val="21"/>
                <w:lang w:val="en-US" w:eastAsia="zh-CN"/>
              </w:rPr>
              <w:t>9942</w:t>
            </w:r>
          </w:p>
        </w:tc>
      </w:tr>
      <w:tr w14:paraId="4089968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8824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000000" w:fill="C6D9F1"/>
            <w:vAlign w:val="center"/>
          </w:tcPr>
          <w:p w14:paraId="658B33DC">
            <w:pPr>
              <w:widowControl/>
              <w:jc w:val="center"/>
              <w:rPr>
                <w:rFonts w:hint="default" w:ascii="Times New Roman" w:hAnsi="Times New Roman" w:eastAsia="黑体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Cs w:val="21"/>
              </w:rPr>
              <w:t>第二十条第（八）项</w:t>
            </w:r>
          </w:p>
        </w:tc>
      </w:tr>
      <w:tr w14:paraId="7190DD5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07782384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信息内容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744D24FC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本年收费金额（单位：万元）</w:t>
            </w:r>
          </w:p>
        </w:tc>
      </w:tr>
      <w:tr w14:paraId="32E9EFE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5" w:hRule="atLeast"/>
          <w:jc w:val="center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705B2F42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行政事业性收费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66E789A4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kern w:val="0"/>
                <w:szCs w:val="21"/>
                <w:highlight w:val="none"/>
                <w:lang w:val="en-US" w:eastAsia="zh-CN"/>
              </w:rPr>
              <w:t>354.4671</w:t>
            </w:r>
          </w:p>
        </w:tc>
      </w:tr>
    </w:tbl>
    <w:p w14:paraId="3FC863D4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bidi w:val="0"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</w:pPr>
      <w:r>
        <w:rPr>
          <w:rFonts w:hint="default" w:ascii="Times New Roman" w:hAnsi="Times New Roman" w:eastAsia="黑体" w:cs="Times New Roman"/>
          <w:b w:val="0"/>
          <w:bCs/>
          <w:i w:val="0"/>
          <w:caps w:val="0"/>
          <w:color w:val="auto"/>
          <w:spacing w:val="0"/>
          <w:kern w:val="0"/>
          <w:sz w:val="32"/>
          <w:szCs w:val="32"/>
          <w:shd w:val="clear" w:fill="FFFFFF"/>
          <w:lang w:val="en-US" w:eastAsia="zh-CN" w:bidi="ar"/>
        </w:rPr>
        <w:t>三、收到和处理政府信息公开申请情况</w:t>
      </w:r>
    </w:p>
    <w:tbl>
      <w:tblPr>
        <w:tblStyle w:val="5"/>
        <w:tblW w:w="9541" w:type="dxa"/>
        <w:jc w:val="center"/>
        <w:tblBorders>
          <w:top w:val="single" w:color="auto" w:sz="8" w:space="0"/>
          <w:left w:val="single" w:color="auto" w:sz="8" w:space="0"/>
          <w:bottom w:val="single" w:color="auto" w:sz="8" w:space="0"/>
          <w:right w:val="single" w:color="auto" w:sz="8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416"/>
        <w:gridCol w:w="1701"/>
        <w:gridCol w:w="2976"/>
        <w:gridCol w:w="733"/>
        <w:gridCol w:w="541"/>
        <w:gridCol w:w="553"/>
        <w:gridCol w:w="720"/>
        <w:gridCol w:w="675"/>
        <w:gridCol w:w="525"/>
        <w:gridCol w:w="1"/>
        <w:gridCol w:w="700"/>
      </w:tblGrid>
      <w:tr w14:paraId="0DC6F89B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</w:tblPrEx>
        <w:trPr>
          <w:trHeight w:val="413" w:hRule="atLeast"/>
          <w:jc w:val="center"/>
        </w:trPr>
        <w:tc>
          <w:tcPr>
            <w:tcW w:w="5093" w:type="dxa"/>
            <w:gridSpan w:val="3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D0FE8D5">
            <w:pPr>
              <w:widowControl/>
              <w:jc w:val="center"/>
              <w:rPr>
                <w:rFonts w:hint="default" w:ascii="Times New Roman" w:hAnsi="Times New Roman" w:eastAsia="楷体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楷体_GB2312" w:cs="Times New Roman"/>
                <w:color w:val="auto"/>
                <w:kern w:val="0"/>
                <w:szCs w:val="21"/>
              </w:rPr>
              <w:t>（本列数据的勾稽关系为：第一项加第二项之和，</w:t>
            </w:r>
          </w:p>
          <w:p w14:paraId="4487897B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楷体_GB2312" w:cs="Times New Roman"/>
                <w:color w:val="auto"/>
                <w:kern w:val="0"/>
                <w:szCs w:val="21"/>
              </w:rPr>
              <w:t>等于第三项加第四项之和）</w:t>
            </w:r>
          </w:p>
        </w:tc>
        <w:tc>
          <w:tcPr>
            <w:tcW w:w="4448" w:type="dxa"/>
            <w:gridSpan w:val="8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34A5B2D">
            <w:pPr>
              <w:widowControl/>
              <w:spacing w:line="320" w:lineRule="exact"/>
              <w:jc w:val="center"/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Cs w:val="21"/>
              </w:rPr>
              <w:t>申请人情况</w:t>
            </w:r>
          </w:p>
        </w:tc>
      </w:tr>
      <w:tr w14:paraId="2D0F0E44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5" w:hRule="atLeast"/>
          <w:jc w:val="center"/>
        </w:trPr>
        <w:tc>
          <w:tcPr>
            <w:tcW w:w="5093" w:type="dxa"/>
            <w:gridSpan w:val="3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13ADFF5">
            <w:pPr>
              <w:jc w:val="center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</w:p>
        </w:tc>
        <w:tc>
          <w:tcPr>
            <w:tcW w:w="733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9ECDBB6">
            <w:pPr>
              <w:widowControl/>
              <w:jc w:val="center"/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Cs w:val="21"/>
              </w:rPr>
              <w:t>自然人</w:t>
            </w:r>
          </w:p>
        </w:tc>
        <w:tc>
          <w:tcPr>
            <w:tcW w:w="3014" w:type="dxa"/>
            <w:gridSpan w:val="5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86D842E">
            <w:pPr>
              <w:widowControl/>
              <w:spacing w:line="320" w:lineRule="exact"/>
              <w:jc w:val="center"/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Cs w:val="21"/>
              </w:rPr>
              <w:t>法人或其他组织</w:t>
            </w:r>
          </w:p>
        </w:tc>
        <w:tc>
          <w:tcPr>
            <w:tcW w:w="701" w:type="dxa"/>
            <w:gridSpan w:val="2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16C0A3B">
            <w:pPr>
              <w:widowControl/>
              <w:jc w:val="center"/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Cs w:val="21"/>
              </w:rPr>
              <w:t>总计</w:t>
            </w:r>
          </w:p>
        </w:tc>
      </w:tr>
      <w:tr w14:paraId="0E49FE17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2" w:hRule="atLeast"/>
          <w:jc w:val="center"/>
        </w:trPr>
        <w:tc>
          <w:tcPr>
            <w:tcW w:w="5093" w:type="dxa"/>
            <w:gridSpan w:val="3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0384C4F">
            <w:pPr>
              <w:jc w:val="center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</w:p>
        </w:tc>
        <w:tc>
          <w:tcPr>
            <w:tcW w:w="733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94CB0DE">
            <w:pPr>
              <w:jc w:val="center"/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</w:p>
        </w:tc>
        <w:tc>
          <w:tcPr>
            <w:tcW w:w="54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555FCCB">
            <w:pPr>
              <w:widowControl/>
              <w:spacing w:line="320" w:lineRule="exact"/>
              <w:ind w:left="-106" w:leftChars="-51" w:right="-107" w:rightChars="-51" w:hanging="1"/>
              <w:jc w:val="center"/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Cs w:val="21"/>
              </w:rPr>
              <w:t>商业企业</w:t>
            </w:r>
          </w:p>
        </w:tc>
        <w:tc>
          <w:tcPr>
            <w:tcW w:w="553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2AB14D6">
            <w:pPr>
              <w:widowControl/>
              <w:spacing w:line="320" w:lineRule="exact"/>
              <w:ind w:left="-107" w:leftChars="-51" w:right="-107" w:rightChars="-51"/>
              <w:jc w:val="center"/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Cs w:val="21"/>
              </w:rPr>
              <w:t>科研机构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C1E34D2">
            <w:pPr>
              <w:widowControl/>
              <w:spacing w:line="320" w:lineRule="exact"/>
              <w:ind w:left="-107" w:leftChars="-51" w:right="-107" w:rightChars="-51"/>
              <w:jc w:val="center"/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Cs w:val="21"/>
              </w:rPr>
              <w:t>社会公益组织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81C6FF7">
            <w:pPr>
              <w:widowControl/>
              <w:spacing w:line="320" w:lineRule="exact"/>
              <w:ind w:left="-106" w:leftChars="-51" w:right="-107" w:rightChars="-51" w:hanging="1"/>
              <w:jc w:val="center"/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Cs w:val="21"/>
              </w:rPr>
              <w:t>法律服务机构</w:t>
            </w:r>
          </w:p>
        </w:tc>
        <w:tc>
          <w:tcPr>
            <w:tcW w:w="52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2843F7C">
            <w:pPr>
              <w:widowControl/>
              <w:spacing w:line="360" w:lineRule="exact"/>
              <w:ind w:left="-63" w:leftChars="-30" w:right="-134" w:rightChars="-64"/>
              <w:jc w:val="center"/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Cs w:val="21"/>
              </w:rPr>
              <w:t>其他</w:t>
            </w:r>
          </w:p>
        </w:tc>
        <w:tc>
          <w:tcPr>
            <w:tcW w:w="701" w:type="dxa"/>
            <w:gridSpan w:val="2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6923A1C">
            <w:pPr>
              <w:jc w:val="center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</w:p>
        </w:tc>
      </w:tr>
      <w:tr w14:paraId="49D27E57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0" w:hRule="atLeast"/>
          <w:jc w:val="center"/>
        </w:trPr>
        <w:tc>
          <w:tcPr>
            <w:tcW w:w="5093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B6756BC">
            <w:pPr>
              <w:widowControl/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Cs w:val="21"/>
              </w:rPr>
              <w:t>一、</w:t>
            </w:r>
            <w:bookmarkStart w:id="1" w:name="_Hlk66973412"/>
            <w:r>
              <w:rPr>
                <w:rFonts w:hint="default" w:ascii="Times New Roman" w:hAnsi="Times New Roman" w:eastAsia="黑体" w:cs="Times New Roman"/>
                <w:color w:val="auto"/>
                <w:kern w:val="0"/>
                <w:szCs w:val="21"/>
              </w:rPr>
              <w:t>本年新收政府信息公开申请数量</w:t>
            </w:r>
            <w:bookmarkEnd w:id="1"/>
          </w:p>
        </w:tc>
        <w:tc>
          <w:tcPr>
            <w:tcW w:w="733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D11257D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eastAsia="宋体" w:asciiTheme="minorHAnsi" w:hAnsiTheme="minorHAnsi" w:cstheme="minorBidi"/>
                <w:color w:val="auto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124</w:t>
            </w:r>
          </w:p>
        </w:tc>
        <w:tc>
          <w:tcPr>
            <w:tcW w:w="54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7FB9DEB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Theme="minorHAnsi" w:hAnsiTheme="minorHAnsi" w:eastAsiaTheme="minorEastAsia" w:cstheme="minorBidi"/>
                <w:color w:val="auto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10</w:t>
            </w:r>
          </w:p>
        </w:tc>
        <w:tc>
          <w:tcPr>
            <w:tcW w:w="553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E524210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Theme="minorHAnsi" w:hAnsiTheme="minorHAnsi" w:eastAsiaTheme="minorEastAsia" w:cstheme="minorBidi"/>
                <w:color w:val="auto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color w:val="auto"/>
                <w:sz w:val="18"/>
                <w:szCs w:val="18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964BBD4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Theme="minorHAnsi" w:hAnsiTheme="minorHAnsi" w:eastAsiaTheme="minorEastAsia" w:cstheme="minorBidi"/>
                <w:color w:val="auto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color w:val="auto"/>
                <w:sz w:val="18"/>
                <w:szCs w:val="18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B49FF85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Theme="minorHAnsi" w:hAnsiTheme="minorHAnsi" w:eastAsiaTheme="minorEastAsia" w:cstheme="minorBidi"/>
                <w:color w:val="auto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color w:val="auto"/>
                <w:sz w:val="18"/>
                <w:szCs w:val="18"/>
              </w:rPr>
              <w:t>0</w:t>
            </w:r>
          </w:p>
        </w:tc>
        <w:tc>
          <w:tcPr>
            <w:tcW w:w="52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207312B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Theme="minorHAnsi" w:hAnsiTheme="minorHAnsi" w:eastAsiaTheme="minorEastAsia" w:cstheme="minorBidi"/>
                <w:color w:val="auto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color w:val="auto"/>
                <w:sz w:val="18"/>
                <w:szCs w:val="18"/>
              </w:rPr>
              <w:t>0</w:t>
            </w:r>
          </w:p>
        </w:tc>
        <w:tc>
          <w:tcPr>
            <w:tcW w:w="701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08DA63D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eastAsia="宋体" w:asciiTheme="minorHAnsi" w:hAnsiTheme="minorHAnsi" w:cstheme="minorBidi"/>
                <w:color w:val="auto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134</w:t>
            </w:r>
          </w:p>
        </w:tc>
      </w:tr>
      <w:tr w14:paraId="73F14C4F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0" w:hRule="atLeast"/>
          <w:jc w:val="center"/>
        </w:trPr>
        <w:tc>
          <w:tcPr>
            <w:tcW w:w="5093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928B6BB">
            <w:pPr>
              <w:widowControl/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Cs w:val="21"/>
              </w:rPr>
              <w:t>二、上年结转政府信息公开申请数量</w:t>
            </w:r>
          </w:p>
        </w:tc>
        <w:tc>
          <w:tcPr>
            <w:tcW w:w="733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03CF710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Theme="minorHAnsi" w:hAnsiTheme="minorHAnsi" w:eastAsiaTheme="minorEastAsia" w:cstheme="minorBidi"/>
                <w:color w:val="auto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9</w:t>
            </w:r>
          </w:p>
        </w:tc>
        <w:tc>
          <w:tcPr>
            <w:tcW w:w="54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C6884FB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Theme="minorHAnsi" w:hAnsiTheme="minorHAnsi" w:eastAsiaTheme="minorEastAsia" w:cstheme="minorBidi"/>
                <w:color w:val="auto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color w:val="auto"/>
                <w:sz w:val="18"/>
                <w:szCs w:val="18"/>
              </w:rPr>
              <w:t>0</w:t>
            </w:r>
          </w:p>
        </w:tc>
        <w:tc>
          <w:tcPr>
            <w:tcW w:w="553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6A6D784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Theme="minorHAnsi" w:hAnsiTheme="minorHAnsi" w:eastAsiaTheme="minorEastAsia" w:cstheme="minorBidi"/>
                <w:color w:val="auto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color w:val="auto"/>
                <w:sz w:val="18"/>
                <w:szCs w:val="18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2E263E6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Theme="minorHAnsi" w:hAnsiTheme="minorHAnsi" w:eastAsiaTheme="minorEastAsia" w:cstheme="minorBidi"/>
                <w:color w:val="auto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color w:val="auto"/>
                <w:sz w:val="18"/>
                <w:szCs w:val="18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9CFEFF5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Theme="minorHAnsi" w:hAnsiTheme="minorHAnsi" w:eastAsiaTheme="minorEastAsia" w:cstheme="minorBidi"/>
                <w:color w:val="auto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color w:val="auto"/>
                <w:sz w:val="18"/>
                <w:szCs w:val="18"/>
              </w:rPr>
              <w:t>0</w:t>
            </w:r>
          </w:p>
        </w:tc>
        <w:tc>
          <w:tcPr>
            <w:tcW w:w="52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6D45B92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Theme="minorHAnsi" w:hAnsiTheme="minorHAnsi" w:eastAsiaTheme="minorEastAsia" w:cstheme="minorBidi"/>
                <w:color w:val="auto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color w:val="auto"/>
                <w:sz w:val="18"/>
                <w:szCs w:val="18"/>
              </w:rPr>
              <w:t>0</w:t>
            </w:r>
          </w:p>
        </w:tc>
        <w:tc>
          <w:tcPr>
            <w:tcW w:w="701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DCCE1D7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Theme="minorHAnsi" w:hAnsiTheme="minorHAnsi" w:eastAsiaTheme="minorEastAsia" w:cstheme="minorBidi"/>
                <w:color w:val="auto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9</w:t>
            </w:r>
          </w:p>
        </w:tc>
      </w:tr>
      <w:tr w14:paraId="3227797A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8F1FF4C">
            <w:pPr>
              <w:widowControl/>
              <w:spacing w:after="180"/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Cs w:val="21"/>
              </w:rPr>
              <w:t>三、本年度办理结果</w:t>
            </w:r>
          </w:p>
        </w:tc>
        <w:tc>
          <w:tcPr>
            <w:tcW w:w="4677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F935FFB">
            <w:pPr>
              <w:widowControl/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Cs w:val="21"/>
              </w:rPr>
              <w:t>（一）予以公开</w:t>
            </w:r>
          </w:p>
        </w:tc>
        <w:tc>
          <w:tcPr>
            <w:tcW w:w="733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1F9F138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45</w:t>
            </w:r>
          </w:p>
        </w:tc>
        <w:tc>
          <w:tcPr>
            <w:tcW w:w="54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EC02F43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4</w:t>
            </w:r>
          </w:p>
        </w:tc>
        <w:tc>
          <w:tcPr>
            <w:tcW w:w="553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E4946E1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D21D426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EB343FA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F75D288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1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1909FC0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50</w:t>
            </w:r>
          </w:p>
        </w:tc>
      </w:tr>
      <w:tr w14:paraId="781EBBCB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56BD35D">
            <w:pPr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</w:p>
        </w:tc>
        <w:tc>
          <w:tcPr>
            <w:tcW w:w="4677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9042CC2">
            <w:pPr>
              <w:widowControl/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Cs w:val="21"/>
              </w:rPr>
              <w:t>（二）部分公开（</w:t>
            </w:r>
            <w:bookmarkStart w:id="2" w:name="_Hlk66973981"/>
            <w:r>
              <w:rPr>
                <w:rFonts w:hint="default" w:ascii="Times New Roman" w:hAnsi="Times New Roman" w:eastAsia="黑体" w:cs="Times New Roman"/>
                <w:color w:val="auto"/>
                <w:kern w:val="0"/>
                <w:szCs w:val="21"/>
              </w:rPr>
              <w:t>区分处理的，只计这一情形，不计其他情形</w:t>
            </w:r>
            <w:bookmarkEnd w:id="2"/>
            <w:r>
              <w:rPr>
                <w:rFonts w:hint="default" w:ascii="Times New Roman" w:hAnsi="Times New Roman" w:eastAsia="黑体" w:cs="Times New Roman"/>
                <w:color w:val="auto"/>
                <w:kern w:val="0"/>
                <w:szCs w:val="21"/>
              </w:rPr>
              <w:t>）</w:t>
            </w:r>
          </w:p>
        </w:tc>
        <w:tc>
          <w:tcPr>
            <w:tcW w:w="733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15982AD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26</w:t>
            </w:r>
          </w:p>
        </w:tc>
        <w:tc>
          <w:tcPr>
            <w:tcW w:w="54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335CE06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3</w:t>
            </w:r>
          </w:p>
        </w:tc>
        <w:tc>
          <w:tcPr>
            <w:tcW w:w="553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E0E7C90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A14FE91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8CF7FB9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A5FE2D2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FA501D7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29</w:t>
            </w:r>
          </w:p>
        </w:tc>
      </w:tr>
      <w:tr w14:paraId="141252E4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82E80B0">
            <w:pPr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</w:p>
        </w:tc>
        <w:tc>
          <w:tcPr>
            <w:tcW w:w="1701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998949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/>
              <w:textAlignment w:val="auto"/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Cs w:val="21"/>
              </w:rPr>
              <w:t>（三）不予公开</w:t>
            </w: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9CAF57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/>
              <w:textAlignment w:val="auto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1.属于国家秘密</w:t>
            </w:r>
          </w:p>
        </w:tc>
        <w:tc>
          <w:tcPr>
            <w:tcW w:w="733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D184C4E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54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DA7310C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553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8F69207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09ECCC5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0DDC5F2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85BAB39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6520D39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</w:tr>
      <w:tr w14:paraId="3356D387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F920083">
            <w:pPr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455399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/>
              <w:textAlignment w:val="auto"/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734FCF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/>
              <w:textAlignment w:val="auto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2.</w:t>
            </w:r>
            <w:bookmarkStart w:id="3" w:name="_Hlk66974104"/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其他法律行政法规禁止公开</w:t>
            </w:r>
            <w:bookmarkEnd w:id="3"/>
          </w:p>
        </w:tc>
        <w:tc>
          <w:tcPr>
            <w:tcW w:w="733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E43B7E5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54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C1D7ADF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553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D789575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0609E15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7EB8DEF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811222E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2993F0C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</w:tr>
      <w:tr w14:paraId="7B36BDDF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4040E70">
            <w:pPr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7450B8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/>
              <w:textAlignment w:val="auto"/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8AE6B1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/>
              <w:textAlignment w:val="auto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3.危及“三安全一稳定”</w:t>
            </w:r>
          </w:p>
        </w:tc>
        <w:tc>
          <w:tcPr>
            <w:tcW w:w="733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3E1EF9C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54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F5C99B7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553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B26B45D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D020EC5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CC40077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AB68FE8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FFC0274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</w:tr>
      <w:tr w14:paraId="41705618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6025920">
            <w:pPr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8AF4C2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/>
              <w:textAlignment w:val="auto"/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852F18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/>
              <w:textAlignment w:val="auto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4.</w:t>
            </w:r>
            <w:bookmarkStart w:id="4" w:name="_Hlk66974290"/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保护第三方合法权益</w:t>
            </w:r>
            <w:bookmarkEnd w:id="4"/>
          </w:p>
        </w:tc>
        <w:tc>
          <w:tcPr>
            <w:tcW w:w="733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977206F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Theme="minorHAnsi" w:hAnsiTheme="minorHAnsi" w:eastAsiaTheme="minorEastAsia" w:cstheme="minorBidi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2</w:t>
            </w:r>
          </w:p>
        </w:tc>
        <w:tc>
          <w:tcPr>
            <w:tcW w:w="54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C1B1A58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553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EE4FB49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FED9502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75330E6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0C7F2C2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F83D260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Theme="minorHAnsi" w:hAnsiTheme="minorHAnsi" w:eastAsiaTheme="minorEastAsia" w:cstheme="minorBidi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2</w:t>
            </w:r>
          </w:p>
        </w:tc>
      </w:tr>
      <w:tr w14:paraId="455B6592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C703424">
            <w:pPr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768005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/>
              <w:textAlignment w:val="auto"/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0571F3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/>
              <w:textAlignment w:val="auto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5.属于三类内部事务信息</w:t>
            </w:r>
          </w:p>
        </w:tc>
        <w:tc>
          <w:tcPr>
            <w:tcW w:w="733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776A50E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54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422F5BD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553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1E73870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EFDE8A5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3F21EEA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94410E5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167F02C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</w:tr>
      <w:tr w14:paraId="764E7D73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376E25B">
            <w:pPr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2E7B17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/>
              <w:textAlignment w:val="auto"/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42510F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/>
              <w:textAlignment w:val="auto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6.</w:t>
            </w:r>
            <w:bookmarkStart w:id="5" w:name="_Hlk66974555"/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属于四类过程性信息</w:t>
            </w:r>
            <w:bookmarkEnd w:id="5"/>
          </w:p>
        </w:tc>
        <w:tc>
          <w:tcPr>
            <w:tcW w:w="733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73FEBFE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Theme="minorHAnsi" w:hAnsiTheme="minorHAnsi" w:eastAsiaTheme="minorEastAsia" w:cstheme="minorBidi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2</w:t>
            </w:r>
          </w:p>
        </w:tc>
        <w:tc>
          <w:tcPr>
            <w:tcW w:w="54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D6C8EBB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553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6F64839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D27F021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8F422CF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F54C5DD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B663608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Theme="minorHAnsi" w:hAnsiTheme="minorHAnsi" w:eastAsiaTheme="minorEastAsia" w:cstheme="minorBidi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2</w:t>
            </w:r>
          </w:p>
        </w:tc>
      </w:tr>
      <w:tr w14:paraId="45FFD9C1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53EB3E9">
            <w:pPr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E34045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/>
              <w:textAlignment w:val="auto"/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CBAEC3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/>
              <w:textAlignment w:val="auto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7.属于行政执法案卷</w:t>
            </w:r>
          </w:p>
        </w:tc>
        <w:tc>
          <w:tcPr>
            <w:tcW w:w="733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D691A3B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Theme="minorHAnsi" w:hAnsiTheme="minorHAnsi" w:eastAsiaTheme="minorEastAsia" w:cstheme="minorBidi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1</w:t>
            </w:r>
          </w:p>
        </w:tc>
        <w:tc>
          <w:tcPr>
            <w:tcW w:w="54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EFB02AA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553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B86CE6E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BEBFD3E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310A856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57B605F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9F1F8E8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Theme="minorHAnsi" w:hAnsiTheme="minorHAnsi" w:eastAsiaTheme="minorEastAsia" w:cstheme="minorBidi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1</w:t>
            </w:r>
          </w:p>
        </w:tc>
      </w:tr>
      <w:tr w14:paraId="747EF669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EA4E450">
            <w:pPr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AE1704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/>
              <w:textAlignment w:val="auto"/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1E7C60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/>
              <w:textAlignment w:val="auto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8.</w:t>
            </w:r>
            <w:bookmarkStart w:id="6" w:name="_Hlk66975211"/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属于行政查询事项</w:t>
            </w:r>
            <w:bookmarkEnd w:id="6"/>
          </w:p>
        </w:tc>
        <w:tc>
          <w:tcPr>
            <w:tcW w:w="733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0894444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Theme="minorHAnsi" w:hAnsiTheme="minorHAnsi" w:eastAsiaTheme="minorEastAsia" w:cstheme="minorBidi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1</w:t>
            </w:r>
          </w:p>
        </w:tc>
        <w:tc>
          <w:tcPr>
            <w:tcW w:w="54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74C8B78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553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B633A09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E9F8382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0916809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AD054F3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E8CC59C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Theme="minorHAnsi" w:hAnsiTheme="minorHAnsi" w:eastAsiaTheme="minorEastAsia" w:cstheme="minorBidi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1</w:t>
            </w:r>
          </w:p>
        </w:tc>
      </w:tr>
      <w:tr w14:paraId="36777FCD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E44768D">
            <w:pPr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</w:p>
        </w:tc>
        <w:tc>
          <w:tcPr>
            <w:tcW w:w="1701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C8C580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/>
              <w:textAlignment w:val="auto"/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Cs w:val="21"/>
              </w:rPr>
              <w:t>（四）无法提供</w:t>
            </w: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ADECE2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/>
              <w:textAlignment w:val="auto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1.本机关不掌握相关政府信息</w:t>
            </w:r>
          </w:p>
        </w:tc>
        <w:tc>
          <w:tcPr>
            <w:tcW w:w="733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C3BC115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40</w:t>
            </w:r>
          </w:p>
        </w:tc>
        <w:tc>
          <w:tcPr>
            <w:tcW w:w="54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8FC331A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Theme="minorHAnsi" w:hAnsiTheme="minorHAnsi" w:eastAsiaTheme="minorEastAsia" w:cstheme="minorBidi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2</w:t>
            </w:r>
          </w:p>
        </w:tc>
        <w:tc>
          <w:tcPr>
            <w:tcW w:w="553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A18C24B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7F54FD9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8A3C992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E5A392E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AF57E44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42</w:t>
            </w:r>
          </w:p>
        </w:tc>
      </w:tr>
      <w:tr w14:paraId="3AE1EAB6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BF97278">
            <w:pPr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7063F7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/>
              <w:textAlignment w:val="auto"/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C9C94C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/>
              <w:textAlignment w:val="auto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2.</w:t>
            </w:r>
            <w:bookmarkStart w:id="7" w:name="_Hlk66975392"/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没有现成信息需要另行制作</w:t>
            </w:r>
            <w:bookmarkEnd w:id="7"/>
          </w:p>
        </w:tc>
        <w:tc>
          <w:tcPr>
            <w:tcW w:w="733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AB9A15B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Theme="minorHAnsi" w:hAnsiTheme="minorHAnsi" w:eastAsiaTheme="minorEastAsia" w:cstheme="minorBidi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6</w:t>
            </w:r>
          </w:p>
        </w:tc>
        <w:tc>
          <w:tcPr>
            <w:tcW w:w="54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CB1C61F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553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5BED86F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B09B73F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13867BA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BF71544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ECF04B7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Theme="minorHAnsi" w:hAnsiTheme="minorHAnsi" w:eastAsiaTheme="minorEastAsia" w:cstheme="minorBidi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6</w:t>
            </w:r>
          </w:p>
        </w:tc>
      </w:tr>
      <w:tr w14:paraId="5EDEEA35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EF9BC55">
            <w:pPr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79279B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/>
              <w:textAlignment w:val="auto"/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AF58F4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/>
              <w:textAlignment w:val="auto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3.</w:t>
            </w:r>
            <w:bookmarkStart w:id="8" w:name="_Hlk66975466"/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补正后申请内容仍不明确</w:t>
            </w:r>
            <w:bookmarkEnd w:id="8"/>
          </w:p>
        </w:tc>
        <w:tc>
          <w:tcPr>
            <w:tcW w:w="733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89EB451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54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96B5B0E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553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BFE69BF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7A3D86A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A9D5255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2FEAEE4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89D1C52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</w:tr>
      <w:tr w14:paraId="6CF11C88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0299D99">
            <w:pPr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</w:p>
        </w:tc>
        <w:tc>
          <w:tcPr>
            <w:tcW w:w="1701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2B881C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/>
              <w:textAlignment w:val="auto"/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Cs w:val="21"/>
              </w:rPr>
              <w:t>（五）不予处理</w:t>
            </w: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DE84CE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/>
              <w:textAlignment w:val="auto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1.</w:t>
            </w:r>
            <w:bookmarkStart w:id="9" w:name="_Hlk66975537"/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信访举报投诉类申请</w:t>
            </w:r>
            <w:bookmarkEnd w:id="9"/>
          </w:p>
        </w:tc>
        <w:tc>
          <w:tcPr>
            <w:tcW w:w="733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F571DE9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Theme="minorHAnsi" w:hAnsiTheme="minorHAnsi" w:eastAsiaTheme="minorEastAsia" w:cstheme="minorBidi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1</w:t>
            </w:r>
          </w:p>
        </w:tc>
        <w:tc>
          <w:tcPr>
            <w:tcW w:w="54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B2514CB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553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D80C9BE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C34539C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3CDA996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762F7AF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F377A3B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Theme="minorHAnsi" w:hAnsiTheme="minorHAnsi" w:eastAsiaTheme="minorEastAsia" w:cstheme="minorBidi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1</w:t>
            </w:r>
          </w:p>
        </w:tc>
      </w:tr>
      <w:tr w14:paraId="36925D5D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DF608AB">
            <w:pPr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05526C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/>
              <w:textAlignment w:val="auto"/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EF1424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/>
              <w:textAlignment w:val="auto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2.重复申请</w:t>
            </w:r>
          </w:p>
        </w:tc>
        <w:tc>
          <w:tcPr>
            <w:tcW w:w="733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60B5636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54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F910C7F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553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FA33181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56A47D4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0CF73CF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A992B57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3BCFA8D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</w:tr>
      <w:tr w14:paraId="5C704B46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58AE9BF">
            <w:pPr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E7BE45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/>
              <w:textAlignment w:val="auto"/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02D03B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3.要求提供公开出版物</w:t>
            </w:r>
          </w:p>
        </w:tc>
        <w:tc>
          <w:tcPr>
            <w:tcW w:w="733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48A39FA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54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1A6050F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553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6113C3E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91E9C7C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211EC16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9273910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C3430E3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</w:tr>
      <w:tr w14:paraId="39C4D3E4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1D14125">
            <w:pPr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74C61B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/>
              <w:textAlignment w:val="auto"/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3BEC0C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4.无正当理由大量反复申请</w:t>
            </w:r>
          </w:p>
        </w:tc>
        <w:tc>
          <w:tcPr>
            <w:tcW w:w="733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74FAFDF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54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3853232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553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26118DF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E2CAE3F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C4281B4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0F19CD6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57202A6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</w:tr>
      <w:tr w14:paraId="18BCCF61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6A1338F">
            <w:pPr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8A37CD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/>
              <w:textAlignment w:val="auto"/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F4F095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/>
              <w:textAlignment w:val="auto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5.要求行政机关确认或重新</w:t>
            </w:r>
          </w:p>
          <w:p w14:paraId="721BB4C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210" w:firstLineChars="100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出具已获取信息</w:t>
            </w:r>
          </w:p>
        </w:tc>
        <w:tc>
          <w:tcPr>
            <w:tcW w:w="733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47B7CAC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54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69142B8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553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2B0F252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D2A9AFF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242B05B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0D86556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9447797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</w:tr>
      <w:tr w14:paraId="479A1B89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2388BAC">
            <w:pPr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</w:p>
        </w:tc>
        <w:tc>
          <w:tcPr>
            <w:tcW w:w="1701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E3F4E3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/>
              <w:textAlignment w:val="auto"/>
              <w:rPr>
                <w:rFonts w:hint="default" w:ascii="Times New Roman" w:hAnsi="Times New Roman" w:eastAsia="黑体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Cs w:val="21"/>
              </w:rPr>
              <w:t>（六）其他处理</w:t>
            </w:r>
          </w:p>
        </w:tc>
        <w:tc>
          <w:tcPr>
            <w:tcW w:w="2976" w:type="dxa"/>
            <w:shd w:val="clear" w:color="auto" w:fill="auto"/>
            <w:vAlign w:val="center"/>
          </w:tcPr>
          <w:p w14:paraId="630C182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/>
              <w:textAlignment w:val="auto"/>
              <w:rPr>
                <w:rFonts w:hint="default" w:ascii="Times New Roman" w:hAnsi="Times New Roman" w:eastAsia="仿宋_GB2312" w:cs="Times New Roman"/>
                <w:color w:val="auto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</w:rPr>
              <w:t>1.申请人无正当理由逾期不补正、行政机关不再处理其政府信息公开申请</w:t>
            </w:r>
          </w:p>
        </w:tc>
        <w:tc>
          <w:tcPr>
            <w:tcW w:w="733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FDE44B5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Theme="minorHAnsi" w:hAnsiTheme="minorHAnsi" w:eastAsiaTheme="minorEastAsia" w:cstheme="minorBidi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2</w:t>
            </w:r>
          </w:p>
        </w:tc>
        <w:tc>
          <w:tcPr>
            <w:tcW w:w="54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6656BDC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553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209F4F9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4B40A6D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8174642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3ADED72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2A600B5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Theme="minorHAnsi" w:hAnsiTheme="minorHAnsi" w:eastAsiaTheme="minorEastAsia" w:cstheme="minorBidi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2</w:t>
            </w:r>
          </w:p>
        </w:tc>
      </w:tr>
      <w:tr w14:paraId="111ED0FE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8DC8BFD">
            <w:pPr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E9C22D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/>
              <w:textAlignment w:val="auto"/>
              <w:rPr>
                <w:rFonts w:hint="default" w:ascii="Times New Roman" w:hAnsi="Times New Roman" w:eastAsia="黑体" w:cs="Times New Roman"/>
                <w:color w:val="auto"/>
                <w:kern w:val="0"/>
                <w:szCs w:val="21"/>
              </w:rPr>
            </w:pPr>
          </w:p>
        </w:tc>
        <w:tc>
          <w:tcPr>
            <w:tcW w:w="2976" w:type="dxa"/>
            <w:shd w:val="clear" w:color="auto" w:fill="auto"/>
            <w:vAlign w:val="center"/>
          </w:tcPr>
          <w:p w14:paraId="7E8F0B0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/>
              <w:textAlignment w:val="auto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</w:rPr>
              <w:t>2.申请人逾期未按收费通知要求缴纳费用、行政机关不再处理其政府信息公开申请</w:t>
            </w:r>
          </w:p>
        </w:tc>
        <w:tc>
          <w:tcPr>
            <w:tcW w:w="733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9DB455E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54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E34203A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553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2182D78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56A3390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6E53BE8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CFEE8DA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E16C470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</w:tr>
      <w:tr w14:paraId="66B068F8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7302EC2">
            <w:pPr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A3787B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/>
              <w:textAlignment w:val="auto"/>
              <w:rPr>
                <w:rFonts w:hint="default" w:ascii="Times New Roman" w:hAnsi="Times New Roman" w:eastAsia="黑体" w:cs="Times New Roman"/>
                <w:color w:val="auto"/>
                <w:kern w:val="0"/>
                <w:szCs w:val="21"/>
              </w:rPr>
            </w:pPr>
          </w:p>
        </w:tc>
        <w:tc>
          <w:tcPr>
            <w:tcW w:w="2976" w:type="dxa"/>
            <w:shd w:val="clear" w:color="auto" w:fill="auto"/>
            <w:vAlign w:val="center"/>
          </w:tcPr>
          <w:p w14:paraId="76AB98F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/>
              <w:textAlignment w:val="auto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</w:rPr>
              <w:t>3.其他</w:t>
            </w:r>
          </w:p>
        </w:tc>
        <w:tc>
          <w:tcPr>
            <w:tcW w:w="733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F2FC472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Theme="minorHAnsi" w:hAnsiTheme="minorHAnsi" w:eastAsiaTheme="minorEastAsia" w:cstheme="minorBidi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3</w:t>
            </w:r>
          </w:p>
        </w:tc>
        <w:tc>
          <w:tcPr>
            <w:tcW w:w="54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45FB059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553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713AC98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6BB13BC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2E84078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1DD1F38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3E5C6F8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Theme="minorHAnsi" w:hAnsiTheme="minorHAnsi" w:eastAsiaTheme="minorEastAsia" w:cstheme="minorBidi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3</w:t>
            </w:r>
          </w:p>
        </w:tc>
      </w:tr>
      <w:tr w14:paraId="01426175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2FC85A3">
            <w:pPr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</w:p>
        </w:tc>
        <w:tc>
          <w:tcPr>
            <w:tcW w:w="4677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C7BC2F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/>
              <w:textAlignment w:val="auto"/>
              <w:rPr>
                <w:rFonts w:hint="default" w:ascii="Times New Roman" w:hAnsi="Times New Roman" w:eastAsia="黑体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Cs w:val="21"/>
              </w:rPr>
              <w:t>（七）总计</w:t>
            </w:r>
          </w:p>
        </w:tc>
        <w:tc>
          <w:tcPr>
            <w:tcW w:w="733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94A413C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eastAsia="宋体" w:asciiTheme="minorHAnsi" w:hAnsiTheme="minorHAnsi" w:cstheme="minorBidi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129</w:t>
            </w:r>
          </w:p>
        </w:tc>
        <w:tc>
          <w:tcPr>
            <w:tcW w:w="54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55F8F4F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Theme="minorHAnsi" w:hAnsiTheme="minorHAnsi" w:eastAsiaTheme="minorEastAsia" w:cstheme="minorBidi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9</w:t>
            </w:r>
          </w:p>
        </w:tc>
        <w:tc>
          <w:tcPr>
            <w:tcW w:w="553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A631D00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7D50E38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29AB6EA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CA7B4E3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Theme="minorHAnsi" w:hAnsiTheme="minorHAnsi" w:eastAsiaTheme="minorEastAsia" w:cstheme="minorBidi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1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C1DA04B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eastAsia="宋体" w:asciiTheme="minorHAnsi" w:hAnsiTheme="minorHAnsi" w:cstheme="minorBidi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139</w:t>
            </w:r>
          </w:p>
        </w:tc>
      </w:tr>
      <w:tr w14:paraId="00648C31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5093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82057BA">
            <w:pPr>
              <w:widowControl/>
              <w:spacing w:line="300" w:lineRule="exact"/>
              <w:rPr>
                <w:rFonts w:hint="default" w:ascii="Times New Roman" w:hAnsi="Times New Roman" w:eastAsia="黑体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Cs w:val="21"/>
              </w:rPr>
              <w:t>四、结转下年度继续办理</w:t>
            </w:r>
          </w:p>
        </w:tc>
        <w:tc>
          <w:tcPr>
            <w:tcW w:w="733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9EEA013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Theme="minorHAnsi" w:hAnsiTheme="minorHAnsi" w:eastAsiaTheme="minorEastAsia" w:cstheme="minorBidi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4</w:t>
            </w:r>
          </w:p>
        </w:tc>
        <w:tc>
          <w:tcPr>
            <w:tcW w:w="54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787753E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553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A363DC0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C281652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2A9F39A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B673761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EBE9E1F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Theme="minorHAnsi" w:hAnsiTheme="minorHAnsi" w:eastAsiaTheme="minorEastAsia" w:cstheme="minorBidi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4</w:t>
            </w:r>
          </w:p>
        </w:tc>
      </w:tr>
    </w:tbl>
    <w:p w14:paraId="59ED9B2B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bidi w:val="0"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黑体" w:cs="Times New Roman"/>
          <w:b w:val="0"/>
          <w:bCs/>
          <w:i w:val="0"/>
          <w:caps w:val="0"/>
          <w:color w:val="auto"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default" w:ascii="Times New Roman" w:hAnsi="Times New Roman" w:eastAsia="黑体" w:cs="Times New Roman"/>
          <w:b w:val="0"/>
          <w:bCs/>
          <w:i w:val="0"/>
          <w:caps w:val="0"/>
          <w:color w:val="auto"/>
          <w:spacing w:val="0"/>
          <w:kern w:val="0"/>
          <w:sz w:val="32"/>
          <w:szCs w:val="32"/>
          <w:shd w:val="clear" w:fill="FFFFFF"/>
          <w:lang w:val="en-US" w:eastAsia="zh-CN" w:bidi="ar"/>
        </w:rPr>
        <w:t>四、政府信息公开行政复议、行政诉讼情况</w:t>
      </w:r>
    </w:p>
    <w:tbl>
      <w:tblPr>
        <w:tblStyle w:val="5"/>
        <w:tblW w:w="9071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04"/>
        <w:gridCol w:w="604"/>
        <w:gridCol w:w="604"/>
        <w:gridCol w:w="604"/>
        <w:gridCol w:w="658"/>
        <w:gridCol w:w="550"/>
        <w:gridCol w:w="605"/>
        <w:gridCol w:w="605"/>
        <w:gridCol w:w="605"/>
        <w:gridCol w:w="605"/>
        <w:gridCol w:w="605"/>
        <w:gridCol w:w="605"/>
        <w:gridCol w:w="605"/>
        <w:gridCol w:w="606"/>
        <w:gridCol w:w="606"/>
      </w:tblGrid>
      <w:tr w14:paraId="575AFD3C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7" w:hRule="atLeast"/>
          <w:jc w:val="center"/>
        </w:trPr>
        <w:tc>
          <w:tcPr>
            <w:tcW w:w="3074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F739876">
            <w:pPr>
              <w:widowControl/>
              <w:jc w:val="center"/>
              <w:rPr>
                <w:rFonts w:hint="default" w:ascii="Times New Roman" w:hAnsi="Times New Roman" w:eastAsia="黑体" w:cs="Times New Roman"/>
                <w:color w:val="auto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 w:val="20"/>
                <w:szCs w:val="20"/>
              </w:rPr>
              <w:t>行政复议</w:t>
            </w:r>
          </w:p>
        </w:tc>
        <w:tc>
          <w:tcPr>
            <w:tcW w:w="5997" w:type="dxa"/>
            <w:gridSpan w:val="10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735A223">
            <w:pPr>
              <w:widowControl/>
              <w:jc w:val="center"/>
              <w:rPr>
                <w:rFonts w:hint="default" w:ascii="Times New Roman" w:hAnsi="Times New Roman" w:eastAsia="黑体" w:cs="Times New Roman"/>
                <w:color w:val="auto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 w:val="20"/>
                <w:szCs w:val="20"/>
              </w:rPr>
              <w:t>行政诉讼</w:t>
            </w:r>
          </w:p>
        </w:tc>
      </w:tr>
      <w:tr w14:paraId="62BBA081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7" w:hRule="atLeast"/>
          <w:jc w:val="center"/>
        </w:trPr>
        <w:tc>
          <w:tcPr>
            <w:tcW w:w="604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EF0BA32">
            <w:pPr>
              <w:widowControl/>
              <w:ind w:left="-149" w:leftChars="-71" w:right="-170" w:rightChars="-81"/>
              <w:jc w:val="center"/>
              <w:rPr>
                <w:rFonts w:hint="default" w:ascii="Times New Roman" w:hAnsi="Times New Roman" w:eastAsia="黑体" w:cs="Times New Roman"/>
                <w:color w:val="auto"/>
                <w:kern w:val="0"/>
                <w:sz w:val="20"/>
                <w:szCs w:val="20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 w:val="20"/>
                <w:szCs w:val="20"/>
              </w:rPr>
              <w:t>结果</w:t>
            </w:r>
          </w:p>
          <w:p w14:paraId="6C4AF21F">
            <w:pPr>
              <w:widowControl/>
              <w:ind w:left="-149" w:leftChars="-71" w:right="-170" w:rightChars="-81"/>
              <w:jc w:val="center"/>
              <w:rPr>
                <w:rFonts w:hint="default" w:ascii="Times New Roman" w:hAnsi="Times New Roman" w:eastAsia="黑体" w:cs="Times New Roman"/>
                <w:color w:val="auto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 w:val="20"/>
                <w:szCs w:val="20"/>
              </w:rPr>
              <w:t>维持</w:t>
            </w:r>
          </w:p>
        </w:tc>
        <w:tc>
          <w:tcPr>
            <w:tcW w:w="604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9A21F75">
            <w:pPr>
              <w:widowControl/>
              <w:ind w:left="-43" w:leftChars="-21" w:right="-132" w:rightChars="-63" w:hanging="1"/>
              <w:jc w:val="center"/>
              <w:rPr>
                <w:rFonts w:hint="default" w:ascii="Times New Roman" w:hAnsi="Times New Roman" w:eastAsia="黑体" w:cs="Times New Roman"/>
                <w:color w:val="auto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 w:val="20"/>
                <w:szCs w:val="20"/>
              </w:rPr>
              <w:t>结果纠正</w:t>
            </w:r>
          </w:p>
        </w:tc>
        <w:tc>
          <w:tcPr>
            <w:tcW w:w="604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E284E5B">
            <w:pPr>
              <w:widowControl/>
              <w:ind w:left="-82" w:leftChars="-39" w:right="-97" w:rightChars="-46"/>
              <w:jc w:val="center"/>
              <w:rPr>
                <w:rFonts w:hint="default" w:ascii="Times New Roman" w:hAnsi="Times New Roman" w:eastAsia="黑体" w:cs="Times New Roman"/>
                <w:color w:val="auto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 w:val="20"/>
                <w:szCs w:val="20"/>
              </w:rPr>
              <w:t>其他结果</w:t>
            </w:r>
          </w:p>
        </w:tc>
        <w:tc>
          <w:tcPr>
            <w:tcW w:w="604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C74EB0C">
            <w:pPr>
              <w:widowControl/>
              <w:ind w:left="-118" w:leftChars="-56" w:right="-118" w:rightChars="-56"/>
              <w:jc w:val="center"/>
              <w:rPr>
                <w:rFonts w:hint="default" w:ascii="Times New Roman" w:hAnsi="Times New Roman" w:eastAsia="黑体" w:cs="Times New Roman"/>
                <w:color w:val="auto"/>
                <w:kern w:val="0"/>
                <w:sz w:val="20"/>
                <w:szCs w:val="20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 w:val="20"/>
                <w:szCs w:val="20"/>
              </w:rPr>
              <w:t>尚未</w:t>
            </w:r>
          </w:p>
          <w:p w14:paraId="72DCF5EA">
            <w:pPr>
              <w:widowControl/>
              <w:ind w:left="-118" w:leftChars="-56" w:right="-118" w:rightChars="-56"/>
              <w:jc w:val="center"/>
              <w:rPr>
                <w:rFonts w:hint="default" w:ascii="Times New Roman" w:hAnsi="Times New Roman" w:eastAsia="黑体" w:cs="Times New Roman"/>
                <w:color w:val="auto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 w:val="20"/>
                <w:szCs w:val="20"/>
              </w:rPr>
              <w:t>审结</w:t>
            </w:r>
          </w:p>
        </w:tc>
        <w:tc>
          <w:tcPr>
            <w:tcW w:w="658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34ADAFB">
            <w:pPr>
              <w:widowControl/>
              <w:spacing w:line="320" w:lineRule="exact"/>
              <w:jc w:val="center"/>
              <w:rPr>
                <w:rFonts w:hint="default" w:ascii="Times New Roman" w:hAnsi="Times New Roman" w:eastAsia="黑体" w:cs="Times New Roman"/>
                <w:color w:val="auto"/>
                <w:kern w:val="0"/>
                <w:sz w:val="20"/>
                <w:szCs w:val="20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 w:val="20"/>
                <w:szCs w:val="20"/>
              </w:rPr>
              <w:t>总</w:t>
            </w:r>
          </w:p>
          <w:p w14:paraId="106A3CEE">
            <w:pPr>
              <w:widowControl/>
              <w:spacing w:line="320" w:lineRule="exact"/>
              <w:jc w:val="center"/>
              <w:rPr>
                <w:rFonts w:hint="default" w:ascii="Times New Roman" w:hAnsi="Times New Roman" w:eastAsia="黑体" w:cs="Times New Roman"/>
                <w:color w:val="auto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 w:val="20"/>
                <w:szCs w:val="20"/>
              </w:rPr>
              <w:t>计</w:t>
            </w:r>
          </w:p>
        </w:tc>
        <w:tc>
          <w:tcPr>
            <w:tcW w:w="2970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CA4D564">
            <w:pPr>
              <w:widowControl/>
              <w:jc w:val="center"/>
              <w:rPr>
                <w:rFonts w:hint="default" w:ascii="Times New Roman" w:hAnsi="Times New Roman" w:eastAsia="黑体" w:cs="Times New Roman"/>
                <w:color w:val="auto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 w:val="20"/>
                <w:szCs w:val="20"/>
              </w:rPr>
              <w:t>未经复议直接起诉</w:t>
            </w:r>
          </w:p>
        </w:tc>
        <w:tc>
          <w:tcPr>
            <w:tcW w:w="3027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B1EBF80">
            <w:pPr>
              <w:widowControl/>
              <w:jc w:val="center"/>
              <w:rPr>
                <w:rFonts w:hint="default" w:ascii="Times New Roman" w:hAnsi="Times New Roman" w:eastAsia="黑体" w:cs="Times New Roman"/>
                <w:color w:val="auto"/>
              </w:rPr>
            </w:pPr>
            <w:bookmarkStart w:id="10" w:name="_Hlk67039688"/>
            <w:r>
              <w:rPr>
                <w:rFonts w:hint="default" w:ascii="Times New Roman" w:hAnsi="Times New Roman" w:eastAsia="黑体" w:cs="Times New Roman"/>
                <w:color w:val="auto"/>
                <w:kern w:val="0"/>
                <w:sz w:val="20"/>
                <w:szCs w:val="20"/>
              </w:rPr>
              <w:t>复议后起诉</w:t>
            </w:r>
            <w:bookmarkEnd w:id="10"/>
          </w:p>
        </w:tc>
      </w:tr>
      <w:tr w14:paraId="5424C1B1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6" w:hRule="atLeast"/>
          <w:jc w:val="center"/>
        </w:trPr>
        <w:tc>
          <w:tcPr>
            <w:tcW w:w="604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C70A634">
            <w:pPr>
              <w:rPr>
                <w:rFonts w:hint="default" w:ascii="Times New Roman" w:hAnsi="Times New Roman" w:eastAsia="黑体" w:cs="Times New Roman"/>
                <w:color w:val="auto"/>
                <w:sz w:val="24"/>
              </w:rPr>
            </w:pPr>
          </w:p>
        </w:tc>
        <w:tc>
          <w:tcPr>
            <w:tcW w:w="60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F9E888B">
            <w:pPr>
              <w:rPr>
                <w:rFonts w:hint="default" w:ascii="Times New Roman" w:hAnsi="Times New Roman" w:eastAsia="黑体" w:cs="Times New Roman"/>
                <w:color w:val="auto"/>
                <w:sz w:val="24"/>
              </w:rPr>
            </w:pPr>
          </w:p>
        </w:tc>
        <w:tc>
          <w:tcPr>
            <w:tcW w:w="604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84CF59C">
            <w:pPr>
              <w:rPr>
                <w:rFonts w:hint="default" w:ascii="Times New Roman" w:hAnsi="Times New Roman" w:eastAsia="黑体" w:cs="Times New Roman"/>
                <w:color w:val="auto"/>
                <w:sz w:val="24"/>
              </w:rPr>
            </w:pPr>
          </w:p>
        </w:tc>
        <w:tc>
          <w:tcPr>
            <w:tcW w:w="604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7874597">
            <w:pPr>
              <w:rPr>
                <w:rFonts w:hint="default" w:ascii="Times New Roman" w:hAnsi="Times New Roman" w:eastAsia="黑体" w:cs="Times New Roman"/>
                <w:color w:val="auto"/>
                <w:sz w:val="24"/>
              </w:rPr>
            </w:pPr>
          </w:p>
        </w:tc>
        <w:tc>
          <w:tcPr>
            <w:tcW w:w="658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B79C0F0">
            <w:pPr>
              <w:rPr>
                <w:rFonts w:hint="default" w:ascii="Times New Roman" w:hAnsi="Times New Roman" w:eastAsia="黑体" w:cs="Times New Roman"/>
                <w:color w:val="auto"/>
                <w:sz w:val="24"/>
              </w:rPr>
            </w:pPr>
          </w:p>
        </w:tc>
        <w:tc>
          <w:tcPr>
            <w:tcW w:w="55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5428F23">
            <w:pPr>
              <w:widowControl/>
              <w:ind w:left="-105" w:leftChars="-50" w:right="-126" w:rightChars="-60"/>
              <w:jc w:val="center"/>
              <w:rPr>
                <w:rFonts w:hint="default" w:ascii="Times New Roman" w:hAnsi="Times New Roman" w:eastAsia="黑体" w:cs="Times New Roman"/>
                <w:color w:val="auto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 w:val="20"/>
                <w:szCs w:val="20"/>
              </w:rPr>
              <w:t>结果维持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3ED3355">
            <w:pPr>
              <w:widowControl/>
              <w:ind w:left="-86" w:leftChars="-41" w:right="-88" w:rightChars="-42"/>
              <w:jc w:val="center"/>
              <w:rPr>
                <w:rFonts w:hint="default" w:ascii="Times New Roman" w:hAnsi="Times New Roman" w:eastAsia="黑体" w:cs="Times New Roman"/>
                <w:color w:val="auto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 w:val="20"/>
                <w:szCs w:val="20"/>
              </w:rPr>
              <w:t>结果纠正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70CAF2B">
            <w:pPr>
              <w:widowControl/>
              <w:ind w:left="-126" w:leftChars="-60" w:right="-136" w:rightChars="-65"/>
              <w:jc w:val="center"/>
              <w:rPr>
                <w:rFonts w:hint="default" w:ascii="Times New Roman" w:hAnsi="Times New Roman" w:eastAsia="黑体" w:cs="Times New Roman"/>
                <w:color w:val="auto"/>
                <w:kern w:val="0"/>
                <w:sz w:val="20"/>
                <w:szCs w:val="20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 w:val="20"/>
                <w:szCs w:val="20"/>
              </w:rPr>
              <w:t>其他</w:t>
            </w:r>
          </w:p>
          <w:p w14:paraId="11C4A507">
            <w:pPr>
              <w:widowControl/>
              <w:ind w:left="-126" w:leftChars="-60" w:right="-136" w:rightChars="-65"/>
              <w:jc w:val="center"/>
              <w:rPr>
                <w:rFonts w:hint="default" w:ascii="Times New Roman" w:hAnsi="Times New Roman" w:eastAsia="黑体" w:cs="Times New Roman"/>
                <w:color w:val="auto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 w:val="20"/>
                <w:szCs w:val="20"/>
              </w:rPr>
              <w:t>结果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B45BDCC">
            <w:pPr>
              <w:widowControl/>
              <w:ind w:left="-164" w:leftChars="-78" w:right="-153" w:rightChars="-73"/>
              <w:jc w:val="center"/>
              <w:rPr>
                <w:rFonts w:hint="default" w:ascii="Times New Roman" w:hAnsi="Times New Roman" w:eastAsia="黑体" w:cs="Times New Roman"/>
                <w:color w:val="auto"/>
                <w:kern w:val="0"/>
                <w:sz w:val="20"/>
                <w:szCs w:val="20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 w:val="20"/>
                <w:szCs w:val="20"/>
              </w:rPr>
              <w:t>尚未</w:t>
            </w:r>
          </w:p>
          <w:p w14:paraId="17601C50">
            <w:pPr>
              <w:widowControl/>
              <w:ind w:left="-164" w:leftChars="-78" w:right="-153" w:rightChars="-73"/>
              <w:jc w:val="center"/>
              <w:rPr>
                <w:rFonts w:hint="default" w:ascii="Times New Roman" w:hAnsi="Times New Roman" w:eastAsia="黑体" w:cs="Times New Roman"/>
                <w:color w:val="auto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 w:val="20"/>
                <w:szCs w:val="20"/>
              </w:rPr>
              <w:t>审结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7386E6F">
            <w:pPr>
              <w:widowControl/>
              <w:jc w:val="center"/>
              <w:rPr>
                <w:rFonts w:hint="default" w:ascii="Times New Roman" w:hAnsi="Times New Roman" w:eastAsia="黑体" w:cs="Times New Roman"/>
                <w:color w:val="auto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 w:val="20"/>
                <w:szCs w:val="20"/>
              </w:rPr>
              <w:t>总计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9675D60">
            <w:pPr>
              <w:widowControl/>
              <w:ind w:left="-99" w:leftChars="-47" w:right="-78" w:rightChars="-37"/>
              <w:jc w:val="center"/>
              <w:rPr>
                <w:rFonts w:hint="default" w:ascii="Times New Roman" w:hAnsi="Times New Roman" w:eastAsia="黑体" w:cs="Times New Roman"/>
                <w:color w:val="auto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 w:val="20"/>
                <w:szCs w:val="20"/>
              </w:rPr>
              <w:t>结果维持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4294EC7">
            <w:pPr>
              <w:widowControl/>
              <w:ind w:left="-136" w:leftChars="-65" w:right="-124" w:rightChars="-59"/>
              <w:jc w:val="center"/>
              <w:rPr>
                <w:rFonts w:hint="default" w:ascii="Times New Roman" w:hAnsi="Times New Roman" w:eastAsia="黑体" w:cs="Times New Roman"/>
                <w:color w:val="auto"/>
                <w:kern w:val="0"/>
                <w:sz w:val="20"/>
                <w:szCs w:val="20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 w:val="20"/>
                <w:szCs w:val="20"/>
              </w:rPr>
              <w:t>结果</w:t>
            </w:r>
          </w:p>
          <w:p w14:paraId="513659AD">
            <w:pPr>
              <w:widowControl/>
              <w:ind w:left="-136" w:leftChars="-65" w:right="-124" w:rightChars="-59"/>
              <w:jc w:val="center"/>
              <w:rPr>
                <w:rFonts w:hint="default" w:ascii="Times New Roman" w:hAnsi="Times New Roman" w:eastAsia="黑体" w:cs="Times New Roman"/>
                <w:color w:val="auto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 w:val="20"/>
                <w:szCs w:val="20"/>
              </w:rPr>
              <w:t>纠正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6271900">
            <w:pPr>
              <w:widowControl/>
              <w:ind w:left="-173" w:leftChars="-83" w:right="-134" w:rightChars="-64" w:hanging="1"/>
              <w:jc w:val="center"/>
              <w:rPr>
                <w:rFonts w:hint="default" w:ascii="Times New Roman" w:hAnsi="Times New Roman" w:eastAsia="黑体" w:cs="Times New Roman"/>
                <w:color w:val="auto"/>
                <w:kern w:val="0"/>
                <w:sz w:val="20"/>
                <w:szCs w:val="20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 w:val="20"/>
                <w:szCs w:val="20"/>
              </w:rPr>
              <w:t>其他</w:t>
            </w:r>
          </w:p>
          <w:p w14:paraId="057C94F5">
            <w:pPr>
              <w:widowControl/>
              <w:ind w:left="-173" w:leftChars="-83" w:right="-134" w:rightChars="-64" w:hanging="1"/>
              <w:jc w:val="center"/>
              <w:rPr>
                <w:rFonts w:hint="default" w:ascii="Times New Roman" w:hAnsi="Times New Roman" w:eastAsia="黑体" w:cs="Times New Roman"/>
                <w:color w:val="auto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 w:val="20"/>
                <w:szCs w:val="20"/>
              </w:rPr>
              <w:t>结果</w:t>
            </w:r>
          </w:p>
        </w:tc>
        <w:tc>
          <w:tcPr>
            <w:tcW w:w="60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67A97EE">
            <w:pPr>
              <w:widowControl/>
              <w:ind w:left="-67" w:leftChars="-33" w:right="-105" w:rightChars="-50" w:hanging="2" w:hangingChars="1"/>
              <w:jc w:val="center"/>
              <w:rPr>
                <w:rFonts w:hint="default" w:ascii="Times New Roman" w:hAnsi="Times New Roman" w:eastAsia="黑体" w:cs="Times New Roman"/>
                <w:color w:val="auto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 w:val="20"/>
                <w:szCs w:val="20"/>
              </w:rPr>
              <w:t>尚未审结</w:t>
            </w:r>
          </w:p>
        </w:tc>
        <w:tc>
          <w:tcPr>
            <w:tcW w:w="60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73C8B58">
            <w:pPr>
              <w:widowControl/>
              <w:jc w:val="center"/>
              <w:rPr>
                <w:rFonts w:hint="default" w:ascii="Times New Roman" w:hAnsi="Times New Roman" w:eastAsia="黑体" w:cs="Times New Roman"/>
                <w:color w:val="auto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 w:val="20"/>
                <w:szCs w:val="20"/>
              </w:rPr>
              <w:t>总计</w:t>
            </w:r>
          </w:p>
        </w:tc>
      </w:tr>
      <w:tr w14:paraId="3C3C3B50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atLeast"/>
          <w:jc w:val="center"/>
        </w:trPr>
        <w:tc>
          <w:tcPr>
            <w:tcW w:w="604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9A4FE03">
            <w:pPr>
              <w:jc w:val="center"/>
              <w:rPr>
                <w:rFonts w:hint="default" w:ascii="Times New Roman" w:hAnsi="Times New Roman" w:cs="Times New Roman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lang w:val="en-US" w:eastAsia="zh-CN"/>
              </w:rPr>
              <w:t>6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FBC7F54">
            <w:pPr>
              <w:jc w:val="center"/>
              <w:rPr>
                <w:rFonts w:hint="default" w:ascii="Times New Roman" w:hAnsi="Times New Roman" w:cs="Times New Roman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lang w:val="en-US" w:eastAsia="zh-CN"/>
              </w:rPr>
              <w:t>1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C159A9C">
            <w:pPr>
              <w:jc w:val="center"/>
              <w:rPr>
                <w:rFonts w:hint="default" w:ascii="Times New Roman" w:hAnsi="Times New Roman" w:cs="Times New Roman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lang w:val="en-US" w:eastAsia="zh-CN"/>
              </w:rPr>
              <w:t>2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8566215">
            <w:pPr>
              <w:jc w:val="center"/>
              <w:rPr>
                <w:rFonts w:hint="default" w:ascii="Times New Roman" w:hAnsi="Times New Roman" w:cs="Times New Roman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lang w:val="en-US" w:eastAsia="zh-CN"/>
              </w:rPr>
              <w:t>0</w:t>
            </w:r>
          </w:p>
        </w:tc>
        <w:tc>
          <w:tcPr>
            <w:tcW w:w="65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228020C">
            <w:pPr>
              <w:jc w:val="center"/>
              <w:rPr>
                <w:rFonts w:hint="default" w:ascii="Times New Roman" w:hAnsi="Times New Roman" w:cs="Times New Roman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lang w:val="en-US" w:eastAsia="zh-CN"/>
              </w:rPr>
              <w:t>9</w:t>
            </w:r>
          </w:p>
        </w:tc>
        <w:tc>
          <w:tcPr>
            <w:tcW w:w="55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7FBAA59">
            <w:pPr>
              <w:jc w:val="center"/>
              <w:rPr>
                <w:rFonts w:hint="default" w:ascii="Times New Roman" w:hAnsi="Times New Roman" w:cs="Times New Roman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444D9C4">
            <w:pPr>
              <w:jc w:val="center"/>
              <w:rPr>
                <w:rFonts w:hint="default" w:ascii="Times New Roman" w:hAnsi="Times New Roman" w:cs="Times New Roman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A27F183">
            <w:pPr>
              <w:jc w:val="center"/>
              <w:rPr>
                <w:rFonts w:hint="default" w:ascii="Times New Roman" w:hAnsi="Times New Roman" w:cs="Times New Roman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EE6DF19">
            <w:pPr>
              <w:jc w:val="center"/>
              <w:rPr>
                <w:rFonts w:hint="default" w:ascii="Times New Roman" w:hAnsi="Times New Roman" w:cs="Times New Roman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D0F6D0A">
            <w:pPr>
              <w:jc w:val="center"/>
              <w:rPr>
                <w:rFonts w:hint="default" w:ascii="Times New Roman" w:hAnsi="Times New Roman" w:cs="Times New Roman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3AB9180">
            <w:pPr>
              <w:jc w:val="center"/>
              <w:rPr>
                <w:rFonts w:hint="default" w:ascii="Times New Roman" w:hAnsi="Times New Roman" w:cs="Times New Roman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D7386E9">
            <w:pPr>
              <w:jc w:val="center"/>
              <w:rPr>
                <w:rFonts w:hint="default" w:ascii="Times New Roman" w:hAnsi="Times New Roman" w:cs="Times New Roman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3470B1D">
            <w:pPr>
              <w:jc w:val="center"/>
              <w:rPr>
                <w:rFonts w:hint="default" w:ascii="Times New Roman" w:hAnsi="Times New Roman" w:cs="Times New Roman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lang w:val="en-US" w:eastAsia="zh-CN"/>
              </w:rPr>
              <w:t>0</w:t>
            </w:r>
          </w:p>
        </w:tc>
        <w:tc>
          <w:tcPr>
            <w:tcW w:w="6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931F783">
            <w:pPr>
              <w:jc w:val="center"/>
              <w:rPr>
                <w:rFonts w:hint="default" w:ascii="Times New Roman" w:hAnsi="Times New Roman" w:cs="Times New Roman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lang w:val="en-US" w:eastAsia="zh-CN"/>
              </w:rPr>
              <w:t>0</w:t>
            </w:r>
          </w:p>
        </w:tc>
        <w:tc>
          <w:tcPr>
            <w:tcW w:w="6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9807CB3">
            <w:pPr>
              <w:jc w:val="center"/>
              <w:rPr>
                <w:rFonts w:hint="default" w:ascii="Times New Roman" w:hAnsi="Times New Roman" w:cs="Times New Roman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lang w:val="en-US" w:eastAsia="zh-CN"/>
              </w:rPr>
              <w:t>0</w:t>
            </w:r>
          </w:p>
        </w:tc>
      </w:tr>
    </w:tbl>
    <w:p w14:paraId="45B2DBA2">
      <w:pPr>
        <w:widowControl/>
        <w:jc w:val="left"/>
        <w:rPr>
          <w:rFonts w:hint="default" w:ascii="Times New Roman" w:hAnsi="Times New Roman" w:eastAsia="仿宋_GB2312" w:cs="Times New Roman"/>
          <w:color w:val="auto"/>
          <w:kern w:val="0"/>
          <w:szCs w:val="21"/>
          <w:lang w:val="en-US" w:eastAsia="zh-CN"/>
        </w:rPr>
      </w:pPr>
    </w:p>
    <w:p w14:paraId="6C55D6BE">
      <w:pPr>
        <w:keepNext w:val="0"/>
        <w:keepLines w:val="0"/>
        <w:pageBreakBefore w:val="0"/>
        <w:widowControl/>
        <w:numPr>
          <w:ilvl w:val="0"/>
          <w:numId w:val="1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textAlignment w:val="auto"/>
        <w:rPr>
          <w:rFonts w:hint="default" w:ascii="Times New Roman" w:hAnsi="Times New Roman" w:eastAsia="黑体" w:cs="Times New Roman"/>
          <w:b w:val="0"/>
          <w:bCs/>
          <w:i w:val="0"/>
          <w:caps w:val="0"/>
          <w:color w:val="auto"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default" w:ascii="Times New Roman" w:hAnsi="Times New Roman" w:eastAsia="黑体" w:cs="Times New Roman"/>
          <w:b w:val="0"/>
          <w:bCs/>
          <w:i w:val="0"/>
          <w:caps w:val="0"/>
          <w:color w:val="auto"/>
          <w:spacing w:val="0"/>
          <w:kern w:val="0"/>
          <w:sz w:val="32"/>
          <w:szCs w:val="32"/>
          <w:shd w:val="clear" w:fill="FFFFFF"/>
          <w:lang w:val="en-US" w:eastAsia="zh-CN" w:bidi="ar"/>
        </w:rPr>
        <w:t>存在的主要问题及改进情况</w:t>
      </w:r>
    </w:p>
    <w:p w14:paraId="5A274427"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textAlignment w:val="auto"/>
        <w:rPr>
          <w:rFonts w:hint="default" w:ascii="Times New Roman" w:hAnsi="Times New Roman" w:eastAsia="仿宋_GB2312" w:cs="仿宋_GB2312"/>
          <w:i w:val="0"/>
          <w:caps w:val="0"/>
          <w:color w:val="auto"/>
          <w:spacing w:val="0"/>
          <w:kern w:val="2"/>
          <w:sz w:val="32"/>
          <w:szCs w:val="32"/>
          <w:u w:val="none"/>
          <w:shd w:val="clear" w:color="auto" w:fill="FFFFFF"/>
          <w:lang w:val="en-US" w:eastAsia="zh-CN" w:bidi="ar-SA"/>
        </w:rPr>
      </w:pPr>
      <w:r>
        <w:rPr>
          <w:rFonts w:hint="eastAsia" w:ascii="Times New Roman" w:hAnsi="Times New Roman" w:eastAsia="仿宋_GB2312" w:cs="仿宋_GB2312"/>
          <w:i w:val="0"/>
          <w:caps w:val="0"/>
          <w:color w:val="auto"/>
          <w:spacing w:val="0"/>
          <w:kern w:val="2"/>
          <w:sz w:val="32"/>
          <w:szCs w:val="32"/>
          <w:u w:val="none"/>
          <w:shd w:val="clear" w:color="auto" w:fill="FFFFFF"/>
          <w:lang w:val="en-US" w:eastAsia="zh-CN" w:bidi="ar-SA"/>
        </w:rPr>
        <w:t>2025年度，环翠区政务公开工作质效显著提升，但对照国家、省、市关于政务公开工作各项部署要求，还存在一些问题和不足，具体情况如下：</w:t>
      </w:r>
    </w:p>
    <w:p w14:paraId="35B571A4">
      <w:pPr>
        <w:keepNext w:val="0"/>
        <w:keepLines w:val="0"/>
        <w:pageBreakBefore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textAlignment w:val="auto"/>
        <w:rPr>
          <w:rFonts w:hint="eastAsia" w:ascii="Times New Roman" w:hAnsi="Times New Roman" w:eastAsia="仿宋_GB2312" w:cs="Times New Roman"/>
          <w:color w:val="auto"/>
          <w:sz w:val="32"/>
          <w:szCs w:val="32"/>
          <w:highlight w:val="none"/>
          <w:lang w:val="en-US" w:eastAsia="zh-CN"/>
        </w:rPr>
      </w:pPr>
      <w:r>
        <w:rPr>
          <w:rFonts w:hint="eastAsia" w:ascii="Times New Roman" w:hAnsi="Times New Roman" w:eastAsia="楷体_GB2312" w:cs="Times New Roman"/>
          <w:color w:val="auto"/>
          <w:sz w:val="32"/>
          <w:szCs w:val="32"/>
          <w:highlight w:val="none"/>
          <w:lang w:val="en-US" w:eastAsia="zh-CN"/>
        </w:rPr>
        <w:t>（一）</w:t>
      </w:r>
      <w:r>
        <w:rPr>
          <w:rFonts w:hint="default" w:ascii="Times New Roman" w:hAnsi="Times New Roman" w:eastAsia="楷体_GB2312" w:cs="Times New Roman"/>
          <w:color w:val="auto"/>
          <w:sz w:val="32"/>
          <w:szCs w:val="32"/>
          <w:highlight w:val="none"/>
          <w:lang w:val="en-US" w:eastAsia="zh-CN"/>
        </w:rPr>
        <w:t>存在问题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highlight w:val="none"/>
          <w:lang w:val="en-US" w:eastAsia="zh-CN"/>
        </w:rPr>
        <w:t>。一是政府门户网站已公开信息动态清理机制有待完善。二是政策宣传解读形式仍有优化和创新空间。三是政务公开工作人员业务能力有待进一步提升。</w:t>
      </w:r>
    </w:p>
    <w:p w14:paraId="29D2AD1D">
      <w:pPr>
        <w:keepNext w:val="0"/>
        <w:keepLines w:val="0"/>
        <w:pageBreakBefore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strike/>
          <w:dstrike w:val="0"/>
          <w:color w:val="auto"/>
          <w:sz w:val="32"/>
          <w:szCs w:val="32"/>
          <w:highlight w:val="none"/>
          <w:lang w:val="en-US" w:eastAsia="zh-CN"/>
        </w:rPr>
      </w:pPr>
      <w:r>
        <w:rPr>
          <w:rFonts w:hint="eastAsia" w:ascii="Times New Roman" w:hAnsi="Times New Roman" w:eastAsia="楷体_GB2312" w:cs="Times New Roman"/>
          <w:color w:val="auto"/>
          <w:sz w:val="32"/>
          <w:szCs w:val="32"/>
          <w:highlight w:val="none"/>
          <w:lang w:val="en-US" w:eastAsia="zh-CN"/>
        </w:rPr>
        <w:t>（二）改进措施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highlight w:val="none"/>
          <w:lang w:val="en-US" w:eastAsia="zh-CN"/>
        </w:rPr>
        <w:t>。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lang w:val="en-US" w:eastAsia="zh-CN"/>
        </w:rPr>
        <w:t>一是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highlight w:val="none"/>
          <w:lang w:val="en-US" w:eastAsia="zh-CN"/>
        </w:rPr>
        <w:t>加强已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lang w:val="en-US" w:eastAsia="zh-CN"/>
        </w:rPr>
        <w:t>公开信息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highlight w:val="none"/>
          <w:lang w:val="en-US" w:eastAsia="zh-CN"/>
        </w:rPr>
        <w:t>审查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lang w:val="en-US" w:eastAsia="zh-CN"/>
        </w:rPr>
        <w:t>清理。组织各镇街、各部门根据法律法规规定，全面梳理确定本行业本领域法定公开事项，重点厘清信息公开责任主体，明确公开内容、政策依据及存续时限，对已公开的信息进行定期评估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highlight w:val="none"/>
          <w:lang w:val="en-US" w:eastAsia="zh-CN"/>
        </w:rPr>
        <w:t>，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lang w:val="en-US" w:eastAsia="zh-CN"/>
        </w:rPr>
        <w:t>对过时、无效或不再需要公开的信息进行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highlight w:val="none"/>
          <w:lang w:val="en-US" w:eastAsia="zh-CN"/>
        </w:rPr>
        <w:t>动态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lang w:val="en-US" w:eastAsia="zh-CN"/>
        </w:rPr>
        <w:t>清理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highlight w:val="none"/>
          <w:lang w:val="en-US" w:eastAsia="zh-CN"/>
        </w:rPr>
        <w:t>，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lang w:val="en-US" w:eastAsia="zh-CN"/>
        </w:rPr>
        <w:t>确保公开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highlight w:val="none"/>
          <w:lang w:val="en-US" w:eastAsia="zh-CN"/>
        </w:rPr>
        <w:t>信息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lang w:val="en-US" w:eastAsia="zh-CN"/>
        </w:rPr>
        <w:t>精准规范，公开内容鲜活有效。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highlight w:val="none"/>
          <w:lang w:val="en-US" w:eastAsia="zh-CN"/>
        </w:rPr>
        <w:t>二是加强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lang w:val="en-US" w:eastAsia="zh-CN"/>
        </w:rPr>
        <w:t>政策宣传解读。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highlight w:val="none"/>
          <w:lang w:val="en-US" w:eastAsia="zh-CN"/>
        </w:rPr>
        <w:t>以群众需求为根本导向，指导各部门、各镇街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lang w:val="en-US" w:eastAsia="zh-CN"/>
        </w:rPr>
        <w:t>推进重要政策解读和政策制定工作同步考虑、同步发布，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highlight w:val="none"/>
          <w:lang w:val="en-US" w:eastAsia="zh-CN"/>
        </w:rPr>
        <w:t>着力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lang w:val="en-US" w:eastAsia="zh-CN"/>
        </w:rPr>
        <w:t>丰富解读内容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highlight w:val="none"/>
          <w:lang w:val="en-US" w:eastAsia="zh-CN"/>
        </w:rPr>
        <w:t>，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lang w:val="en-US" w:eastAsia="zh-CN"/>
        </w:rPr>
        <w:t>创新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highlight w:val="none"/>
          <w:lang w:val="en-US" w:eastAsia="zh-CN"/>
        </w:rPr>
        <w:t>多元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lang w:val="en-US" w:eastAsia="zh-CN"/>
        </w:rPr>
        <w:t>解读形式，注重运用图解、音视频等形式提升解读效果，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highlight w:val="none"/>
          <w:lang w:val="en-US" w:eastAsia="zh-CN"/>
        </w:rPr>
        <w:t>确保政策解读材料专业深刻、通俗易懂。三是加强政务公开业务培训。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lang w:val="en-US" w:eastAsia="zh-CN"/>
        </w:rPr>
        <w:t>聚焦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highlight w:val="none"/>
          <w:lang w:val="en-US" w:eastAsia="zh-CN"/>
        </w:rPr>
        <w:t>主动公开与解读回应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lang w:val="en-US" w:eastAsia="zh-CN"/>
        </w:rPr>
        <w:t>、依申请公开办理、文件库管理等核心业务，组织开展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highlight w:val="none"/>
          <w:lang w:val="en-US" w:eastAsia="zh-CN"/>
        </w:rPr>
        <w:t>针对性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lang w:val="en-US" w:eastAsia="zh-CN"/>
        </w:rPr>
        <w:t>专题培训，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highlight w:val="none"/>
          <w:lang w:val="en-US" w:eastAsia="zh-CN"/>
        </w:rPr>
        <w:t>不断提升全区政务公开工作人员业务能力与水平。</w:t>
      </w:r>
      <w:r>
        <w:rPr>
          <w:rFonts w:hint="eastAsia" w:ascii="Times New Roman" w:hAnsi="Times New Roman" w:eastAsia="仿宋_GB2312" w:cs="Times New Roman"/>
          <w:strike w:val="0"/>
          <w:dstrike w:val="0"/>
          <w:color w:val="auto"/>
          <w:sz w:val="32"/>
          <w:szCs w:val="32"/>
          <w:highlight w:val="none"/>
          <w:lang w:val="en-US" w:eastAsia="zh-CN"/>
        </w:rPr>
        <w:t>同时，进一步</w:t>
      </w:r>
      <w:r>
        <w:rPr>
          <w:rFonts w:hint="default" w:ascii="Times New Roman" w:hAnsi="Times New Roman" w:eastAsia="仿宋_GB2312" w:cs="Times New Roman"/>
          <w:strike w:val="0"/>
          <w:dstrike w:val="0"/>
          <w:color w:val="auto"/>
          <w:sz w:val="32"/>
          <w:szCs w:val="32"/>
          <w:highlight w:val="none"/>
          <w:lang w:val="en-US" w:eastAsia="zh-CN"/>
        </w:rPr>
        <w:t>完善工作人员工作交接机制，梳理</w:t>
      </w:r>
      <w:r>
        <w:rPr>
          <w:rFonts w:hint="eastAsia" w:ascii="Times New Roman" w:hAnsi="Times New Roman" w:eastAsia="仿宋_GB2312" w:cs="Times New Roman"/>
          <w:strike w:val="0"/>
          <w:dstrike w:val="0"/>
          <w:color w:val="auto"/>
          <w:sz w:val="32"/>
          <w:szCs w:val="32"/>
          <w:highlight w:val="none"/>
          <w:lang w:val="en-US" w:eastAsia="zh-CN"/>
        </w:rPr>
        <w:t>形成</w:t>
      </w:r>
      <w:r>
        <w:rPr>
          <w:rFonts w:hint="default" w:ascii="Times New Roman" w:hAnsi="Times New Roman" w:eastAsia="仿宋_GB2312" w:cs="Times New Roman"/>
          <w:strike w:val="0"/>
          <w:dstrike w:val="0"/>
          <w:color w:val="auto"/>
          <w:sz w:val="32"/>
          <w:szCs w:val="32"/>
          <w:highlight w:val="none"/>
          <w:lang w:val="en-US" w:eastAsia="zh-CN"/>
        </w:rPr>
        <w:t>通用化的</w:t>
      </w:r>
      <w:r>
        <w:rPr>
          <w:rFonts w:hint="eastAsia" w:ascii="Times New Roman" w:hAnsi="Times New Roman" w:eastAsia="仿宋_GB2312" w:cs="Times New Roman"/>
          <w:strike w:val="0"/>
          <w:dstrike w:val="0"/>
          <w:color w:val="auto"/>
          <w:sz w:val="32"/>
          <w:szCs w:val="32"/>
          <w:highlight w:val="none"/>
          <w:lang w:val="en-US" w:eastAsia="zh-CN"/>
        </w:rPr>
        <w:t>政务公开</w:t>
      </w:r>
      <w:r>
        <w:rPr>
          <w:rFonts w:hint="default" w:ascii="Times New Roman" w:hAnsi="Times New Roman" w:eastAsia="仿宋_GB2312" w:cs="Times New Roman"/>
          <w:strike w:val="0"/>
          <w:dstrike w:val="0"/>
          <w:color w:val="auto"/>
          <w:sz w:val="32"/>
          <w:szCs w:val="32"/>
          <w:highlight w:val="none"/>
          <w:lang w:val="en-US" w:eastAsia="zh-CN"/>
        </w:rPr>
        <w:t>工作注意事项，明确</w:t>
      </w:r>
      <w:r>
        <w:rPr>
          <w:rFonts w:hint="eastAsia" w:ascii="Times New Roman" w:hAnsi="Times New Roman" w:eastAsia="仿宋_GB2312" w:cs="Times New Roman"/>
          <w:strike w:val="0"/>
          <w:dstrike w:val="0"/>
          <w:color w:val="auto"/>
          <w:sz w:val="32"/>
          <w:szCs w:val="32"/>
          <w:highlight w:val="none"/>
          <w:lang w:val="en-US" w:eastAsia="zh-CN"/>
        </w:rPr>
        <w:t>工作</w:t>
      </w:r>
      <w:r>
        <w:rPr>
          <w:rFonts w:hint="default" w:ascii="Times New Roman" w:hAnsi="Times New Roman" w:eastAsia="仿宋_GB2312" w:cs="Times New Roman"/>
          <w:strike w:val="0"/>
          <w:dstrike w:val="0"/>
          <w:color w:val="auto"/>
          <w:sz w:val="32"/>
          <w:szCs w:val="32"/>
          <w:highlight w:val="none"/>
          <w:lang w:val="en-US" w:eastAsia="zh-CN"/>
        </w:rPr>
        <w:t>要求，为业务开展提供清晰指引</w:t>
      </w:r>
      <w:r>
        <w:rPr>
          <w:rFonts w:hint="eastAsia" w:ascii="Times New Roman" w:hAnsi="Times New Roman" w:eastAsia="仿宋_GB2312" w:cs="Times New Roman"/>
          <w:strike w:val="0"/>
          <w:dstrike w:val="0"/>
          <w:color w:val="auto"/>
          <w:sz w:val="32"/>
          <w:szCs w:val="32"/>
          <w:highlight w:val="none"/>
          <w:lang w:val="en-US" w:eastAsia="zh-CN"/>
        </w:rPr>
        <w:t>，</w:t>
      </w:r>
      <w:r>
        <w:rPr>
          <w:rFonts w:hint="default" w:ascii="Times New Roman" w:hAnsi="Times New Roman" w:eastAsia="仿宋_GB2312" w:cs="Times New Roman"/>
          <w:strike w:val="0"/>
          <w:dstrike w:val="0"/>
          <w:color w:val="auto"/>
          <w:sz w:val="32"/>
          <w:szCs w:val="32"/>
          <w:highlight w:val="none"/>
          <w:lang w:val="en-US" w:eastAsia="zh-CN"/>
        </w:rPr>
        <w:t>避免工作</w:t>
      </w:r>
      <w:r>
        <w:rPr>
          <w:rFonts w:hint="eastAsia" w:ascii="Times New Roman" w:hAnsi="Times New Roman" w:eastAsia="仿宋_GB2312" w:cs="Times New Roman"/>
          <w:strike w:val="0"/>
          <w:dstrike w:val="0"/>
          <w:color w:val="auto"/>
          <w:sz w:val="32"/>
          <w:szCs w:val="32"/>
          <w:highlight w:val="none"/>
          <w:lang w:val="en-US" w:eastAsia="zh-CN"/>
        </w:rPr>
        <w:t>交接</w:t>
      </w:r>
      <w:r>
        <w:rPr>
          <w:rFonts w:hint="default" w:ascii="Times New Roman" w:hAnsi="Times New Roman" w:eastAsia="仿宋_GB2312" w:cs="Times New Roman"/>
          <w:strike w:val="0"/>
          <w:dstrike w:val="0"/>
          <w:color w:val="auto"/>
          <w:sz w:val="32"/>
          <w:szCs w:val="32"/>
          <w:highlight w:val="none"/>
          <w:lang w:val="en-US" w:eastAsia="zh-CN"/>
        </w:rPr>
        <w:t>断档脱节。</w:t>
      </w:r>
    </w:p>
    <w:p w14:paraId="478EE5A2">
      <w:pPr>
        <w:keepNext w:val="0"/>
        <w:keepLines w:val="0"/>
        <w:pageBreakBefore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textAlignment w:val="auto"/>
        <w:rPr>
          <w:rFonts w:hint="default" w:ascii="Times New Roman" w:hAnsi="Times New Roman" w:eastAsia="黑体" w:cs="Times New Roman"/>
          <w:b w:val="0"/>
          <w:bCs/>
          <w:i w:val="0"/>
          <w:caps w:val="0"/>
          <w:color w:val="auto"/>
          <w:spacing w:val="0"/>
          <w:kern w:val="0"/>
          <w:sz w:val="32"/>
          <w:szCs w:val="32"/>
          <w:highlight w:val="none"/>
          <w:shd w:val="clear" w:fill="FFFFFF"/>
          <w:lang w:val="en-US" w:eastAsia="zh-CN" w:bidi="ar"/>
        </w:rPr>
      </w:pPr>
      <w:r>
        <w:rPr>
          <w:rFonts w:hint="default" w:ascii="Times New Roman" w:hAnsi="Times New Roman" w:eastAsia="黑体" w:cs="Times New Roman"/>
          <w:b w:val="0"/>
          <w:bCs/>
          <w:i w:val="0"/>
          <w:caps w:val="0"/>
          <w:color w:val="auto"/>
          <w:spacing w:val="0"/>
          <w:kern w:val="0"/>
          <w:sz w:val="32"/>
          <w:szCs w:val="32"/>
          <w:highlight w:val="none"/>
          <w:shd w:val="clear" w:fill="FFFFFF"/>
          <w:lang w:val="en-US" w:eastAsia="zh-CN" w:bidi="ar"/>
        </w:rPr>
        <w:t>六、其他需要报告的事项</w:t>
      </w:r>
    </w:p>
    <w:p w14:paraId="3334E0F0">
      <w:pPr>
        <w:keepNext w:val="0"/>
        <w:keepLines w:val="0"/>
        <w:pageBreakBefore w:val="0"/>
        <w:widowControl w:val="0"/>
        <w:suppressLineNumbers w:val="0"/>
        <w:shd w:val="clear"/>
        <w:kinsoku/>
        <w:wordWrap/>
        <w:overflowPunct/>
        <w:topLinePunct w:val="0"/>
        <w:autoSpaceDE w:val="0"/>
        <w:autoSpaceDN/>
        <w:bidi w:val="0"/>
        <w:adjustRightInd/>
        <w:snapToGrid/>
        <w:spacing w:beforeAutospacing="0" w:afterAutospacing="0" w:line="560" w:lineRule="exact"/>
        <w:ind w:left="0" w:right="0" w:firstLine="645"/>
        <w:jc w:val="both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u w:val="single"/>
          <w:lang w:val="en-US" w:eastAsia="zh-CN"/>
        </w:rPr>
      </w:pPr>
      <w:r>
        <w:rPr>
          <w:rFonts w:hint="default" w:ascii="Times New Roman" w:hAnsi="Times New Roman" w:cs="Times New Roman"/>
          <w:color w:val="auto"/>
          <w:sz w:val="32"/>
          <w:szCs w:val="32"/>
          <w:highlight w:val="none"/>
        </w:rPr>
        <w:t>1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  <w:t>.</w:t>
      </w:r>
      <w:r>
        <w:rPr>
          <w:rFonts w:hint="default" w:ascii="Times New Roman" w:hAnsi="Times New Roman" w:eastAsia="楷体_GB2312" w:cs="Times New Roman"/>
          <w:color w:val="auto"/>
          <w:sz w:val="32"/>
          <w:szCs w:val="32"/>
          <w:highlight w:val="none"/>
        </w:rPr>
        <w:t>政府信息公开收费方面：</w:t>
      </w:r>
      <w:r>
        <w:rPr>
          <w:rFonts w:hint="eastAsia" w:ascii="Times New Roman" w:hAnsi="Times New Roman" w:eastAsia="楷体_GB2312" w:cs="Times New Roman"/>
          <w:color w:val="auto"/>
          <w:sz w:val="32"/>
          <w:szCs w:val="32"/>
          <w:highlight w:val="none"/>
          <w:lang w:eastAsia="zh-CN"/>
        </w:rPr>
        <w:t>2025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  <w:t>年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lang w:val="en-US" w:eastAsia="zh-CN"/>
        </w:rPr>
        <w:t>威海市环翠区所有部门和单位均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  <w:t>未收取政府信息公开信息处理费。</w:t>
      </w:r>
    </w:p>
    <w:p w14:paraId="4A164F95">
      <w:pPr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Autospacing="0" w:afterAutospacing="0" w:line="560" w:lineRule="exact"/>
        <w:ind w:left="0" w:firstLine="645"/>
        <w:jc w:val="both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lang w:val="en-US" w:eastAsia="zh-CN"/>
        </w:rPr>
      </w:pPr>
      <w:r>
        <w:rPr>
          <w:rFonts w:hint="default" w:ascii="Times New Roman" w:hAnsi="Times New Roman" w:cs="Times New Roman"/>
          <w:color w:val="auto"/>
          <w:sz w:val="32"/>
          <w:szCs w:val="32"/>
          <w:highlight w:val="none"/>
        </w:rPr>
        <w:t>2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  <w:t>.</w:t>
      </w:r>
      <w:r>
        <w:rPr>
          <w:rFonts w:hint="default" w:ascii="Times New Roman" w:hAnsi="Times New Roman" w:eastAsia="楷体_GB2312" w:cs="Times New Roman"/>
          <w:color w:val="auto"/>
          <w:sz w:val="32"/>
          <w:szCs w:val="32"/>
          <w:highlight w:val="none"/>
        </w:rPr>
        <w:t>人大代表、政协委员提案办理方面：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highlight w:val="none"/>
          <w:lang w:val="en-US" w:eastAsia="zh-CN"/>
        </w:rPr>
        <w:t>2025年，共收到需我区办理的人大代表建议、政协委员提案191件，其中区级人大代表建议42件，区级政协委员提案147件，市级人大代表建议1件，市级政协委员提案1件。在市、区人大、政协的监督、支持和指导下，在各承办单位和经办人员的共同努力下，截至8月底，人大代表建议、政协委员提案已全部落实，面复率及满意率均为100%。</w:t>
      </w:r>
    </w:p>
    <w:p w14:paraId="012D62F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6" w:firstLineChars="202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lang w:val="en-US" w:eastAsia="zh-CN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lang w:val="en-US" w:eastAsia="zh-CN"/>
        </w:rPr>
        <w:t>3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  <w:t>.</w:t>
      </w:r>
      <w:r>
        <w:rPr>
          <w:rFonts w:hint="default" w:ascii="Times New Roman" w:hAnsi="Times New Roman" w:eastAsia="楷体_GB2312" w:cs="Times New Roman"/>
          <w:color w:val="auto"/>
          <w:sz w:val="32"/>
          <w:szCs w:val="32"/>
          <w:highlight w:val="none"/>
        </w:rPr>
        <w:t>落实上级政务公开要点做法：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lang w:eastAsia="zh-CN"/>
        </w:rPr>
        <w:t>严格落实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</w:rPr>
        <w:t>省、市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highlight w:val="none"/>
          <w:lang w:eastAsia="zh-CN"/>
        </w:rPr>
        <w:t>2025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lang w:eastAsia="zh-CN"/>
        </w:rPr>
        <w:t>年度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</w:rPr>
        <w:t>政务公开工作要点要求，结合区委、区政府重点工作，</w:t>
      </w:r>
      <w:r>
        <w:rPr>
          <w:rFonts w:hint="default" w:ascii="Times New Roman" w:hAnsi="Times New Roman" w:eastAsia="仿宋_GB2312" w:cs="Times New Roman"/>
          <w:color w:val="auto"/>
          <w:kern w:val="0"/>
          <w:sz w:val="32"/>
          <w:szCs w:val="32"/>
          <w:highlight w:val="none"/>
          <w:lang w:val="en-US" w:eastAsia="zh-CN" w:bidi="ar"/>
        </w:rPr>
        <w:t>制定环翠区</w:t>
      </w:r>
      <w:r>
        <w:rPr>
          <w:rFonts w:hint="eastAsia" w:ascii="Times New Roman" w:hAnsi="Times New Roman" w:eastAsia="仿宋_GB2312" w:cs="Times New Roman"/>
          <w:color w:val="auto"/>
          <w:kern w:val="0"/>
          <w:sz w:val="32"/>
          <w:szCs w:val="32"/>
          <w:highlight w:val="none"/>
          <w:lang w:val="en-US" w:eastAsia="zh-CN" w:bidi="ar"/>
        </w:rPr>
        <w:t>2025</w:t>
      </w:r>
      <w:r>
        <w:rPr>
          <w:rFonts w:hint="default" w:ascii="Times New Roman" w:hAnsi="Times New Roman" w:eastAsia="仿宋_GB2312" w:cs="Times New Roman"/>
          <w:color w:val="auto"/>
          <w:kern w:val="0"/>
          <w:sz w:val="32"/>
          <w:szCs w:val="32"/>
          <w:highlight w:val="none"/>
          <w:lang w:val="en-US" w:eastAsia="zh-CN" w:bidi="ar"/>
        </w:rPr>
        <w:t>年度政务公开重点工作及责任分工方案，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</w:rPr>
        <w:t>明确了全年政务公开工作重点任务、目标要求、完成时限和责任部门，围绕群众关心关注的重点领域，持续强化政府门户网站和政务新媒体建设与监管，深入推进主动公开与解读回应，全力做好依申请公开办理，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lang w:eastAsia="zh-CN"/>
        </w:rPr>
        <w:t>政府信息公开质效显著提升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</w:rPr>
        <w:t>。</w:t>
      </w:r>
    </w:p>
    <w:sectPr>
      <w:pgSz w:w="11906" w:h="16838"/>
      <w:pgMar w:top="1701" w:right="1417" w:bottom="1701" w:left="141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AC8BF896-37F0-42D2-90FA-98E2F4B446CF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  <w:embedRegular r:id="rId2" w:fontKey="{9DC13378-B1C1-4244-894E-360EF69C0D61}"/>
  </w:font>
  <w:font w:name="文星简小标宋">
    <w:panose1 w:val="02010609000101010101"/>
    <w:charset w:val="00"/>
    <w:family w:val="auto"/>
    <w:pitch w:val="default"/>
    <w:sig w:usb0="00000000" w:usb1="00000000" w:usb2="00000000" w:usb3="00000000" w:csb0="0000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  <w:embedRegular r:id="rId3" w:fontKey="{4F123313-BCF0-4930-88B8-E5D34E27D8F1}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  <w:embedRegular r:id="rId4" w:fontKey="{BE8FC7D9-1D8A-4B44-B5BE-6506FAC03279}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2BEA31A8"/>
    <w:multiLevelType w:val="singleLevel"/>
    <w:tmpl w:val="2BEA31A8"/>
    <w:lvl w:ilvl="0" w:tentative="0">
      <w:start w:val="5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doNotDisplayPageBoundaries w:val="1"/>
  <w:embedTrueTypeFonts/>
  <w:saveSubset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DczZmYxYmQwMWRiNjMxNjU0MjJjNGUxOWM4MjZkNmMifQ=="/>
    <w:docVar w:name="KSO_WPS_MARK_KEY" w:val="44139414-246c-4301-8552-6baef459915a"/>
  </w:docVars>
  <w:rsids>
    <w:rsidRoot w:val="11AF18C8"/>
    <w:rsid w:val="0095088C"/>
    <w:rsid w:val="012D51C9"/>
    <w:rsid w:val="01C4531A"/>
    <w:rsid w:val="076C5D57"/>
    <w:rsid w:val="088A61B1"/>
    <w:rsid w:val="08D157AC"/>
    <w:rsid w:val="09D21BBD"/>
    <w:rsid w:val="0D2C7836"/>
    <w:rsid w:val="0D9F31AB"/>
    <w:rsid w:val="0F3D6E42"/>
    <w:rsid w:val="10AFA3C6"/>
    <w:rsid w:val="11AF18C8"/>
    <w:rsid w:val="11F56D91"/>
    <w:rsid w:val="133256D6"/>
    <w:rsid w:val="13E12516"/>
    <w:rsid w:val="14AD74AF"/>
    <w:rsid w:val="15D73BEB"/>
    <w:rsid w:val="166013EE"/>
    <w:rsid w:val="16821CF2"/>
    <w:rsid w:val="17AA04ED"/>
    <w:rsid w:val="1A6A77C7"/>
    <w:rsid w:val="1AA47505"/>
    <w:rsid w:val="1BB966A7"/>
    <w:rsid w:val="1BDD9AC2"/>
    <w:rsid w:val="1CB174D9"/>
    <w:rsid w:val="1DAF245D"/>
    <w:rsid w:val="1ED4E863"/>
    <w:rsid w:val="1EDDB58B"/>
    <w:rsid w:val="201A18F4"/>
    <w:rsid w:val="20390128"/>
    <w:rsid w:val="20BF284A"/>
    <w:rsid w:val="212C57D3"/>
    <w:rsid w:val="21E9640B"/>
    <w:rsid w:val="23F7FD1E"/>
    <w:rsid w:val="25B73564"/>
    <w:rsid w:val="25E43DAA"/>
    <w:rsid w:val="27A7F8F7"/>
    <w:rsid w:val="289625EF"/>
    <w:rsid w:val="29BF2662"/>
    <w:rsid w:val="29F77E41"/>
    <w:rsid w:val="2A9A5A45"/>
    <w:rsid w:val="2C7A1F15"/>
    <w:rsid w:val="2D6913B6"/>
    <w:rsid w:val="2DF357BC"/>
    <w:rsid w:val="35B86354"/>
    <w:rsid w:val="35BBCE07"/>
    <w:rsid w:val="35F332F8"/>
    <w:rsid w:val="36241E36"/>
    <w:rsid w:val="37DA7D0B"/>
    <w:rsid w:val="3813421A"/>
    <w:rsid w:val="38DF050A"/>
    <w:rsid w:val="39524831"/>
    <w:rsid w:val="3AA12D62"/>
    <w:rsid w:val="3BB645EB"/>
    <w:rsid w:val="3C2B4FD9"/>
    <w:rsid w:val="3CB02FDD"/>
    <w:rsid w:val="3D8C645F"/>
    <w:rsid w:val="3DBB1538"/>
    <w:rsid w:val="3DF144D8"/>
    <w:rsid w:val="3E173A67"/>
    <w:rsid w:val="3EDE3670"/>
    <w:rsid w:val="3F4DACDC"/>
    <w:rsid w:val="3F6FD98E"/>
    <w:rsid w:val="3F7F67F8"/>
    <w:rsid w:val="3F7F6D07"/>
    <w:rsid w:val="3F7FB252"/>
    <w:rsid w:val="3F96BB59"/>
    <w:rsid w:val="3FA02FAC"/>
    <w:rsid w:val="40307062"/>
    <w:rsid w:val="41105CD2"/>
    <w:rsid w:val="41B051C6"/>
    <w:rsid w:val="45F005CE"/>
    <w:rsid w:val="464F74E8"/>
    <w:rsid w:val="48C937E8"/>
    <w:rsid w:val="48F84A93"/>
    <w:rsid w:val="492C5BF2"/>
    <w:rsid w:val="4977360C"/>
    <w:rsid w:val="49FC1D63"/>
    <w:rsid w:val="4A5B4CDC"/>
    <w:rsid w:val="4A8835F7"/>
    <w:rsid w:val="4B1227D4"/>
    <w:rsid w:val="4DE34C8F"/>
    <w:rsid w:val="4EEF1EC7"/>
    <w:rsid w:val="4EFF0AAD"/>
    <w:rsid w:val="4FB7609A"/>
    <w:rsid w:val="4FB97C87"/>
    <w:rsid w:val="511E6463"/>
    <w:rsid w:val="54F23AC6"/>
    <w:rsid w:val="56F344A5"/>
    <w:rsid w:val="57236B81"/>
    <w:rsid w:val="573C7C43"/>
    <w:rsid w:val="57DFF2AD"/>
    <w:rsid w:val="57F7CB4B"/>
    <w:rsid w:val="587A4EC7"/>
    <w:rsid w:val="593F140A"/>
    <w:rsid w:val="5B2F2252"/>
    <w:rsid w:val="5BD668B8"/>
    <w:rsid w:val="5BEB8C06"/>
    <w:rsid w:val="5C675D8D"/>
    <w:rsid w:val="5D7012B3"/>
    <w:rsid w:val="5DFFCC76"/>
    <w:rsid w:val="5F0C04A7"/>
    <w:rsid w:val="5F807B10"/>
    <w:rsid w:val="5FF7DF5A"/>
    <w:rsid w:val="62930ACC"/>
    <w:rsid w:val="657F7FC2"/>
    <w:rsid w:val="65FA5E5E"/>
    <w:rsid w:val="667E088B"/>
    <w:rsid w:val="68C9088B"/>
    <w:rsid w:val="6BE9EDC7"/>
    <w:rsid w:val="6C7C7FF0"/>
    <w:rsid w:val="6CCD4034"/>
    <w:rsid w:val="6DC52974"/>
    <w:rsid w:val="6DFB5EE1"/>
    <w:rsid w:val="6DFF7E7F"/>
    <w:rsid w:val="6E0334E4"/>
    <w:rsid w:val="6E7BD520"/>
    <w:rsid w:val="6F79C2E3"/>
    <w:rsid w:val="71147D32"/>
    <w:rsid w:val="723929E5"/>
    <w:rsid w:val="734745AE"/>
    <w:rsid w:val="735D9BAE"/>
    <w:rsid w:val="74B02D5E"/>
    <w:rsid w:val="763A5ADE"/>
    <w:rsid w:val="765F598B"/>
    <w:rsid w:val="76DFC777"/>
    <w:rsid w:val="76EF6178"/>
    <w:rsid w:val="77181135"/>
    <w:rsid w:val="773560F1"/>
    <w:rsid w:val="774C25A1"/>
    <w:rsid w:val="777DE940"/>
    <w:rsid w:val="77BF2AFE"/>
    <w:rsid w:val="77EE2D86"/>
    <w:rsid w:val="78564BB1"/>
    <w:rsid w:val="787E168D"/>
    <w:rsid w:val="797723BD"/>
    <w:rsid w:val="79B62A81"/>
    <w:rsid w:val="7A4F3728"/>
    <w:rsid w:val="7AB7018A"/>
    <w:rsid w:val="7B9EDBC2"/>
    <w:rsid w:val="7BFC1E22"/>
    <w:rsid w:val="7CBD6867"/>
    <w:rsid w:val="7E2277F5"/>
    <w:rsid w:val="7E5F7E01"/>
    <w:rsid w:val="7EE7BDAE"/>
    <w:rsid w:val="7EEBC8D3"/>
    <w:rsid w:val="7F3CAD69"/>
    <w:rsid w:val="7F5D0D7A"/>
    <w:rsid w:val="7F6EE8CB"/>
    <w:rsid w:val="7F6F9F0F"/>
    <w:rsid w:val="7F8E3FA6"/>
    <w:rsid w:val="7FBF6702"/>
    <w:rsid w:val="7FBF920C"/>
    <w:rsid w:val="7FEB77C8"/>
    <w:rsid w:val="7FF3217F"/>
    <w:rsid w:val="7FFD43A1"/>
    <w:rsid w:val="7FFDE779"/>
    <w:rsid w:val="7FFFA0F3"/>
    <w:rsid w:val="9EDED553"/>
    <w:rsid w:val="A372CD94"/>
    <w:rsid w:val="B3F3D1F3"/>
    <w:rsid w:val="B971234D"/>
    <w:rsid w:val="BAFF6443"/>
    <w:rsid w:val="BBF76192"/>
    <w:rsid w:val="BBFEA941"/>
    <w:rsid w:val="BDFF55C8"/>
    <w:rsid w:val="BEDFFC4D"/>
    <w:rsid w:val="BFDDE84C"/>
    <w:rsid w:val="BFDF3F14"/>
    <w:rsid w:val="C9FE21B7"/>
    <w:rsid w:val="CFD98EC0"/>
    <w:rsid w:val="D2F33A17"/>
    <w:rsid w:val="D3A4FB44"/>
    <w:rsid w:val="D7BF5634"/>
    <w:rsid w:val="D7FA02D2"/>
    <w:rsid w:val="D7FCCB16"/>
    <w:rsid w:val="DCDB7306"/>
    <w:rsid w:val="DD1C77E4"/>
    <w:rsid w:val="DDCF9600"/>
    <w:rsid w:val="DEFB0488"/>
    <w:rsid w:val="DF650A46"/>
    <w:rsid w:val="DFFFAAD2"/>
    <w:rsid w:val="E6F70C2C"/>
    <w:rsid w:val="E76F8A15"/>
    <w:rsid w:val="EA5E9EE2"/>
    <w:rsid w:val="EB7FD6DC"/>
    <w:rsid w:val="ECE73626"/>
    <w:rsid w:val="EF9F5C5F"/>
    <w:rsid w:val="EFE2F066"/>
    <w:rsid w:val="EFFD1D4E"/>
    <w:rsid w:val="F379539C"/>
    <w:rsid w:val="F5FFAB39"/>
    <w:rsid w:val="F7F987AE"/>
    <w:rsid w:val="F7FD539A"/>
    <w:rsid w:val="F95F4281"/>
    <w:rsid w:val="FABFFB74"/>
    <w:rsid w:val="FAFADA71"/>
    <w:rsid w:val="FBBB773C"/>
    <w:rsid w:val="FBC7774C"/>
    <w:rsid w:val="FBDDA27E"/>
    <w:rsid w:val="FBEF23C2"/>
    <w:rsid w:val="FBFFE12A"/>
    <w:rsid w:val="FC56033C"/>
    <w:rsid w:val="FCEC549B"/>
    <w:rsid w:val="FD9F4B63"/>
    <w:rsid w:val="FDBF5553"/>
    <w:rsid w:val="FDDE5B78"/>
    <w:rsid w:val="FEDC211F"/>
    <w:rsid w:val="FF7C5EAB"/>
    <w:rsid w:val="FF7FDC53"/>
    <w:rsid w:val="FFBB2F58"/>
    <w:rsid w:val="FFBB93FD"/>
    <w:rsid w:val="FFBF3189"/>
    <w:rsid w:val="FFDE016B"/>
    <w:rsid w:val="FFDF6F5F"/>
    <w:rsid w:val="FFDF7FEB"/>
    <w:rsid w:val="FFF29D69"/>
    <w:rsid w:val="FFFFB8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styleId="2">
    <w:name w:val="heading 1"/>
    <w:basedOn w:val="1"/>
    <w:next w:val="1"/>
    <w:qFormat/>
    <w:uiPriority w:val="9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character" w:default="1" w:styleId="6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Title"/>
    <w:basedOn w:val="1"/>
    <w:next w:val="4"/>
    <w:qFormat/>
    <w:uiPriority w:val="0"/>
    <w:pPr>
      <w:jc w:val="center"/>
      <w:outlineLvl w:val="0"/>
    </w:pPr>
    <w:rPr>
      <w:rFonts w:ascii="Arial" w:hAnsi="Arial"/>
      <w:b/>
    </w:rPr>
  </w:style>
  <w:style w:type="paragraph" w:customStyle="1" w:styleId="4">
    <w:name w:val="文章附标题"/>
    <w:basedOn w:val="1"/>
    <w:next w:val="2"/>
    <w:qFormat/>
    <w:uiPriority w:val="0"/>
    <w:pPr>
      <w:spacing w:before="104" w:beforeLines="0" w:after="104" w:afterLines="0" w:line="0" w:lineRule="atLeast"/>
      <w:ind w:firstLine="0" w:firstLineChars="0"/>
      <w:jc w:val="center"/>
    </w:pPr>
    <w:rPr>
      <w:rFonts w:ascii="Calibri" w:hAnsi="Calibri" w:eastAsia="宋体" w:cs="Times New Roman"/>
      <w:sz w:val="36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6</Pages>
  <Words>3124</Words>
  <Characters>3303</Characters>
  <Lines>0</Lines>
  <Paragraphs>0</Paragraphs>
  <TotalTime>298</TotalTime>
  <ScaleCrop>false</ScaleCrop>
  <LinksUpToDate>false</LinksUpToDate>
  <CharactersWithSpaces>3303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2023-01-22T07:45:00Z</dcterms:created>
  <dc:creator>诗人与熊</dc:creator>
  <cp:lastModifiedBy>windxy</cp:lastModifiedBy>
  <cp:lastPrinted>2023-01-22T09:08:00Z</cp:lastPrinted>
  <dcterms:modified xsi:type="dcterms:W3CDTF">2026-02-27T08:04:42Z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D901C2F64D5D4129A461E8D77A49FEEA_13</vt:lpwstr>
  </property>
  <property fmtid="{D5CDD505-2E9C-101B-9397-08002B2CF9AE}" pid="4" name="KSOTemplateDocerSaveRecord">
    <vt:lpwstr>eyJoZGlkIjoiNjRlMDllMDQzMWZiYTE1MTMwYjUyYjQ4NTcyN2E3ZGEiLCJ1c2VySWQiOiI0NzAwMjE5ODQifQ==</vt:lpwstr>
  </property>
</Properties>
</file>