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pPr>
      <w:bookmarkStart w:id="10" w:name="_GoBack"/>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威海市环翠区</w:t>
      </w:r>
      <w:bookmarkEnd w:id="10"/>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信访局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2024年政府信息公开工作年度报告</w:t>
      </w: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3"/>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年威海市环翠区</w:t>
      </w:r>
      <w:r>
        <w:rPr>
          <w:rFonts w:hint="eastAsia" w:ascii="Times New Roman" w:hAnsi="Times New Roman" w:eastAsia="仿宋_GB2312" w:cs="Times New Roman"/>
          <w:color w:val="auto"/>
          <w:sz w:val="32"/>
          <w:szCs w:val="32"/>
          <w:lang w:val="en-US" w:eastAsia="zh-CN"/>
        </w:rPr>
        <w:t>信访局</w:t>
      </w:r>
      <w:r>
        <w:rPr>
          <w:rFonts w:hint="default" w:ascii="Times New Roman" w:hAnsi="Times New Roman" w:eastAsia="仿宋_GB2312" w:cs="Times New Roman"/>
          <w:color w:val="auto"/>
          <w:sz w:val="32"/>
          <w:szCs w:val="32"/>
        </w:rPr>
        <w:t>政府信息公开工作实际，编制发布本报告。</w:t>
      </w:r>
    </w:p>
    <w:p>
      <w:pPr>
        <w:keepNext w:val="0"/>
        <w:keepLines w:val="0"/>
        <w:pageBreakBefore w:val="0"/>
        <w:widowControl w:val="0"/>
        <w:kinsoku/>
        <w:wordWrap/>
        <w:overflowPunct/>
        <w:topLinePunct w:val="0"/>
        <w:autoSpaceDE/>
        <w:autoSpaceDN/>
        <w:bidi w:val="0"/>
        <w:adjustRightInd/>
        <w:snapToGrid/>
        <w:spacing w:line="560" w:lineRule="exact"/>
        <w:ind w:right="0" w:firstLine="640" w:firstLineChars="200"/>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eastAsia" w:ascii="Times New Roman" w:hAnsi="Times New Roman" w:eastAsia="仿宋_GB2312" w:cs="Times New Roman"/>
          <w:color w:val="auto"/>
          <w:sz w:val="32"/>
          <w:szCs w:val="32"/>
          <w:lang w:val="en-US" w:eastAsia="zh-CN"/>
        </w:rPr>
        <w:t>威海市环翠区人民政府网站</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000000"/>
          <w:sz w:val="32"/>
          <w:szCs w:val="32"/>
          <w:lang w:val="en-US" w:eastAsia="zh-CN"/>
        </w:rPr>
        <w:t>http://www.huancui.gov.cn/</w:t>
      </w:r>
      <w:r>
        <w:rPr>
          <w:rFonts w:hint="default" w:ascii="Times New Roman" w:hAnsi="Times New Roman" w:eastAsia="仿宋_GB2312" w:cs="Times New Roman"/>
          <w:color w:val="auto"/>
          <w:sz w:val="32"/>
          <w:szCs w:val="32"/>
        </w:rPr>
        <w:t>）下载。</w:t>
      </w:r>
      <w:r>
        <w:rPr>
          <w:rFonts w:hint="default" w:ascii="Times New Roman" w:hAnsi="Times New Roman" w:eastAsia="仿宋_GB2312" w:cs="Times New Roman"/>
          <w:color w:val="000000"/>
          <w:sz w:val="32"/>
          <w:szCs w:val="32"/>
          <w:lang w:val="en-US" w:eastAsia="zh-CN"/>
        </w:rPr>
        <w:t>如对本报告有疑问，请与威海市环翠区</w:t>
      </w:r>
      <w:r>
        <w:rPr>
          <w:rFonts w:hint="eastAsia" w:ascii="Times New Roman" w:hAnsi="Times New Roman" w:eastAsia="仿宋_GB2312" w:cs="Times New Roman"/>
          <w:color w:val="000000"/>
          <w:sz w:val="32"/>
          <w:szCs w:val="32"/>
          <w:lang w:val="en-US" w:eastAsia="zh-CN"/>
        </w:rPr>
        <w:t>信访局</w:t>
      </w:r>
      <w:r>
        <w:rPr>
          <w:rFonts w:hint="default" w:ascii="Times New Roman" w:hAnsi="Times New Roman" w:eastAsia="仿宋_GB2312" w:cs="Times New Roman"/>
          <w:color w:val="000000"/>
          <w:sz w:val="32"/>
          <w:szCs w:val="32"/>
          <w:lang w:val="en-US" w:eastAsia="zh-CN"/>
        </w:rPr>
        <w:t>联系（地址：威海市环翠区</w:t>
      </w:r>
      <w:r>
        <w:rPr>
          <w:rFonts w:hint="eastAsia" w:ascii="Times New Roman" w:hAnsi="Times New Roman" w:eastAsia="仿宋_GB2312" w:cs="Times New Roman"/>
          <w:color w:val="000000"/>
          <w:sz w:val="32"/>
          <w:szCs w:val="32"/>
          <w:lang w:val="en-US" w:eastAsia="zh-CN"/>
        </w:rPr>
        <w:t>新威路75号</w:t>
      </w:r>
      <w:r>
        <w:rPr>
          <w:rFonts w:hint="default" w:ascii="Times New Roman" w:hAnsi="Times New Roman" w:eastAsia="仿宋_GB2312" w:cs="Times New Roman"/>
          <w:color w:val="000000"/>
          <w:sz w:val="32"/>
          <w:szCs w:val="32"/>
          <w:lang w:val="en-US" w:eastAsia="zh-CN"/>
        </w:rPr>
        <w:t>，邮编：264200，电话：0631—522</w:t>
      </w:r>
      <w:r>
        <w:rPr>
          <w:rFonts w:hint="eastAsia" w:ascii="Times New Roman" w:hAnsi="Times New Roman" w:eastAsia="仿宋_GB2312" w:cs="Times New Roman"/>
          <w:color w:val="000000"/>
          <w:sz w:val="32"/>
          <w:szCs w:val="32"/>
          <w:lang w:val="en-US" w:eastAsia="zh-CN"/>
        </w:rPr>
        <w:t>3603</w:t>
      </w:r>
      <w:r>
        <w:rPr>
          <w:rFonts w:hint="default" w:ascii="Times New Roman" w:hAnsi="Times New Roman" w:eastAsia="仿宋_GB2312" w:cs="Times New Roman"/>
          <w:color w:val="000000"/>
          <w:sz w:val="32"/>
          <w:szCs w:val="32"/>
          <w:lang w:val="en-US"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一、</w:t>
      </w:r>
      <w:r>
        <w:rPr>
          <w:rFonts w:hint="eastAsia" w:ascii="黑体" w:hAnsi="黑体" w:eastAsia="黑体" w:cs="黑体"/>
          <w:b w:val="0"/>
          <w:bCs/>
          <w:i w:val="0"/>
          <w:caps w:val="0"/>
          <w:color w:val="auto"/>
          <w:spacing w:val="0"/>
          <w:sz w:val="32"/>
          <w:szCs w:val="32"/>
          <w:shd w:val="clear" w:fill="FFFFFF"/>
        </w:rPr>
        <w:t>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highlight w:val="none"/>
          <w:lang w:val="en-US" w:eastAsia="zh-CN"/>
        </w:rPr>
      </w:pPr>
      <w:r>
        <w:rPr>
          <w:rFonts w:hint="eastAsia" w:ascii="Times New Roman" w:hAnsi="Times New Roman" w:eastAsia="仿宋_GB2312" w:cs="Times New Roman"/>
          <w:color w:val="auto"/>
          <w:kern w:val="0"/>
          <w:sz w:val="32"/>
          <w:szCs w:val="32"/>
          <w:lang w:val="en-US" w:eastAsia="zh-CN" w:bidi="ar"/>
        </w:rPr>
        <w:t>2024年，</w:t>
      </w:r>
      <w:r>
        <w:rPr>
          <w:rFonts w:hint="eastAsia" w:ascii="Times New Roman" w:hAnsi="Times New Roman" w:eastAsia="仿宋_GB2312" w:cs="Times New Roman"/>
          <w:color w:val="auto"/>
          <w:kern w:val="0"/>
          <w:sz w:val="32"/>
          <w:szCs w:val="32"/>
          <w:highlight w:val="none"/>
          <w:lang w:val="en-US" w:eastAsia="zh-CN" w:bidi="ar"/>
        </w:rPr>
        <w:t>区信访局坚持以习近平新时代中国特色社会主义思想为指导，认真贯彻落实区委、区政府关于政务公开工作的部署要求，健全工作机制，认真履职尽责，全力提升政府公开透明度和公众参与度。</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rPr>
          <w:rFonts w:hint="default"/>
        </w:rPr>
      </w:pPr>
      <w:r>
        <w:rPr>
          <w:rFonts w:hint="eastAsia" w:ascii="Times New Roman" w:hAnsi="Times New Roman" w:eastAsia="仿宋_GB2312" w:cs="Times New Roman"/>
          <w:color w:val="000000"/>
          <w:sz w:val="32"/>
          <w:szCs w:val="32"/>
          <w:lang w:val="en-US" w:eastAsia="zh-CN"/>
        </w:rPr>
        <w:t>1.</w:t>
      </w:r>
      <w:r>
        <w:rPr>
          <w:rFonts w:hint="eastAsia" w:ascii="楷体_GB2312" w:hAnsi="楷体_GB2312" w:eastAsia="楷体_GB2312" w:cs="楷体_GB2312"/>
          <w:b w:val="0"/>
          <w:bCs/>
          <w:color w:val="auto"/>
          <w:sz w:val="32"/>
          <w:szCs w:val="32"/>
          <w:lang w:val="en-US" w:eastAsia="zh-CN"/>
        </w:rPr>
        <w:t>主动公开方面。</w:t>
      </w:r>
      <w:r>
        <w:rPr>
          <w:rFonts w:hint="default" w:ascii="Times New Roman" w:hAnsi="Times New Roman" w:eastAsia="仿宋_GB2312" w:cs="Times New Roman"/>
          <w:sz w:val="32"/>
          <w:szCs w:val="32"/>
          <w:lang w:eastAsia="zh-CN"/>
        </w:rPr>
        <w:t>本年度通过环翠</w:t>
      </w:r>
      <w:r>
        <w:rPr>
          <w:rFonts w:hint="default" w:ascii="Times New Roman" w:hAnsi="Times New Roman" w:eastAsia="仿宋_GB2312" w:cs="Times New Roman"/>
          <w:color w:val="000000"/>
          <w:sz w:val="32"/>
          <w:szCs w:val="32"/>
        </w:rPr>
        <w:t>区政府网站公开政务信息</w:t>
      </w:r>
      <w:r>
        <w:rPr>
          <w:rFonts w:hint="eastAsia" w:ascii="Times New Roman" w:hAnsi="Times New Roman" w:eastAsia="仿宋_GB2312" w:cs="Times New Roman"/>
          <w:color w:val="000000"/>
          <w:sz w:val="32"/>
          <w:szCs w:val="32"/>
          <w:lang w:val="en-US" w:eastAsia="zh-CN"/>
        </w:rPr>
        <w:t>146</w:t>
      </w:r>
      <w:r>
        <w:rPr>
          <w:rFonts w:hint="default" w:ascii="Times New Roman" w:hAnsi="Times New Roman" w:eastAsia="仿宋_GB2312" w:cs="Times New Roman"/>
          <w:color w:val="000000"/>
          <w:sz w:val="32"/>
          <w:szCs w:val="32"/>
        </w:rPr>
        <w:t>条</w:t>
      </w:r>
      <w:r>
        <w:rPr>
          <w:rFonts w:hint="default" w:ascii="Times New Roman" w:hAnsi="Times New Roman" w:eastAsia="仿宋_GB2312" w:cs="Times New Roman"/>
          <w:color w:val="000000"/>
          <w:sz w:val="32"/>
          <w:szCs w:val="32"/>
          <w:lang w:eastAsia="zh-CN"/>
        </w:rPr>
        <w:t>，其中</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eastAsia="zh-CN"/>
        </w:rPr>
        <w:t>机构职能</w:t>
      </w:r>
      <w:r>
        <w:rPr>
          <w:rFonts w:hint="eastAsia" w:ascii="Times New Roman" w:hAnsi="Times New Roman" w:eastAsia="仿宋_GB2312" w:cs="Times New Roman"/>
          <w:color w:val="000000"/>
          <w:sz w:val="32"/>
          <w:szCs w:val="32"/>
          <w:lang w:val="en-US" w:eastAsia="zh-CN"/>
        </w:rPr>
        <w:t>11</w:t>
      </w:r>
      <w:r>
        <w:rPr>
          <w:rFonts w:hint="default" w:ascii="Times New Roman" w:hAnsi="Times New Roman" w:eastAsia="仿宋_GB2312" w:cs="Times New Roman"/>
          <w:color w:val="000000"/>
          <w:sz w:val="32"/>
          <w:szCs w:val="32"/>
          <w:lang w:val="en-US" w:eastAsia="zh-CN"/>
        </w:rPr>
        <w:t>条</w:t>
      </w:r>
      <w:r>
        <w:rPr>
          <w:rFonts w:hint="eastAsia" w:ascii="Times New Roman" w:hAnsi="Times New Roman" w:eastAsia="仿宋_GB2312" w:cs="Times New Roman"/>
          <w:color w:val="000000"/>
          <w:sz w:val="32"/>
          <w:szCs w:val="32"/>
          <w:lang w:val="en-US" w:eastAsia="zh-CN"/>
        </w:rPr>
        <w:t>，人事信息5条，</w:t>
      </w:r>
      <w:r>
        <w:rPr>
          <w:rFonts w:hint="default" w:ascii="Times New Roman" w:hAnsi="Times New Roman" w:eastAsia="仿宋_GB2312" w:cs="Times New Roman"/>
          <w:color w:val="000000"/>
          <w:sz w:val="32"/>
          <w:szCs w:val="32"/>
          <w:lang w:eastAsia="zh-CN"/>
        </w:rPr>
        <w:t>政策文件</w:t>
      </w:r>
      <w:r>
        <w:rPr>
          <w:rFonts w:hint="eastAsia" w:ascii="Times New Roman" w:hAnsi="Times New Roman" w:eastAsia="仿宋_GB2312" w:cs="Times New Roman"/>
          <w:color w:val="000000"/>
          <w:sz w:val="32"/>
          <w:szCs w:val="32"/>
          <w:lang w:val="en-US" w:eastAsia="zh-CN"/>
        </w:rPr>
        <w:t>3</w:t>
      </w:r>
      <w:r>
        <w:rPr>
          <w:rFonts w:hint="default" w:ascii="Times New Roman" w:hAnsi="Times New Roman" w:eastAsia="仿宋_GB2312" w:cs="Times New Roman"/>
          <w:color w:val="000000"/>
          <w:sz w:val="32"/>
          <w:szCs w:val="32"/>
          <w:lang w:val="en-US" w:eastAsia="zh-CN"/>
        </w:rPr>
        <w:t>条</w:t>
      </w:r>
      <w:r>
        <w:rPr>
          <w:rFonts w:hint="eastAsia" w:ascii="Times New Roman" w:hAnsi="Times New Roman" w:eastAsia="仿宋_GB2312" w:cs="Times New Roman"/>
          <w:color w:val="000000"/>
          <w:sz w:val="32"/>
          <w:szCs w:val="32"/>
          <w:lang w:val="en-US" w:eastAsia="zh-CN"/>
        </w:rPr>
        <w:t>，部门办公会议1条，</w:t>
      </w:r>
      <w:r>
        <w:rPr>
          <w:rFonts w:hint="default" w:ascii="Times New Roman" w:hAnsi="Times New Roman" w:eastAsia="仿宋_GB2312" w:cs="Times New Roman"/>
          <w:color w:val="000000"/>
          <w:sz w:val="32"/>
          <w:szCs w:val="32"/>
        </w:rPr>
        <w:t>财政预决算信息</w:t>
      </w:r>
      <w:r>
        <w:rPr>
          <w:rFonts w:hint="eastAsia" w:ascii="Times New Roman" w:hAnsi="Times New Roman" w:eastAsia="仿宋_GB2312" w:cs="Times New Roman"/>
          <w:color w:val="000000"/>
          <w:sz w:val="32"/>
          <w:szCs w:val="32"/>
          <w:lang w:val="en-US" w:eastAsia="zh-CN"/>
        </w:rPr>
        <w:t>6</w:t>
      </w:r>
      <w:r>
        <w:rPr>
          <w:rFonts w:hint="default" w:ascii="Times New Roman" w:hAnsi="Times New Roman" w:eastAsia="仿宋_GB2312" w:cs="Times New Roman"/>
          <w:color w:val="000000"/>
          <w:sz w:val="32"/>
          <w:szCs w:val="32"/>
        </w:rPr>
        <w:t>条</w:t>
      </w:r>
      <w:r>
        <w:rPr>
          <w:rFonts w:hint="eastAsia" w:ascii="Times New Roman" w:hAnsi="Times New Roman" w:eastAsia="仿宋_GB2312" w:cs="Times New Roman"/>
          <w:color w:val="000000"/>
          <w:sz w:val="32"/>
          <w:szCs w:val="32"/>
          <w:lang w:eastAsia="zh-CN"/>
        </w:rPr>
        <w:t>，规划</w:t>
      </w:r>
      <w:r>
        <w:rPr>
          <w:rFonts w:hint="default" w:ascii="Times New Roman" w:hAnsi="Times New Roman" w:eastAsia="仿宋_GB2312" w:cs="Times New Roman"/>
          <w:color w:val="000000"/>
          <w:sz w:val="32"/>
          <w:szCs w:val="32"/>
          <w:lang w:eastAsia="zh-CN"/>
        </w:rPr>
        <w:t>计划</w:t>
      </w:r>
      <w:r>
        <w:rPr>
          <w:rFonts w:hint="eastAsia" w:ascii="Times New Roman" w:hAnsi="Times New Roman" w:eastAsia="仿宋_GB2312" w:cs="Times New Roman"/>
          <w:color w:val="000000"/>
          <w:sz w:val="32"/>
          <w:szCs w:val="32"/>
          <w:lang w:eastAsia="zh-CN"/>
        </w:rPr>
        <w:t>信息</w:t>
      </w:r>
      <w:r>
        <w:rPr>
          <w:rFonts w:hint="eastAsia" w:ascii="Times New Roman" w:hAnsi="Times New Roman" w:eastAsia="仿宋_GB2312" w:cs="Times New Roman"/>
          <w:color w:val="000000"/>
          <w:sz w:val="32"/>
          <w:szCs w:val="32"/>
          <w:lang w:val="en-US" w:eastAsia="zh-CN"/>
        </w:rPr>
        <w:t>1</w:t>
      </w:r>
      <w:r>
        <w:rPr>
          <w:rFonts w:hint="default" w:ascii="Times New Roman" w:hAnsi="Times New Roman" w:eastAsia="仿宋_GB2312" w:cs="Times New Roman"/>
          <w:color w:val="000000"/>
          <w:sz w:val="32"/>
          <w:szCs w:val="32"/>
          <w:lang w:val="en-US" w:eastAsia="zh-CN"/>
        </w:rPr>
        <w:t>条</w:t>
      </w:r>
      <w:r>
        <w:rPr>
          <w:rFonts w:hint="eastAsia" w:ascii="Times New Roman" w:hAnsi="Times New Roman" w:eastAsia="仿宋_GB2312" w:cs="Times New Roman"/>
          <w:color w:val="000000"/>
          <w:sz w:val="32"/>
          <w:szCs w:val="32"/>
          <w:lang w:val="en-US" w:eastAsia="zh-CN"/>
        </w:rPr>
        <w:t>，</w:t>
      </w:r>
      <w:r>
        <w:rPr>
          <w:rFonts w:hint="eastAsia" w:ascii="Times New Roman" w:hAnsi="Times New Roman" w:eastAsia="仿宋_GB2312" w:cs="Times New Roman"/>
          <w:color w:val="000000"/>
          <w:sz w:val="32"/>
          <w:szCs w:val="32"/>
          <w:lang w:eastAsia="zh-CN"/>
        </w:rPr>
        <w:t>业务动态信息</w:t>
      </w:r>
      <w:r>
        <w:rPr>
          <w:rFonts w:hint="default" w:ascii="Times New Roman" w:hAnsi="Times New Roman" w:eastAsia="仿宋_GB2312" w:cs="Times New Roman"/>
          <w:color w:val="000000"/>
          <w:sz w:val="32"/>
          <w:szCs w:val="32"/>
          <w:lang w:val="en-US" w:eastAsia="zh-CN"/>
        </w:rPr>
        <w:t>1</w:t>
      </w:r>
      <w:r>
        <w:rPr>
          <w:rFonts w:hint="eastAsia" w:ascii="Times New Roman" w:hAnsi="Times New Roman" w:eastAsia="仿宋_GB2312" w:cs="Times New Roman"/>
          <w:color w:val="000000"/>
          <w:sz w:val="32"/>
          <w:szCs w:val="32"/>
          <w:lang w:val="en-US" w:eastAsia="zh-CN"/>
        </w:rPr>
        <w:t>12</w:t>
      </w:r>
      <w:r>
        <w:rPr>
          <w:rFonts w:hint="default" w:ascii="Times New Roman" w:hAnsi="Times New Roman" w:eastAsia="仿宋_GB2312" w:cs="Times New Roman"/>
          <w:color w:val="000000"/>
          <w:sz w:val="32"/>
          <w:szCs w:val="32"/>
          <w:lang w:val="en-US" w:eastAsia="zh-CN"/>
        </w:rPr>
        <w:t>条</w:t>
      </w:r>
      <w:r>
        <w:rPr>
          <w:rFonts w:hint="eastAsia" w:ascii="Times New Roman" w:hAnsi="Times New Roman" w:eastAsia="仿宋_GB2312" w:cs="Times New Roman"/>
          <w:color w:val="000000"/>
          <w:sz w:val="32"/>
          <w:szCs w:val="32"/>
          <w:lang w:val="en-US" w:eastAsia="zh-CN"/>
        </w:rPr>
        <w:t>，</w:t>
      </w:r>
      <w:r>
        <w:rPr>
          <w:rFonts w:hint="default" w:ascii="Times New Roman" w:hAnsi="Times New Roman" w:eastAsia="仿宋_GB2312" w:cs="Times New Roman"/>
          <w:color w:val="000000"/>
          <w:sz w:val="32"/>
          <w:szCs w:val="32"/>
          <w:lang w:val="en-US" w:eastAsia="zh-CN"/>
        </w:rPr>
        <w:t>政务公开组织管理</w:t>
      </w:r>
      <w:r>
        <w:rPr>
          <w:rFonts w:hint="eastAsia"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lang w:val="en-US" w:eastAsia="zh-CN"/>
        </w:rPr>
        <w:t>条</w:t>
      </w:r>
      <w:r>
        <w:rPr>
          <w:rFonts w:hint="eastAsia" w:ascii="Times New Roman" w:hAnsi="Times New Roman" w:eastAsia="仿宋_GB2312" w:cs="Times New Roman"/>
          <w:color w:val="000000"/>
          <w:sz w:val="32"/>
          <w:szCs w:val="32"/>
          <w:lang w:val="en-US" w:eastAsia="zh-CN"/>
        </w:rPr>
        <w:t>，其他信息3条</w:t>
      </w:r>
      <w:r>
        <w:rPr>
          <w:rFonts w:hint="default" w:ascii="Times New Roman" w:hAnsi="Times New Roman" w:eastAsia="仿宋_GB2312" w:cs="Times New Roman"/>
          <w:color w:val="000000"/>
          <w:sz w:val="32"/>
          <w:szCs w:val="32"/>
        </w:rPr>
        <w:t>。</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color w:val="auto"/>
          <w:sz w:val="32"/>
          <w:szCs w:val="32"/>
          <w:lang w:val="en-US" w:eastAsia="zh-CN"/>
        </w:rPr>
        <w:t>2.</w:t>
      </w:r>
      <w:r>
        <w:rPr>
          <w:rFonts w:hint="default" w:ascii="楷体_GB2312" w:hAnsi="楷体_GB2312" w:eastAsia="楷体_GB2312" w:cs="楷体_GB2312"/>
          <w:b w:val="0"/>
          <w:bCs/>
          <w:color w:val="auto"/>
          <w:sz w:val="32"/>
          <w:szCs w:val="32"/>
          <w:lang w:val="en-US" w:eastAsia="zh-CN"/>
        </w:rPr>
        <w:t>依申请公开工作方面。</w:t>
      </w:r>
      <w:r>
        <w:rPr>
          <w:rFonts w:hint="default" w:ascii="Times New Roman" w:hAnsi="Times New Roman" w:eastAsia="仿宋_GB2312" w:cs="Times New Roman"/>
          <w:b w:val="0"/>
          <w:bCs/>
          <w:sz w:val="32"/>
          <w:szCs w:val="32"/>
          <w:lang w:val="en-US" w:eastAsia="zh-CN"/>
        </w:rPr>
        <w:t>202</w:t>
      </w:r>
      <w:r>
        <w:rPr>
          <w:rFonts w:hint="eastAsia" w:ascii="Times New Roman" w:hAnsi="Times New Roman" w:eastAsia="仿宋_GB2312" w:cs="Times New Roman"/>
          <w:b w:val="0"/>
          <w:bCs/>
          <w:sz w:val="32"/>
          <w:szCs w:val="32"/>
          <w:lang w:val="en-US" w:eastAsia="zh-CN"/>
        </w:rPr>
        <w:t>4</w:t>
      </w:r>
      <w:r>
        <w:rPr>
          <w:rFonts w:hint="default" w:ascii="Times New Roman" w:hAnsi="Times New Roman" w:eastAsia="仿宋_GB2312" w:cs="Times New Roman"/>
          <w:b w:val="0"/>
          <w:bCs/>
          <w:sz w:val="32"/>
          <w:szCs w:val="32"/>
          <w:lang w:val="en-US" w:eastAsia="zh-CN"/>
        </w:rPr>
        <w:t>年，本单位</w:t>
      </w:r>
      <w:r>
        <w:rPr>
          <w:rFonts w:hint="eastAsia" w:ascii="Times New Roman" w:hAnsi="Times New Roman" w:eastAsia="仿宋_GB2312" w:cs="Times New Roman"/>
          <w:b w:val="0"/>
          <w:bCs/>
          <w:sz w:val="32"/>
          <w:szCs w:val="32"/>
          <w:lang w:val="en-US" w:eastAsia="zh-CN"/>
        </w:rPr>
        <w:t>未收到政务公开申请</w:t>
      </w:r>
      <w:r>
        <w:rPr>
          <w:rFonts w:hint="default" w:ascii="Times New Roman" w:hAnsi="Times New Roman" w:eastAsia="仿宋_GB2312" w:cs="Times New Roman"/>
          <w:b w:val="0"/>
          <w:bCs/>
          <w:sz w:val="32"/>
          <w:szCs w:val="32"/>
          <w:lang w:val="en-US" w:eastAsia="zh-CN"/>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color w:val="auto"/>
          <w:sz w:val="32"/>
          <w:szCs w:val="32"/>
          <w:lang w:val="en-US" w:eastAsia="zh-CN"/>
        </w:rPr>
        <w:t>3.</w:t>
      </w:r>
      <w:r>
        <w:rPr>
          <w:rFonts w:hint="default" w:ascii="楷体_GB2312" w:hAnsi="楷体_GB2312" w:eastAsia="楷体_GB2312" w:cs="楷体_GB2312"/>
          <w:b w:val="0"/>
          <w:bCs/>
          <w:color w:val="auto"/>
          <w:sz w:val="32"/>
          <w:szCs w:val="32"/>
          <w:lang w:val="en-US" w:eastAsia="zh-CN"/>
        </w:rPr>
        <w:t>政府信息管理方面。</w:t>
      </w:r>
      <w:r>
        <w:rPr>
          <w:rFonts w:hint="eastAsia" w:ascii="Times New Roman" w:hAnsi="Times New Roman" w:eastAsia="仿宋_GB2312" w:cs="Times New Roman"/>
          <w:b w:val="0"/>
          <w:bCs/>
          <w:sz w:val="32"/>
          <w:szCs w:val="32"/>
          <w:lang w:val="en-US" w:eastAsia="zh-CN"/>
        </w:rPr>
        <w:t>强化组织领导，建立健全信息发布审核制度，严格落实领导把关审查机制，安排专人负责信息发布和日常维护，确保信息发布安全、准确。本年度，未制定发布规范性文件。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4.</w:t>
      </w:r>
      <w:r>
        <w:rPr>
          <w:rFonts w:hint="default" w:ascii="楷体_GB2312" w:hAnsi="楷体_GB2312" w:eastAsia="楷体_GB2312" w:cs="楷体_GB2312"/>
          <w:b w:val="0"/>
          <w:bCs/>
          <w:color w:val="auto"/>
          <w:sz w:val="32"/>
          <w:szCs w:val="32"/>
          <w:lang w:val="en-US" w:eastAsia="zh-CN"/>
        </w:rPr>
        <w:t>平台建设方面。</w:t>
      </w:r>
      <w:r>
        <w:rPr>
          <w:rFonts w:hint="eastAsia" w:ascii="Times New Roman" w:hAnsi="Times New Roman" w:eastAsia="仿宋_GB2312" w:cs="Times New Roman"/>
          <w:b w:val="0"/>
          <w:bCs/>
          <w:sz w:val="32"/>
          <w:szCs w:val="32"/>
          <w:lang w:eastAsia="zh-CN"/>
        </w:rPr>
        <w:t>充分发挥政府门户网站作用，及时公开部门工作动态等相关信息，认真组织开展政府开放日活动，搭建起群众与政府沟通的桥梁。</w:t>
      </w: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Times New Roman" w:hAnsi="Times New Roman" w:eastAsia="仿宋_GB2312" w:cs="Times New Roman"/>
          <w:b w:val="0"/>
          <w:bCs/>
          <w:sz w:val="32"/>
          <w:szCs w:val="32"/>
          <w:lang w:eastAsia="zh-CN"/>
        </w:rPr>
      </w:pPr>
      <w:r>
        <w:rPr>
          <w:rFonts w:hint="default" w:ascii="Times New Roman" w:hAnsi="Times New Roman" w:eastAsia="仿宋_GB2312" w:cs="Times New Roman"/>
          <w:b w:val="0"/>
          <w:bCs/>
          <w:color w:val="auto"/>
          <w:sz w:val="32"/>
          <w:szCs w:val="32"/>
          <w:lang w:val="en-US" w:eastAsia="zh-CN"/>
        </w:rPr>
        <w:t>5.</w:t>
      </w:r>
      <w:r>
        <w:rPr>
          <w:rFonts w:hint="default" w:ascii="楷体_GB2312" w:hAnsi="楷体_GB2312" w:eastAsia="楷体_GB2312" w:cs="楷体_GB2312"/>
          <w:b w:val="0"/>
          <w:bCs/>
          <w:color w:val="auto"/>
          <w:sz w:val="32"/>
          <w:szCs w:val="32"/>
          <w:lang w:val="en-US" w:eastAsia="zh-CN"/>
        </w:rPr>
        <w:t>监督保障方面。</w:t>
      </w:r>
      <w:r>
        <w:rPr>
          <w:rFonts w:hint="eastAsia" w:ascii="Times New Roman" w:hAnsi="Times New Roman" w:eastAsia="仿宋_GB2312" w:cs="Times New Roman"/>
          <w:b w:val="0"/>
          <w:bCs/>
          <w:sz w:val="32"/>
          <w:szCs w:val="32"/>
          <w:lang w:val="en-US" w:eastAsia="zh-CN"/>
        </w:rPr>
        <w:t>健全局主要领导牵头，分管领导主抓，办公室与其他科室联动的信息公开工作长效机制，积极组织机关干部学习培训，普及政务公开与信访业务知识</w:t>
      </w:r>
      <w:r>
        <w:rPr>
          <w:rFonts w:hint="eastAsia" w:ascii="Times New Roman" w:hAnsi="Times New Roman" w:eastAsia="仿宋_GB2312" w:cs="Times New Roman"/>
          <w:b w:val="0"/>
          <w:bCs/>
          <w:sz w:val="32"/>
          <w:szCs w:val="32"/>
          <w:lang w:eastAsia="zh-CN"/>
        </w:rPr>
        <w:t>。本年度没有因政府信息公开工作不力被追究责任的情况。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0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0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34"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FF0000"/>
                <w:kern w:val="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FF0000"/>
                <w:kern w:val="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Calibri" w:eastAsia="仿宋_GB2312" w:cs="Calibri"/>
                <w:color w:val="FF0000"/>
                <w:kern w:val="0"/>
                <w:sz w:val="21"/>
                <w:szCs w:val="21"/>
                <w:lang w:val="en-US" w:eastAsia="zh-CN"/>
              </w:rPr>
            </w:pPr>
            <w:r>
              <w:rPr>
                <w:rFonts w:hint="eastAsia" w:ascii="Times New Roman" w:hAnsi="Times New Roman" w:eastAsia="仿宋_GB2312" w:cs="Times New Roman"/>
                <w:b w:val="0"/>
                <w:bCs/>
                <w:sz w:val="21"/>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FF0000"/>
                <w:kern w:val="0"/>
                <w:sz w:val="21"/>
                <w:szCs w:val="21"/>
                <w:lang w:eastAsia="zh-CN"/>
              </w:rPr>
            </w:pPr>
            <w:r>
              <w:rPr>
                <w:rFonts w:hint="eastAsia" w:ascii="Times New Roman" w:hAnsi="Times New Roman" w:eastAsia="仿宋_GB2312" w:cs="Times New Roman"/>
                <w:b w:val="0"/>
                <w:bCs/>
                <w:sz w:val="21"/>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FF0000"/>
                <w:kern w:val="0"/>
                <w:sz w:val="21"/>
                <w:szCs w:val="21"/>
                <w:lang w:eastAsia="zh-CN"/>
              </w:rPr>
            </w:pPr>
            <w:r>
              <w:rPr>
                <w:rFonts w:hint="eastAsia" w:ascii="Times New Roman" w:hAnsi="Times New Roman" w:eastAsia="仿宋_GB2312" w:cs="Times New Roman"/>
                <w:b w:val="0"/>
                <w:bCs/>
                <w:sz w:val="21"/>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FF0000"/>
                <w:kern w:val="0"/>
                <w:sz w:val="21"/>
                <w:szCs w:val="21"/>
                <w:lang w:eastAsia="zh-CN"/>
              </w:rPr>
            </w:pPr>
            <w:r>
              <w:rPr>
                <w:rFonts w:hint="eastAsia" w:ascii="Times New Roman" w:hAnsi="Times New Roman" w:eastAsia="仿宋_GB2312" w:cs="Times New Roman"/>
                <w:b w:val="0"/>
                <w:bCs/>
                <w:sz w:val="21"/>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 w:val="21"/>
                <w:szCs w:val="21"/>
              </w:rPr>
            </w:pPr>
            <w:r>
              <w:rPr>
                <w:rFonts w:hint="eastAsia" w:ascii="黑体" w:hAnsi="黑体" w:eastAsia="黑体" w:cs="宋体"/>
                <w:color w:val="000000"/>
                <w:kern w:val="0"/>
                <w:sz w:val="21"/>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 w:val="21"/>
                <w:szCs w:val="21"/>
              </w:rPr>
            </w:pPr>
            <w:r>
              <w:rPr>
                <w:rFonts w:hint="eastAsia" w:ascii="仿宋_GB2312" w:hAnsi="宋体" w:eastAsia="仿宋_GB2312" w:cs="宋体"/>
                <w:color w:val="000000"/>
                <w:kern w:val="0"/>
                <w:sz w:val="21"/>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Calibri" w:eastAsia="仿宋_GB2312" w:cs="Calibri"/>
                <w:color w:val="000000"/>
                <w:kern w:val="0"/>
                <w:sz w:val="21"/>
                <w:szCs w:val="21"/>
                <w:lang w:val="en-US" w:eastAsia="zh-CN"/>
              </w:rPr>
            </w:pPr>
            <w:r>
              <w:rPr>
                <w:rFonts w:hint="eastAsia" w:ascii="Times New Roman" w:hAnsi="Times New Roman" w:eastAsia="仿宋_GB2312" w:cs="Times New Roman"/>
                <w:b w:val="0"/>
                <w:bCs/>
                <w:sz w:val="21"/>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Calibri" w:eastAsia="仿宋_GB2312" w:cs="Calibri"/>
                <w:color w:val="FF0000"/>
                <w:kern w:val="0"/>
                <w:sz w:val="21"/>
                <w:szCs w:val="21"/>
                <w:lang w:eastAsia="zh-CN"/>
              </w:rPr>
            </w:pPr>
            <w:r>
              <w:rPr>
                <w:rFonts w:hint="eastAsia" w:ascii="Times New Roman" w:hAnsi="Times New Roman" w:eastAsia="仿宋_GB2312" w:cs="Times New Roman"/>
                <w:b w:val="0"/>
                <w:bCs/>
                <w:sz w:val="21"/>
                <w:szCs w:val="21"/>
                <w:lang w:val="en-US" w:eastAsia="zh-CN"/>
              </w:rPr>
              <w:t>0</w:t>
            </w:r>
          </w:p>
        </w:tc>
      </w:tr>
      <w:tr>
        <w:tblPrEx>
          <w:tblCellMar>
            <w:top w:w="0" w:type="dxa"/>
            <w:left w:w="108" w:type="dxa"/>
            <w:bottom w:w="0" w:type="dxa"/>
            <w:right w:w="108" w:type="dxa"/>
          </w:tblCellMar>
        </w:tblPrEx>
        <w:trPr>
          <w:trHeight w:val="564"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Calibri" w:eastAsia="仿宋_GB2312" w:cs="Calibri"/>
                <w:color w:val="FF0000"/>
                <w:kern w:val="0"/>
                <w:sz w:val="21"/>
                <w:szCs w:val="21"/>
                <w:lang w:eastAsia="zh-CN"/>
              </w:rPr>
            </w:pPr>
            <w:r>
              <w:rPr>
                <w:rFonts w:hint="eastAsia" w:ascii="Times New Roman" w:hAnsi="Times New Roman" w:eastAsia="仿宋_GB2312" w:cs="Times New Roman"/>
                <w:b w:val="0"/>
                <w:bCs/>
                <w:sz w:val="21"/>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 w:val="21"/>
                <w:szCs w:val="21"/>
              </w:rPr>
            </w:pPr>
            <w:r>
              <w:rPr>
                <w:rFonts w:hint="eastAsia" w:ascii="黑体" w:hAnsi="黑体" w:eastAsia="黑体" w:cs="宋体"/>
                <w:color w:val="000000"/>
                <w:kern w:val="0"/>
                <w:sz w:val="21"/>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 w:val="21"/>
                <w:szCs w:val="21"/>
              </w:rPr>
            </w:pPr>
            <w:r>
              <w:rPr>
                <w:rFonts w:hint="eastAsia" w:ascii="仿宋_GB2312" w:hAnsi="宋体" w:eastAsia="仿宋_GB2312" w:cs="宋体"/>
                <w:color w:val="000000"/>
                <w:kern w:val="0"/>
                <w:sz w:val="21"/>
                <w:szCs w:val="21"/>
              </w:rPr>
              <w:t>本年收费金额（单位：万元）</w:t>
            </w:r>
          </w:p>
        </w:tc>
      </w:tr>
      <w:tr>
        <w:tblPrEx>
          <w:tblCellMar>
            <w:top w:w="0" w:type="dxa"/>
            <w:left w:w="108" w:type="dxa"/>
            <w:bottom w:w="0" w:type="dxa"/>
            <w:right w:w="108" w:type="dxa"/>
          </w:tblCellMar>
        </w:tblPrEx>
        <w:trPr>
          <w:trHeight w:val="90"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eastAsia" w:ascii="仿宋_GB2312" w:hAnsi="Calibri" w:eastAsia="仿宋_GB2312" w:cs="Calibri"/>
                <w:color w:val="000000"/>
                <w:kern w:val="0"/>
                <w:sz w:val="21"/>
                <w:szCs w:val="21"/>
                <w:lang w:eastAsia="zh-CN"/>
              </w:rPr>
            </w:pPr>
            <w:r>
              <w:rPr>
                <w:rFonts w:hint="eastAsia" w:ascii="Times New Roman" w:hAnsi="Times New Roman" w:eastAsia="仿宋_GB2312" w:cs="Times New Roman"/>
                <w:b w:val="0"/>
                <w:bCs/>
                <w:sz w:val="21"/>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4"/>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03"/>
        <w:gridCol w:w="496"/>
        <w:gridCol w:w="52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8"/>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803"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2944" w:type="dxa"/>
            <w:gridSpan w:val="5"/>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803" w:type="dxa"/>
            <w:vMerge w:val="continue"/>
            <w:shd w:val="clear" w:color="auto" w:fill="auto"/>
            <w:tcMar>
              <w:left w:w="108" w:type="dxa"/>
              <w:right w:w="108" w:type="dxa"/>
            </w:tcMar>
            <w:vAlign w:val="center"/>
          </w:tcPr>
          <w:p>
            <w:pPr>
              <w:jc w:val="center"/>
              <w:rPr>
                <w:rFonts w:ascii="黑体" w:hAnsi="黑体" w:eastAsia="黑体"/>
                <w:szCs w:val="21"/>
              </w:rPr>
            </w:pPr>
          </w:p>
        </w:tc>
        <w:tc>
          <w:tcPr>
            <w:tcW w:w="496"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28"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gridSpan w:val="2"/>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17"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2" w:hRule="atLeast"/>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1.属于国家秘密</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2.</w:t>
            </w:r>
            <w:bookmarkStart w:id="2" w:name="_Hlk66974104"/>
            <w:r>
              <w:rPr>
                <w:rFonts w:hint="eastAsia" w:ascii="Times New Roman" w:hAnsi="Times New Roman" w:eastAsia="仿宋_GB2312" w:cs="Times New Roman"/>
                <w:b w:val="0"/>
                <w:bCs/>
                <w:sz w:val="21"/>
                <w:szCs w:val="21"/>
                <w:lang w:val="en-US" w:eastAsia="zh-CN"/>
              </w:rPr>
              <w:t>其他法律行政法规禁止公开</w:t>
            </w:r>
            <w:bookmarkEnd w:id="2"/>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3.危及“三安全一稳定”</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4.</w:t>
            </w:r>
            <w:bookmarkStart w:id="3" w:name="_Hlk66974290"/>
            <w:r>
              <w:rPr>
                <w:rFonts w:hint="eastAsia" w:ascii="Times New Roman" w:hAnsi="Times New Roman" w:eastAsia="仿宋_GB2312" w:cs="Times New Roman"/>
                <w:b w:val="0"/>
                <w:bCs/>
                <w:sz w:val="21"/>
                <w:szCs w:val="21"/>
                <w:lang w:val="en-US" w:eastAsia="zh-CN"/>
              </w:rPr>
              <w:t>保护第三方合法权益</w:t>
            </w:r>
            <w:bookmarkEnd w:id="3"/>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5.属于三类内部事务信息</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6.</w:t>
            </w:r>
            <w:bookmarkStart w:id="4" w:name="_Hlk66974555"/>
            <w:r>
              <w:rPr>
                <w:rFonts w:hint="eastAsia" w:ascii="Times New Roman" w:hAnsi="Times New Roman" w:eastAsia="仿宋_GB2312" w:cs="Times New Roman"/>
                <w:b w:val="0"/>
                <w:bCs/>
                <w:sz w:val="21"/>
                <w:szCs w:val="21"/>
                <w:lang w:val="en-US" w:eastAsia="zh-CN"/>
              </w:rPr>
              <w:t>属于四类过程性信息</w:t>
            </w:r>
            <w:bookmarkEnd w:id="4"/>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7.属于行政执法案卷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8.</w:t>
            </w:r>
            <w:bookmarkStart w:id="5" w:name="_Hlk66975211"/>
            <w:r>
              <w:rPr>
                <w:rFonts w:hint="eastAsia" w:ascii="Times New Roman" w:hAnsi="Times New Roman" w:eastAsia="仿宋_GB2312" w:cs="Times New Roman"/>
                <w:b w:val="0"/>
                <w:bCs/>
                <w:sz w:val="21"/>
                <w:szCs w:val="21"/>
                <w:lang w:val="en-US" w:eastAsia="zh-CN"/>
              </w:rPr>
              <w:t>属于行政查询事项</w:t>
            </w:r>
            <w:bookmarkEnd w:id="5"/>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1.本机关不掌握相关政府信息</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stheme="minorBidi"/>
                <w:color w:val="FF0000"/>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FF0000"/>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2.</w:t>
            </w:r>
            <w:bookmarkStart w:id="6" w:name="_Hlk66975392"/>
            <w:r>
              <w:rPr>
                <w:rFonts w:hint="eastAsia" w:ascii="Times New Roman" w:hAnsi="Times New Roman" w:eastAsia="仿宋_GB2312" w:cs="Times New Roman"/>
                <w:b w:val="0"/>
                <w:bCs/>
                <w:sz w:val="21"/>
                <w:szCs w:val="21"/>
                <w:lang w:val="en-US" w:eastAsia="zh-CN"/>
              </w:rPr>
              <w:t>没有现成信息需要另行制作</w:t>
            </w:r>
            <w:bookmarkEnd w:id="6"/>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3.</w:t>
            </w:r>
            <w:bookmarkStart w:id="7" w:name="_Hlk66975466"/>
            <w:r>
              <w:rPr>
                <w:rFonts w:hint="eastAsia" w:ascii="Times New Roman" w:hAnsi="Times New Roman" w:eastAsia="仿宋_GB2312" w:cs="Times New Roman"/>
                <w:b w:val="0"/>
                <w:bCs/>
                <w:sz w:val="21"/>
                <w:szCs w:val="21"/>
                <w:lang w:val="en-US" w:eastAsia="zh-CN"/>
              </w:rPr>
              <w:t>补正后申请内容仍不明确</w:t>
            </w:r>
            <w:bookmarkEnd w:id="7"/>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1.</w:t>
            </w:r>
            <w:bookmarkStart w:id="8" w:name="_Hlk66975537"/>
            <w:r>
              <w:rPr>
                <w:rFonts w:hint="eastAsia" w:ascii="Times New Roman" w:hAnsi="Times New Roman" w:eastAsia="仿宋_GB2312" w:cs="Times New Roman"/>
                <w:b w:val="0"/>
                <w:bCs/>
                <w:sz w:val="21"/>
                <w:szCs w:val="21"/>
                <w:lang w:val="en-US" w:eastAsia="zh-CN"/>
              </w:rPr>
              <w:t>信访举报投诉类申请</w:t>
            </w:r>
            <w:bookmarkEnd w:id="8"/>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stheme="minorBidi"/>
                <w:color w:val="FF0000"/>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2.重复申请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3.要求提供公开出版物</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4.无正当理由大量反复申请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5.要求行政机关确认或重新</w:t>
            </w:r>
          </w:p>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出具已获取信息</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1.申请人无正当理由逾期不补正、行政机关不再处理其政府信息公开申请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10" w:hRule="atLeas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2.申请人逾期未按收费通知要求缴纳费用、行政机关不再处理其政府信息公开申请</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 w:val="21"/>
                <w:szCs w:val="21"/>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 w:val="21"/>
                <w:szCs w:val="21"/>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0" w:hRule="atLeas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outlineLvl w:val="9"/>
              <w:rPr>
                <w:rFonts w:hint="eastAsia" w:ascii="Times New Roman" w:hAnsi="Times New Roman" w:eastAsia="仿宋_GB2312" w:cs="Times New Roman"/>
                <w:b w:val="0"/>
                <w:bCs/>
                <w:sz w:val="21"/>
                <w:szCs w:val="21"/>
                <w:lang w:val="en-US" w:eastAsia="zh-CN"/>
              </w:rPr>
            </w:pPr>
            <w:r>
              <w:rPr>
                <w:rFonts w:hint="eastAsia" w:ascii="Times New Roman" w:hAnsi="Times New Roman" w:eastAsia="仿宋_GB2312" w:cs="Times New Roman"/>
                <w:b w:val="0"/>
                <w:bCs/>
                <w:sz w:val="21"/>
                <w:szCs w:val="21"/>
                <w:lang w:val="en-US" w:eastAsia="zh-CN"/>
              </w:rPr>
              <w:t>3.其他</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 w:val="21"/>
                <w:szCs w:val="21"/>
                <w:lang w:val="en-US"/>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 w:val="21"/>
                <w:szCs w:val="21"/>
                <w:lang w:val="en-US"/>
              </w:rPr>
            </w:pPr>
            <w:r>
              <w:rPr>
                <w:rFonts w:hint="eastAsia" w:ascii="Times New Roman" w:hAnsi="Times New Roman" w:eastAsia="仿宋_GB2312" w:cs="Times New Roman"/>
                <w:b w:val="0"/>
                <w:bCs/>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803"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 w:val="21"/>
                <w:szCs w:val="21"/>
                <w:lang w:val="en-US" w:eastAsia="zh-CN"/>
              </w:rPr>
            </w:pPr>
            <w:r>
              <w:rPr>
                <w:rFonts w:hint="eastAsia" w:ascii="Times New Roman" w:hAnsi="Times New Roman" w:eastAsia="仿宋_GB2312" w:cs="Times New Roman"/>
                <w:b w:val="0"/>
                <w:bCs/>
                <w:sz w:val="21"/>
                <w:szCs w:val="21"/>
                <w:lang w:val="en-US" w:eastAsia="zh-CN"/>
              </w:rPr>
              <w:t>0</w:t>
            </w:r>
          </w:p>
        </w:tc>
        <w:tc>
          <w:tcPr>
            <w:tcW w:w="496"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 w:val="21"/>
                <w:szCs w:val="21"/>
              </w:rPr>
            </w:pPr>
            <w:r>
              <w:rPr>
                <w:rFonts w:hint="eastAsia" w:ascii="Times New Roman" w:hAnsi="Times New Roman" w:eastAsia="仿宋_GB2312" w:cs="Times New Roman"/>
                <w:b w:val="0"/>
                <w:bCs/>
                <w:sz w:val="21"/>
                <w:szCs w:val="21"/>
                <w:lang w:val="en-US" w:eastAsia="zh-CN"/>
              </w:rPr>
              <w:t>0</w:t>
            </w:r>
          </w:p>
        </w:tc>
        <w:tc>
          <w:tcPr>
            <w:tcW w:w="52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 w:val="21"/>
                <w:szCs w:val="21"/>
              </w:rPr>
            </w:pPr>
            <w:r>
              <w:rPr>
                <w:rFonts w:hint="eastAsia" w:ascii="Times New Roman" w:hAnsi="Times New Roman" w:eastAsia="仿宋_GB2312" w:cs="Times New Roman"/>
                <w:b w:val="0"/>
                <w:bCs/>
                <w:sz w:val="21"/>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72"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3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05"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stheme="minorBidi"/>
                <w:kern w:val="2"/>
                <w:sz w:val="21"/>
                <w:szCs w:val="21"/>
                <w:lang w:val="en-US" w:eastAsia="zh-CN" w:bidi="ar-SA"/>
              </w:rPr>
            </w:pPr>
            <w:r>
              <w:rPr>
                <w:rFonts w:hint="eastAsia" w:ascii="Times New Roman" w:hAnsi="Times New Roman" w:eastAsia="仿宋_GB2312" w:cs="Times New Roman"/>
                <w:b w:val="0"/>
                <w:bCs/>
                <w:sz w:val="21"/>
                <w:szCs w:val="21"/>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Times New Roman" w:hAnsi="Times New Roman"/>
                <w:sz w:val="21"/>
                <w:szCs w:val="21"/>
              </w:rPr>
            </w:pPr>
            <w:r>
              <w:rPr>
                <w:rFonts w:hint="eastAsia" w:ascii="Times New Roman" w:hAnsi="Times New Roman" w:eastAsia="仿宋_GB2312" w:cs="Times New Roman"/>
                <w:b w:val="0"/>
                <w:bCs/>
                <w:sz w:val="21"/>
                <w:szCs w:val="21"/>
                <w:lang w:val="en-US" w:eastAsia="zh-CN"/>
              </w:rPr>
              <w:t>0</w:t>
            </w:r>
          </w:p>
        </w:tc>
      </w:tr>
    </w:tbl>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存在的主要问题及改进情况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eastAsia"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仿宋_GB2312" w:cs="Times New Roman"/>
          <w:b w:val="0"/>
          <w:bCs/>
          <w:color w:val="auto"/>
          <w:kern w:val="2"/>
          <w:sz w:val="32"/>
          <w:szCs w:val="32"/>
          <w:lang w:val="en-US" w:eastAsia="zh-CN" w:bidi="ar-SA"/>
        </w:rPr>
        <w:t>202</w:t>
      </w:r>
      <w:r>
        <w:rPr>
          <w:rFonts w:hint="default" w:ascii="Times New Roman" w:hAnsi="Times New Roman" w:eastAsia="仿宋_GB2312" w:cs="Times New Roman"/>
          <w:b w:val="0"/>
          <w:bCs/>
          <w:color w:val="auto"/>
          <w:kern w:val="2"/>
          <w:sz w:val="32"/>
          <w:szCs w:val="32"/>
          <w:lang w:val="en" w:eastAsia="zh-CN" w:bidi="ar-SA"/>
        </w:rPr>
        <w:t>4</w:t>
      </w:r>
      <w:r>
        <w:rPr>
          <w:rFonts w:hint="eastAsia" w:ascii="Times New Roman" w:hAnsi="Times New Roman" w:eastAsia="仿宋_GB2312" w:cs="Times New Roman"/>
          <w:b w:val="0"/>
          <w:bCs/>
          <w:color w:val="auto"/>
          <w:kern w:val="2"/>
          <w:sz w:val="32"/>
          <w:szCs w:val="32"/>
          <w:lang w:val="en-US" w:eastAsia="zh-CN" w:bidi="ar-SA"/>
        </w:rPr>
        <w:t>年，政务公开工作虽然取得一定的成果，但与信访工作结合不够紧密，在内容、形式、时效等方面还有待加强。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50" w:lineRule="exact"/>
        <w:ind w:right="0" w:firstLine="640" w:firstLineChars="200"/>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eastAsia" w:ascii="Times New Roman" w:hAnsi="Times New Roman" w:eastAsia="仿宋_GB2312" w:cs="Times New Roman"/>
          <w:b w:val="0"/>
          <w:bCs/>
          <w:color w:val="auto"/>
          <w:kern w:val="2"/>
          <w:sz w:val="32"/>
          <w:szCs w:val="32"/>
          <w:lang w:val="en-US" w:eastAsia="zh-CN" w:bidi="ar-SA"/>
        </w:rPr>
        <w:t>2025年，区信访局将持续强化机关干部培训学习，普及政务公开申请和信访业务知识，紧抓政府网站平台管理，主抓信息公开质量，严格执行“三审三校”制度，将信访工作法治化与政务公开紧密结合，推动政务公开纵深发展。</w:t>
      </w: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Chars="200" w:right="0" w:rightChars="0"/>
        <w:jc w:val="both"/>
        <w:textAlignment w:val="auto"/>
        <w:rPr>
          <w:rFonts w:hint="eastAsia" w:ascii="黑体" w:hAnsi="黑体" w:eastAsia="黑体" w:cs="黑体"/>
          <w:b w:val="0"/>
          <w:bCs/>
          <w:i w:val="0"/>
          <w:caps w:val="0"/>
          <w:color w:val="auto"/>
          <w:spacing w:val="0"/>
          <w:kern w:val="0"/>
          <w:sz w:val="32"/>
          <w:szCs w:val="32"/>
          <w:shd w:val="clear" w:fill="FFFFFF"/>
          <w:lang w:val="en-US" w:eastAsia="zh-CN" w:bidi="ar"/>
        </w:rPr>
      </w:pPr>
      <w:r>
        <w:rPr>
          <w:rFonts w:hint="eastAsia" w:ascii="黑体" w:hAnsi="黑体" w:eastAsia="黑体" w:cs="黑体"/>
          <w:b w:val="0"/>
          <w:bCs/>
          <w:i w:val="0"/>
          <w:caps w:val="0"/>
          <w:color w:val="auto"/>
          <w:spacing w:val="0"/>
          <w:kern w:val="0"/>
          <w:sz w:val="32"/>
          <w:szCs w:val="32"/>
          <w:shd w:val="clear" w:fill="FFFFFF"/>
          <w:lang w:val="en-US" w:eastAsia="zh-CN" w:bidi="ar"/>
        </w:rPr>
        <w:t>六、其他需要报告的事项</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40" w:lineRule="exact"/>
        <w:ind w:left="0" w:right="0" w:firstLine="645"/>
        <w:jc w:val="both"/>
        <w:textAlignment w:val="auto"/>
        <w:rPr>
          <w:rFonts w:hint="eastAsia" w:ascii="仿宋_GB2312" w:hAnsi="仿宋_GB2312" w:eastAsia="仿宋_GB2312" w:cs="仿宋_GB2312"/>
          <w:i w:val="0"/>
          <w:caps w:val="0"/>
          <w:color w:val="auto"/>
          <w:spacing w:val="0"/>
          <w:kern w:val="2"/>
          <w:sz w:val="32"/>
          <w:szCs w:val="32"/>
          <w:shd w:val="clear" w:fill="FFFFFF"/>
          <w:lang w:val="en-US" w:eastAsia="zh-CN" w:bidi="ar-SA"/>
        </w:rPr>
      </w:pPr>
      <w:r>
        <w:rPr>
          <w:rFonts w:hint="eastAsia" w:ascii="Times New Roman" w:hAnsi="Times New Roman" w:eastAsia="仿宋_GB2312" w:cs="Times New Roman"/>
          <w:b w:val="0"/>
          <w:bCs/>
          <w:kern w:val="2"/>
          <w:sz w:val="32"/>
          <w:szCs w:val="32"/>
          <w:lang w:val="en-US" w:eastAsia="zh-CN" w:bidi="ar-SA"/>
        </w:rPr>
        <w:t>1.政府信息公开收费方面：</w:t>
      </w:r>
      <w:r>
        <w:rPr>
          <w:rFonts w:hint="eastAsia" w:ascii="仿宋_GB2312" w:hAnsi="仿宋_GB2312" w:eastAsia="仿宋_GB2312" w:cs="仿宋_GB2312"/>
          <w:i w:val="0"/>
          <w:caps w:val="0"/>
          <w:color w:val="auto"/>
          <w:spacing w:val="0"/>
          <w:kern w:val="2"/>
          <w:sz w:val="32"/>
          <w:szCs w:val="32"/>
          <w:shd w:val="clear" w:fill="FFFFFF"/>
          <w:lang w:val="en-US" w:eastAsia="zh-CN" w:bidi="ar-SA"/>
        </w:rPr>
        <w:t>本年度本单位依申请公开政府信息未收取任何费用。</w:t>
      </w:r>
    </w:p>
    <w:p>
      <w:pPr>
        <w:pStyle w:val="2"/>
        <w:keepNext w:val="0"/>
        <w:keepLines w:val="0"/>
        <w:pageBreakBefore w:val="0"/>
        <w:widowControl w:val="0"/>
        <w:kinsoku/>
        <w:wordWrap/>
        <w:overflowPunct/>
        <w:topLinePunct w:val="0"/>
        <w:autoSpaceDE w:val="0"/>
        <w:autoSpaceDN w:val="0"/>
        <w:bidi w:val="0"/>
        <w:adjustRightInd w:val="0"/>
        <w:snapToGrid/>
        <w:spacing w:line="540" w:lineRule="exact"/>
        <w:ind w:firstLine="640" w:firstLineChars="200"/>
        <w:textAlignment w:val="auto"/>
        <w:rPr>
          <w:rFonts w:hint="eastAsia" w:ascii="Times New Roman" w:hAnsi="Times New Roman" w:eastAsia="仿宋_GB2312" w:cs="Times New Roman"/>
          <w:b w:val="0"/>
          <w:bCs/>
          <w:color w:val="auto"/>
          <w:kern w:val="2"/>
          <w:sz w:val="32"/>
          <w:szCs w:val="32"/>
          <w:lang w:val="en-US" w:eastAsia="zh-CN" w:bidi="ar-SA"/>
        </w:rPr>
      </w:pPr>
      <w:r>
        <w:rPr>
          <w:rFonts w:hint="default" w:ascii="Times New Roman" w:hAnsi="Times New Roman" w:eastAsia="仿宋_GB2312" w:cs="Times New Roman"/>
          <w:b w:val="0"/>
          <w:bCs/>
          <w:color w:val="auto"/>
          <w:kern w:val="2"/>
          <w:sz w:val="32"/>
          <w:szCs w:val="32"/>
          <w:lang w:val="en" w:eastAsia="zh-CN" w:bidi="ar-SA"/>
        </w:rPr>
        <w:t>2</w:t>
      </w:r>
      <w:r>
        <w:rPr>
          <w:rFonts w:hint="eastAsia" w:ascii="Times New Roman" w:hAnsi="Times New Roman" w:eastAsia="仿宋_GB2312" w:cs="Times New Roman"/>
          <w:b w:val="0"/>
          <w:bCs/>
          <w:color w:val="auto"/>
          <w:kern w:val="2"/>
          <w:sz w:val="32"/>
          <w:szCs w:val="32"/>
          <w:lang w:val="en-US" w:eastAsia="zh-CN" w:bidi="ar-SA"/>
        </w:rPr>
        <w:t>.人大代表、政协委员提案办理方面：2024年，本单位未收到人大代表建议、政协委员提案。</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40" w:lineRule="exact"/>
        <w:ind w:left="0" w:right="0" w:firstLine="645"/>
        <w:jc w:val="both"/>
        <w:textAlignment w:val="auto"/>
        <w:rPr>
          <w:rFonts w:hint="default" w:ascii="Times New Roman" w:hAnsi="Times New Roman" w:eastAsia="仿宋_GB2312" w:cs="Times New Roman"/>
          <w:b w:val="0"/>
          <w:bCs/>
          <w:color w:val="auto"/>
          <w:kern w:val="2"/>
          <w:sz w:val="32"/>
          <w:szCs w:val="32"/>
          <w:lang w:val="en-US" w:eastAsia="zh-CN" w:bidi="ar-SA"/>
        </w:rPr>
      </w:pPr>
      <w:r>
        <w:rPr>
          <w:rFonts w:hint="default" w:ascii="Times New Roman" w:hAnsi="Times New Roman" w:eastAsia="仿宋_GB2312" w:cs="Times New Roman"/>
          <w:b w:val="0"/>
          <w:bCs/>
          <w:color w:val="auto"/>
          <w:kern w:val="2"/>
          <w:sz w:val="32"/>
          <w:szCs w:val="32"/>
          <w:lang w:val="en-US" w:eastAsia="zh-CN" w:bidi="ar-SA"/>
        </w:rPr>
        <w:t>3.落实上级年度政务公开工作要点情况：信访局对照上级政务公开工作要点，逐</w:t>
      </w:r>
      <w:r>
        <w:rPr>
          <w:rFonts w:hint="eastAsia" w:ascii="Times New Roman" w:hAnsi="Times New Roman" w:eastAsia="仿宋_GB2312" w:cs="Times New Roman"/>
          <w:b w:val="0"/>
          <w:bCs/>
          <w:color w:val="auto"/>
          <w:kern w:val="2"/>
          <w:sz w:val="32"/>
          <w:szCs w:val="32"/>
          <w:lang w:val="en-US" w:eastAsia="zh-CN" w:bidi="ar-SA"/>
        </w:rPr>
        <w:t>条逐项进行对照落实</w:t>
      </w:r>
      <w:r>
        <w:rPr>
          <w:rFonts w:hint="default" w:ascii="Times New Roman" w:hAnsi="Times New Roman" w:eastAsia="仿宋_GB2312" w:cs="Times New Roman"/>
          <w:b w:val="0"/>
          <w:bCs/>
          <w:color w:val="auto"/>
          <w:kern w:val="2"/>
          <w:sz w:val="32"/>
          <w:szCs w:val="32"/>
          <w:lang w:val="en-US" w:eastAsia="zh-CN" w:bidi="ar-SA"/>
        </w:rPr>
        <w:t>，</w:t>
      </w:r>
      <w:r>
        <w:rPr>
          <w:rFonts w:hint="eastAsia" w:ascii="Times New Roman" w:hAnsi="Times New Roman" w:eastAsia="仿宋_GB2312" w:cs="Times New Roman"/>
          <w:b w:val="0"/>
          <w:bCs/>
          <w:color w:val="auto"/>
          <w:kern w:val="2"/>
          <w:sz w:val="32"/>
          <w:szCs w:val="32"/>
          <w:lang w:val="en-US" w:eastAsia="zh-CN" w:bidi="ar-SA"/>
        </w:rPr>
        <w:t>以高标准、严</w:t>
      </w:r>
      <w:r>
        <w:rPr>
          <w:rFonts w:hint="default" w:ascii="Times New Roman" w:hAnsi="Times New Roman" w:eastAsia="仿宋_GB2312" w:cs="Times New Roman"/>
          <w:b w:val="0"/>
          <w:bCs/>
          <w:color w:val="auto"/>
          <w:kern w:val="2"/>
          <w:sz w:val="32"/>
          <w:szCs w:val="32"/>
          <w:lang w:val="en-US" w:eastAsia="zh-CN" w:bidi="ar-SA"/>
        </w:rPr>
        <w:t>要求推进政务公开工作</w:t>
      </w:r>
      <w:r>
        <w:rPr>
          <w:rFonts w:hint="eastAsia" w:ascii="Times New Roman" w:hAnsi="Times New Roman" w:eastAsia="仿宋_GB2312" w:cs="Times New Roman"/>
          <w:b w:val="0"/>
          <w:bCs/>
          <w:color w:val="auto"/>
          <w:kern w:val="2"/>
          <w:sz w:val="32"/>
          <w:szCs w:val="32"/>
          <w:lang w:val="en-US" w:eastAsia="zh-CN" w:bidi="ar-SA"/>
        </w:rPr>
        <w:t>，确保信息发布及时、有效、准确</w:t>
      </w:r>
      <w:r>
        <w:rPr>
          <w:rFonts w:hint="default" w:ascii="Times New Roman" w:hAnsi="Times New Roman" w:eastAsia="仿宋_GB2312" w:cs="Times New Roman"/>
          <w:b w:val="0"/>
          <w:bCs/>
          <w:color w:val="auto"/>
          <w:kern w:val="2"/>
          <w:sz w:val="32"/>
          <w:szCs w:val="32"/>
          <w:lang w:val="en-US" w:eastAsia="zh-CN" w:bidi="ar-SA"/>
        </w:rPr>
        <w:t>。</w:t>
      </w:r>
    </w:p>
    <w:p>
      <w:pPr>
        <w:pStyle w:val="3"/>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6"/>
        <w:jc w:val="both"/>
        <w:textAlignment w:val="auto"/>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b w:val="0"/>
          <w:bCs/>
          <w:kern w:val="2"/>
          <w:sz w:val="32"/>
          <w:szCs w:val="32"/>
          <w:lang w:val="en" w:eastAsia="zh-CN" w:bidi="ar-SA"/>
        </w:rPr>
        <w:t>4</w:t>
      </w:r>
      <w:r>
        <w:rPr>
          <w:rFonts w:hint="default" w:ascii="Times New Roman" w:hAnsi="Times New Roman" w:eastAsia="仿宋_GB2312" w:cs="Times New Roman"/>
          <w:b w:val="0"/>
          <w:bCs/>
          <w:kern w:val="2"/>
          <w:sz w:val="32"/>
          <w:szCs w:val="32"/>
          <w:lang w:val="en-US" w:eastAsia="zh-CN" w:bidi="ar-SA"/>
        </w:rPr>
        <w:t>.</w:t>
      </w:r>
      <w:r>
        <w:rPr>
          <w:rFonts w:hint="eastAsia" w:ascii="Times New Roman" w:hAnsi="Times New Roman" w:eastAsia="仿宋_GB2312" w:cs="Times New Roman"/>
          <w:b w:val="0"/>
          <w:bCs/>
          <w:kern w:val="2"/>
          <w:sz w:val="32"/>
          <w:szCs w:val="32"/>
          <w:lang w:val="en-US" w:eastAsia="zh-CN" w:bidi="ar-SA"/>
        </w:rPr>
        <w:t>其他方面：</w:t>
      </w:r>
      <w:r>
        <w:rPr>
          <w:rFonts w:hint="default" w:ascii="Times New Roman" w:hAnsi="Times New Roman" w:eastAsia="仿宋_GB2312" w:cs="Times New Roman"/>
          <w:b w:val="0"/>
          <w:bCs/>
          <w:kern w:val="2"/>
          <w:sz w:val="32"/>
          <w:szCs w:val="32"/>
          <w:lang w:val="en-US" w:eastAsia="zh-CN" w:bidi="ar-SA"/>
        </w:rPr>
        <w:t>根据</w:t>
      </w:r>
      <w:r>
        <w:rPr>
          <w:rFonts w:hint="eastAsia" w:ascii="Times New Roman" w:hAnsi="Times New Roman" w:eastAsia="仿宋_GB2312" w:cs="Times New Roman"/>
          <w:b w:val="0"/>
          <w:bCs/>
          <w:kern w:val="2"/>
          <w:sz w:val="32"/>
          <w:szCs w:val="32"/>
          <w:lang w:val="en-US" w:eastAsia="zh-CN" w:bidi="ar-SA"/>
        </w:rPr>
        <w:t>上级政务公开工作要求，</w:t>
      </w:r>
      <w:r>
        <w:rPr>
          <w:rFonts w:hint="default" w:ascii="Times New Roman" w:hAnsi="Times New Roman" w:eastAsia="仿宋_GB2312" w:cs="Times New Roman"/>
          <w:b w:val="0"/>
          <w:bCs/>
          <w:kern w:val="2"/>
          <w:sz w:val="32"/>
          <w:szCs w:val="32"/>
          <w:lang w:val="en-US" w:eastAsia="zh-CN" w:bidi="ar-SA"/>
        </w:rPr>
        <w:t>对财政预决算等内容进行了公开</w:t>
      </w:r>
      <w:r>
        <w:rPr>
          <w:rFonts w:hint="eastAsia" w:ascii="Times New Roman" w:hAnsi="Times New Roman" w:eastAsia="仿宋_GB2312" w:cs="Times New Roman"/>
          <w:b w:val="0"/>
          <w:bCs/>
          <w:kern w:val="2"/>
          <w:sz w:val="32"/>
          <w:szCs w:val="32"/>
          <w:lang w:val="en-US" w:eastAsia="zh-CN" w:bidi="ar-SA"/>
        </w:rPr>
        <w:t>，</w:t>
      </w:r>
      <w:r>
        <w:rPr>
          <w:rFonts w:hint="default" w:ascii="Times New Roman" w:hAnsi="Times New Roman" w:eastAsia="仿宋_GB2312" w:cs="Times New Roman"/>
          <w:b w:val="0"/>
          <w:bCs/>
          <w:kern w:val="2"/>
          <w:sz w:val="32"/>
          <w:szCs w:val="32"/>
          <w:lang w:val="en-US" w:eastAsia="zh-CN" w:bidi="ar-SA"/>
        </w:rPr>
        <w:t>结合信访工作实际，</w:t>
      </w:r>
      <w:r>
        <w:rPr>
          <w:rFonts w:hint="eastAsia" w:ascii="Times New Roman" w:hAnsi="Times New Roman" w:eastAsia="仿宋_GB2312" w:cs="Times New Roman"/>
          <w:b w:val="0"/>
          <w:bCs/>
          <w:kern w:val="2"/>
          <w:sz w:val="32"/>
          <w:szCs w:val="32"/>
          <w:lang w:val="en-US" w:eastAsia="zh-CN" w:bidi="ar-SA"/>
        </w:rPr>
        <w:t>通过</w:t>
      </w:r>
      <w:r>
        <w:rPr>
          <w:rFonts w:hint="default" w:ascii="Times New Roman" w:hAnsi="Times New Roman" w:eastAsia="仿宋_GB2312" w:cs="Times New Roman"/>
          <w:b w:val="0"/>
          <w:bCs/>
          <w:kern w:val="2"/>
          <w:sz w:val="32"/>
          <w:szCs w:val="32"/>
          <w:lang w:val="en-US" w:eastAsia="zh-CN" w:bidi="ar-SA"/>
        </w:rPr>
        <w:t>政府开放日</w:t>
      </w:r>
      <w:r>
        <w:rPr>
          <w:rFonts w:hint="eastAsia" w:ascii="Times New Roman" w:hAnsi="Times New Roman" w:eastAsia="仿宋_GB2312" w:cs="Times New Roman"/>
          <w:b w:val="0"/>
          <w:bCs/>
          <w:kern w:val="2"/>
          <w:sz w:val="32"/>
          <w:szCs w:val="32"/>
          <w:lang w:val="en-US" w:eastAsia="zh-CN" w:bidi="ar-SA"/>
        </w:rPr>
        <w:t>活动，</w:t>
      </w:r>
      <w:r>
        <w:rPr>
          <w:rFonts w:hint="default" w:ascii="Times New Roman" w:hAnsi="Times New Roman" w:eastAsia="仿宋_GB2312" w:cs="Times New Roman"/>
          <w:b w:val="0"/>
          <w:bCs/>
          <w:kern w:val="2"/>
          <w:sz w:val="32"/>
          <w:szCs w:val="32"/>
          <w:lang w:val="en-US" w:eastAsia="zh-CN" w:bidi="ar-SA"/>
        </w:rPr>
        <w:t>向社会公众普及</w:t>
      </w:r>
      <w:r>
        <w:rPr>
          <w:rFonts w:hint="eastAsia" w:ascii="Times New Roman" w:hAnsi="Times New Roman" w:eastAsia="仿宋_GB2312" w:cs="Times New Roman"/>
          <w:b w:val="0"/>
          <w:bCs/>
          <w:kern w:val="2"/>
          <w:sz w:val="32"/>
          <w:szCs w:val="32"/>
          <w:lang w:val="en-US" w:eastAsia="zh-CN" w:bidi="ar-SA"/>
        </w:rPr>
        <w:t>相关知识</w:t>
      </w:r>
      <w:r>
        <w:rPr>
          <w:rFonts w:hint="default" w:ascii="Times New Roman" w:hAnsi="Times New Roman" w:eastAsia="仿宋_GB2312" w:cs="Times New Roman"/>
          <w:b w:val="0"/>
          <w:bCs/>
          <w:kern w:val="2"/>
          <w:sz w:val="32"/>
          <w:szCs w:val="32"/>
          <w:lang w:val="en-US" w:eastAsia="zh-CN" w:bidi="ar-SA"/>
        </w:rPr>
        <w:t>，强化政府与民众之间的互动和沟通</w:t>
      </w:r>
      <w:r>
        <w:rPr>
          <w:rFonts w:hint="eastAsia" w:ascii="Times New Roman" w:hAnsi="Times New Roman" w:eastAsia="仿宋_GB2312" w:cs="Times New Roman"/>
          <w:b w:val="0"/>
          <w:bCs/>
          <w:color w:val="auto"/>
          <w:kern w:val="2"/>
          <w:sz w:val="32"/>
          <w:szCs w:val="32"/>
          <w:lang w:val="en-US" w:eastAsia="zh-CN" w:bidi="ar-SA"/>
        </w:rPr>
        <w:t>。本</w:t>
      </w:r>
      <w:r>
        <w:rPr>
          <w:rFonts w:hint="eastAsia" w:ascii="仿宋_GB2312" w:hAnsi="仿宋_GB2312" w:eastAsia="仿宋_GB2312" w:cs="仿宋_GB2312"/>
          <w:sz w:val="32"/>
          <w:szCs w:val="32"/>
          <w:lang w:val="en-US" w:eastAsia="zh-CN"/>
        </w:rPr>
        <w:t>单位所属事业单位环翠区群众权益诉求服务中心按照要求进行了信息公开工作。</w:t>
      </w: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p>
      <w:pPr>
        <w:pStyle w:val="2"/>
        <w:keepNext w:val="0"/>
        <w:keepLines w:val="0"/>
        <w:pageBreakBefore w:val="0"/>
        <w:widowControl w:val="0"/>
        <w:kinsoku/>
        <w:wordWrap/>
        <w:overflowPunct/>
        <w:topLinePunct w:val="0"/>
        <w:autoSpaceDE w:val="0"/>
        <w:autoSpaceDN w:val="0"/>
        <w:bidi w:val="0"/>
        <w:adjustRightInd w:val="0"/>
        <w:snapToGrid/>
        <w:spacing w:line="560" w:lineRule="exact"/>
        <w:ind w:firstLine="5120" w:firstLineChars="1600"/>
        <w:textAlignment w:val="auto"/>
        <w:rPr>
          <w:rFonts w:hint="default" w:ascii="Times New Roman" w:hAnsi="Times New Roman" w:eastAsia="仿宋_GB2312" w:cs="Times New Roman"/>
          <w:b w:val="0"/>
          <w:bCs/>
          <w:color w:val="auto"/>
          <w:kern w:val="2"/>
          <w:sz w:val="32"/>
          <w:szCs w:val="32"/>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3000509000000000000"/>
    <w:charset w:val="86"/>
    <w:family w:val="auto"/>
    <w:pitch w:val="default"/>
    <w:sig w:usb0="00000000" w:usb1="0000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9b1b928a-7b1a-4f49-adba-df0ce4a90b26"/>
  </w:docVars>
  <w:rsids>
    <w:rsidRoot w:val="11AF18C8"/>
    <w:rsid w:val="08D157AC"/>
    <w:rsid w:val="10AFA3C6"/>
    <w:rsid w:val="11AF18C8"/>
    <w:rsid w:val="1A6A77C7"/>
    <w:rsid w:val="21E9640B"/>
    <w:rsid w:val="2FF94331"/>
    <w:rsid w:val="3B7B8775"/>
    <w:rsid w:val="3EFB255E"/>
    <w:rsid w:val="3F7F6D07"/>
    <w:rsid w:val="464F74E8"/>
    <w:rsid w:val="4A963CB3"/>
    <w:rsid w:val="511E6463"/>
    <w:rsid w:val="54F23AC6"/>
    <w:rsid w:val="56F344A5"/>
    <w:rsid w:val="5B2F2252"/>
    <w:rsid w:val="657F7FC2"/>
    <w:rsid w:val="68C9088B"/>
    <w:rsid w:val="6C7C7FF0"/>
    <w:rsid w:val="6EFFEDF0"/>
    <w:rsid w:val="6FDE40E5"/>
    <w:rsid w:val="77181135"/>
    <w:rsid w:val="78A95539"/>
    <w:rsid w:val="79DF8026"/>
    <w:rsid w:val="7BFC1E22"/>
    <w:rsid w:val="7DFFAE03"/>
    <w:rsid w:val="7E2277F5"/>
    <w:rsid w:val="7E2A1886"/>
    <w:rsid w:val="7EDD9A09"/>
    <w:rsid w:val="7F5D0D7A"/>
    <w:rsid w:val="7FBBDC29"/>
    <w:rsid w:val="7FEE31B3"/>
    <w:rsid w:val="7FF3217F"/>
    <w:rsid w:val="9BFF44D6"/>
    <w:rsid w:val="AFED91D7"/>
    <w:rsid w:val="B51D25FA"/>
    <w:rsid w:val="BFAE7CC9"/>
    <w:rsid w:val="BFEFB535"/>
    <w:rsid w:val="CFD98EC0"/>
    <w:rsid w:val="DFFDD6EE"/>
    <w:rsid w:val="F07B5888"/>
    <w:rsid w:val="F5FD3A14"/>
    <w:rsid w:val="F7A6B3B6"/>
    <w:rsid w:val="F95F4281"/>
    <w:rsid w:val="FABFFB74"/>
    <w:rsid w:val="FB776BA3"/>
    <w:rsid w:val="FBBB773C"/>
    <w:rsid w:val="FF2D268C"/>
    <w:rsid w:val="FF9FE8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1996</Words>
  <Characters>2151</Characters>
  <Lines>0</Lines>
  <Paragraphs>0</Paragraphs>
  <TotalTime>3</TotalTime>
  <ScaleCrop>false</ScaleCrop>
  <LinksUpToDate>false</LinksUpToDate>
  <CharactersWithSpaces>2190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2023-01-20T23:45:00Z</dcterms:created>
  <dc:creator>诗人与熊</dc:creator>
  <cp:lastModifiedBy>李佳欣</cp:lastModifiedBy>
  <cp:lastPrinted>2025-01-09T09:53:00Z</cp:lastPrinted>
  <dcterms:modified xsi:type="dcterms:W3CDTF">2025-01-14T09:54:43Z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E69FC135B6704485BACA57740AE2D712</vt:lpwstr>
  </property>
</Properties>
</file>