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widowControl/>
        <w:shd w:val="clear" w:color="auto" w:fill="FFFFFF"/>
        <w:spacing w:beforeAutospacing="0" w:afterAutospacing="0" w:line="560" w:lineRule="exact"/>
        <w:jc w:val="both"/>
        <w:rPr>
          <w:rFonts w:ascii="方正小标宋简体" w:hAnsi="方正小标宋简体" w:eastAsia="方正小标宋简体" w:cs="方正小标宋简体"/>
          <w:bCs/>
          <w:color w:val="333333"/>
          <w:sz w:val="44"/>
          <w:szCs w:val="44"/>
          <w:shd w:val="clear" w:color="auto" w:fill="FFFFFF"/>
        </w:rPr>
      </w:pPr>
    </w:p>
    <w:p>
      <w:pPr>
        <w:pStyle w:val="3"/>
        <w:widowControl/>
        <w:shd w:val="clear" w:color="auto" w:fill="FFFFFF"/>
        <w:spacing w:beforeAutospacing="0" w:afterAutospacing="0" w:line="560" w:lineRule="exact"/>
        <w:jc w:val="center"/>
        <w:rPr>
          <w:rFonts w:ascii="方正小标宋简体" w:hAnsi="方正小标宋简体" w:eastAsia="方正小标宋简体" w:cs="方正小标宋简体"/>
          <w:bCs/>
          <w:spacing w:val="-17"/>
          <w:sz w:val="44"/>
          <w:szCs w:val="44"/>
          <w:shd w:val="clear" w:color="auto" w:fill="FFFFFF"/>
        </w:rPr>
      </w:pPr>
      <w:r>
        <w:rPr>
          <w:rFonts w:hint="eastAsia" w:ascii="方正小标宋简体" w:hAnsi="方正小标宋简体" w:eastAsia="方正小标宋简体" w:cs="方正小标宋简体"/>
          <w:bCs/>
          <w:spacing w:val="-17"/>
          <w:sz w:val="44"/>
          <w:szCs w:val="44"/>
          <w:shd w:val="clear" w:color="auto" w:fill="FFFFFF"/>
        </w:rPr>
        <w:t>威海市环翠区桥头镇</w:t>
      </w:r>
    </w:p>
    <w:p>
      <w:pPr>
        <w:pStyle w:val="3"/>
        <w:widowControl/>
        <w:shd w:val="clear" w:color="auto" w:fill="FFFFFF"/>
        <w:spacing w:beforeAutospacing="0" w:afterAutospacing="0" w:line="560" w:lineRule="exact"/>
        <w:jc w:val="center"/>
        <w:rPr>
          <w:rFonts w:ascii="楷体_GB2312" w:hAnsi="楷体_GB2312" w:eastAsia="楷体_GB2312" w:cs="楷体_GB2312"/>
          <w:bCs/>
          <w:color w:val="333333"/>
          <w:sz w:val="32"/>
          <w:szCs w:val="32"/>
          <w:shd w:val="clear" w:color="auto" w:fill="FFFFFF"/>
        </w:rPr>
      </w:pPr>
      <w:r>
        <w:rPr>
          <w:rFonts w:hint="eastAsia" w:ascii="方正小标宋简体" w:hAnsi="方正小标宋简体" w:eastAsia="方正小标宋简体" w:cs="方正小标宋简体"/>
          <w:bCs/>
          <w:spacing w:val="-17"/>
          <w:sz w:val="44"/>
          <w:szCs w:val="44"/>
          <w:shd w:val="clear" w:color="auto" w:fill="FFFFFF"/>
        </w:rPr>
        <w:t>2023年政府信息公开工作年度报告</w:t>
      </w:r>
    </w:p>
    <w:p>
      <w:pPr>
        <w:pStyle w:val="3"/>
        <w:widowControl/>
        <w:autoSpaceDE w:val="0"/>
        <w:spacing w:beforeAutospacing="0" w:afterAutospacing="0" w:line="560" w:lineRule="exact"/>
        <w:jc w:val="both"/>
        <w:rPr>
          <w:rFonts w:ascii="Times New Roman" w:hAnsi="Times New Roman" w:eastAsia="仿宋_GB2312"/>
          <w:color w:val="000000"/>
          <w:sz w:val="32"/>
          <w:szCs w:val="32"/>
        </w:rPr>
      </w:pPr>
    </w:p>
    <w:p>
      <w:pPr>
        <w:pStyle w:val="3"/>
        <w:widowControl/>
        <w:autoSpaceDE w:val="0"/>
        <w:spacing w:beforeAutospacing="0" w:afterAutospacing="0" w:line="560" w:lineRule="exact"/>
        <w:ind w:firstLine="645"/>
        <w:jc w:val="both"/>
        <w:rPr>
          <w:rFonts w:ascii="Times New Roman" w:hAnsi="Times New Roman"/>
          <w:sz w:val="32"/>
          <w:szCs w:val="32"/>
        </w:rPr>
      </w:pPr>
      <w:r>
        <w:rPr>
          <w:rFonts w:ascii="Times New Roman" w:hAnsi="Times New Roman" w:eastAsia="仿宋_GB2312"/>
          <w:color w:val="000000"/>
          <w:sz w:val="32"/>
          <w:szCs w:val="32"/>
        </w:rPr>
        <w:t>根据《中华人民共和国政府信息公开条例》（国务院令第</w:t>
      </w:r>
      <w:r>
        <w:rPr>
          <w:rFonts w:ascii="Times New Roman" w:hAnsi="Times New Roman"/>
          <w:color w:val="000000"/>
          <w:sz w:val="32"/>
          <w:szCs w:val="32"/>
        </w:rPr>
        <w:t>711</w:t>
      </w:r>
      <w:r>
        <w:rPr>
          <w:rFonts w:ascii="Times New Roman" w:hAnsi="Times New Roman" w:eastAsia="仿宋_GB2312"/>
          <w:color w:val="000000"/>
          <w:sz w:val="32"/>
          <w:szCs w:val="32"/>
        </w:rPr>
        <w:t>号，以下简称《条例》）和《中华人民共和国政府信息公开工</w:t>
      </w:r>
      <w:r>
        <w:rPr>
          <w:rFonts w:ascii="Times New Roman" w:hAnsi="Times New Roman" w:eastAsia="仿宋_GB2312"/>
          <w:sz w:val="32"/>
          <w:szCs w:val="32"/>
        </w:rPr>
        <w:t>作年度报告格式》（国办公开办函〔</w:t>
      </w:r>
      <w:r>
        <w:rPr>
          <w:rFonts w:ascii="Times New Roman" w:hAnsi="Times New Roman"/>
          <w:sz w:val="32"/>
          <w:szCs w:val="32"/>
        </w:rPr>
        <w:t>2021</w:t>
      </w:r>
      <w:r>
        <w:rPr>
          <w:rFonts w:ascii="Times New Roman" w:hAnsi="Times New Roman" w:eastAsia="仿宋_GB2312"/>
          <w:sz w:val="32"/>
          <w:szCs w:val="32"/>
        </w:rPr>
        <w:t>〕30号）要求，结合</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年威海市环翠区</w:t>
      </w:r>
      <w:r>
        <w:rPr>
          <w:rFonts w:hint="eastAsia" w:ascii="Times New Roman" w:hAnsi="Times New Roman" w:eastAsia="仿宋_GB2312"/>
          <w:sz w:val="32"/>
          <w:szCs w:val="32"/>
        </w:rPr>
        <w:t>桥头镇</w:t>
      </w:r>
      <w:r>
        <w:rPr>
          <w:rFonts w:ascii="Times New Roman" w:hAnsi="Times New Roman" w:eastAsia="仿宋_GB2312"/>
          <w:sz w:val="32"/>
          <w:szCs w:val="32"/>
        </w:rPr>
        <w:t>政府信息公开工作实际，编制发布本报告。</w:t>
      </w:r>
    </w:p>
    <w:p>
      <w:pPr>
        <w:pStyle w:val="3"/>
        <w:widowControl/>
        <w:autoSpaceDE w:val="0"/>
        <w:spacing w:beforeAutospacing="0" w:afterAutospacing="0" w:line="560" w:lineRule="exact"/>
        <w:ind w:firstLine="645"/>
        <w:jc w:val="both"/>
        <w:rPr>
          <w:rFonts w:ascii="Times New Roman" w:hAnsi="Times New Roman"/>
          <w:sz w:val="32"/>
          <w:szCs w:val="32"/>
        </w:rPr>
      </w:pPr>
      <w:r>
        <w:rPr>
          <w:rFonts w:ascii="Times New Roman" w:hAnsi="Times New Roman" w:eastAsia="仿宋_GB2312"/>
          <w:sz w:val="32"/>
          <w:szCs w:val="32"/>
        </w:rPr>
        <w:t>本报告内容包括：总体情况、主动公开政府信息情况、收到和处理政府信息公开申请情况、政府信息公开行政复议</w:t>
      </w:r>
      <w:r>
        <w:rPr>
          <w:rFonts w:hint="eastAsia" w:ascii="Times New Roman" w:hAnsi="Times New Roman" w:eastAsia="仿宋_GB2312"/>
          <w:sz w:val="32"/>
          <w:szCs w:val="32"/>
        </w:rPr>
        <w:t>及</w:t>
      </w:r>
      <w:r>
        <w:rPr>
          <w:rFonts w:ascii="Times New Roman" w:hAnsi="Times New Roman" w:eastAsia="仿宋_GB2312"/>
          <w:sz w:val="32"/>
          <w:szCs w:val="32"/>
        </w:rPr>
        <w:t>行政诉讼情况、存在的主要问题及改进情况、其他事项，以及相关指标统计附表等。报告中所列数据统计期限从</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w:t>
      </w:r>
      <w:r>
        <w:rPr>
          <w:rFonts w:ascii="Times New Roman" w:hAnsi="Times New Roman"/>
          <w:sz w:val="32"/>
          <w:szCs w:val="32"/>
        </w:rPr>
        <w:t>1</w:t>
      </w:r>
      <w:r>
        <w:rPr>
          <w:rFonts w:ascii="Times New Roman" w:hAnsi="Times New Roman" w:eastAsia="仿宋_GB2312"/>
          <w:sz w:val="32"/>
          <w:szCs w:val="32"/>
        </w:rPr>
        <w:t>月</w:t>
      </w:r>
      <w:r>
        <w:rPr>
          <w:rFonts w:ascii="Times New Roman" w:hAnsi="Times New Roman"/>
          <w:sz w:val="32"/>
          <w:szCs w:val="32"/>
        </w:rPr>
        <w:t>1</w:t>
      </w:r>
      <w:r>
        <w:rPr>
          <w:rFonts w:ascii="Times New Roman" w:hAnsi="Times New Roman" w:eastAsia="仿宋_GB2312"/>
          <w:sz w:val="32"/>
          <w:szCs w:val="32"/>
        </w:rPr>
        <w:t>日到</w:t>
      </w:r>
      <w:r>
        <w:rPr>
          <w:rFonts w:ascii="Times New Roman" w:hAnsi="Times New Roman"/>
          <w:sz w:val="32"/>
          <w:szCs w:val="32"/>
        </w:rPr>
        <w:t>12</w:t>
      </w:r>
      <w:r>
        <w:rPr>
          <w:rFonts w:ascii="Times New Roman" w:hAnsi="Times New Roman" w:eastAsia="仿宋_GB2312"/>
          <w:sz w:val="32"/>
          <w:szCs w:val="32"/>
        </w:rPr>
        <w:t>月</w:t>
      </w:r>
      <w:r>
        <w:rPr>
          <w:rFonts w:ascii="Times New Roman" w:hAnsi="Times New Roman"/>
          <w:sz w:val="32"/>
          <w:szCs w:val="32"/>
        </w:rPr>
        <w:t>31</w:t>
      </w:r>
      <w:r>
        <w:rPr>
          <w:rFonts w:ascii="Times New Roman" w:hAnsi="Times New Roman" w:eastAsia="仿宋_GB2312"/>
          <w:sz w:val="32"/>
          <w:szCs w:val="32"/>
        </w:rPr>
        <w:t>日止。报告电子版可从</w:t>
      </w:r>
      <w:r>
        <w:rPr>
          <w:rFonts w:hint="eastAsia" w:ascii="Times New Roman" w:hAnsi="Times New Roman" w:eastAsia="仿宋_GB2312"/>
          <w:sz w:val="32"/>
          <w:szCs w:val="32"/>
        </w:rPr>
        <w:t>威海市环翠区人民政府网站</w:t>
      </w:r>
      <w:r>
        <w:rPr>
          <w:rFonts w:ascii="Times New Roman" w:hAnsi="Times New Roman" w:eastAsia="仿宋_GB2312"/>
          <w:sz w:val="32"/>
          <w:szCs w:val="32"/>
        </w:rPr>
        <w:t>（</w:t>
      </w:r>
      <w:r>
        <w:rPr>
          <w:rFonts w:hint="eastAsia" w:ascii="Times New Roman" w:hAnsi="Times New Roman" w:eastAsia="仿宋_GB2312"/>
          <w:sz w:val="32"/>
          <w:szCs w:val="32"/>
        </w:rPr>
        <w:t>网址：http://www.huancui.gov.cn</w:t>
      </w:r>
      <w:r>
        <w:rPr>
          <w:rFonts w:ascii="Times New Roman" w:hAnsi="Times New Roman" w:eastAsia="仿宋_GB2312"/>
          <w:sz w:val="32"/>
          <w:szCs w:val="32"/>
        </w:rPr>
        <w:t>）查阅或下载。公众如需进一步咨询了解相关信息，请与</w:t>
      </w:r>
      <w:r>
        <w:rPr>
          <w:rFonts w:hint="eastAsia" w:ascii="Times New Roman" w:hAnsi="Times New Roman" w:eastAsia="仿宋_GB2312"/>
          <w:sz w:val="32"/>
          <w:szCs w:val="32"/>
        </w:rPr>
        <w:t>威海市环翠区桥头镇人民政府党政办公室</w:t>
      </w:r>
      <w:r>
        <w:rPr>
          <w:rFonts w:ascii="Times New Roman" w:hAnsi="Times New Roman" w:eastAsia="仿宋_GB2312"/>
          <w:sz w:val="32"/>
          <w:szCs w:val="32"/>
        </w:rPr>
        <w:t>联系（地址：</w:t>
      </w:r>
      <w:r>
        <w:rPr>
          <w:rFonts w:hint="eastAsia" w:ascii="Times New Roman" w:hAnsi="Times New Roman" w:eastAsia="仿宋_GB2312"/>
          <w:sz w:val="32"/>
          <w:szCs w:val="32"/>
        </w:rPr>
        <w:t>威海市环翠区桥头镇桥头村镇驻地</w:t>
      </w:r>
      <w:r>
        <w:rPr>
          <w:rFonts w:ascii="Times New Roman" w:hAnsi="Times New Roman" w:eastAsia="仿宋_GB2312"/>
          <w:sz w:val="32"/>
          <w:szCs w:val="32"/>
        </w:rPr>
        <w:t>，电话：</w:t>
      </w:r>
      <w:r>
        <w:rPr>
          <w:rFonts w:hint="eastAsia" w:ascii="Times New Roman" w:hAnsi="Times New Roman" w:eastAsia="仿宋_GB2312"/>
          <w:sz w:val="32"/>
          <w:szCs w:val="32"/>
        </w:rPr>
        <w:t>0631-5521001</w:t>
      </w:r>
      <w:r>
        <w:rPr>
          <w:rFonts w:ascii="Times New Roman" w:hAnsi="Times New Roman" w:eastAsia="仿宋_GB2312"/>
          <w:sz w:val="32"/>
          <w:szCs w:val="32"/>
        </w:rPr>
        <w:t>）。</w:t>
      </w:r>
    </w:p>
    <w:p>
      <w:pPr>
        <w:pStyle w:val="3"/>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rPr>
      </w:pPr>
      <w:r>
        <w:rPr>
          <w:rFonts w:hint="eastAsia" w:ascii="黑体" w:hAnsi="黑体" w:eastAsia="黑体" w:cs="黑体"/>
          <w:bCs/>
          <w:color w:val="333333"/>
          <w:sz w:val="32"/>
          <w:szCs w:val="32"/>
          <w:shd w:val="clear" w:color="auto" w:fill="FFFFFF"/>
        </w:rPr>
        <w:t>一、总体情况</w:t>
      </w:r>
    </w:p>
    <w:p>
      <w:pPr>
        <w:spacing w:line="560" w:lineRule="exact"/>
        <w:ind w:firstLine="640" w:firstLineChars="200"/>
        <w:rPr>
          <w:rFonts w:ascii="Times New Roman" w:hAnsi="Times New Roman" w:eastAsia="仿宋_GB2312" w:cs="Times New Roman"/>
          <w:bCs/>
          <w:sz w:val="32"/>
          <w:szCs w:val="32"/>
        </w:rPr>
      </w:pPr>
      <w:r>
        <w:rPr>
          <w:rFonts w:hint="eastAsia" w:ascii="Times New Roman" w:hAnsi="Times New Roman" w:eastAsia="仿宋_GB2312" w:cs="Times New Roman"/>
          <w:bCs/>
          <w:sz w:val="32"/>
          <w:szCs w:val="32"/>
        </w:rPr>
        <w:t>2023年，桥头镇在环翠区委、区政府的领导下，积极响应区政府政务公开科的号召，深入推进政府信息公开工作。遵守《中华人民共和国政府信息公开条例》等相关法规，桥头镇持续优化政府信息公开机制，创新工作方式。本着以群众问政需求为导向的原则，紧紧聚焦政府工作关键点和社会关切问题，持续加强政府日常工作的公开力度，提高行政工作的透明水平</w:t>
      </w:r>
      <w:r>
        <w:rPr>
          <w:rFonts w:ascii="Times New Roman" w:hAnsi="Times New Roman" w:eastAsia="仿宋_GB2312" w:cs="Times New Roman"/>
          <w:bCs/>
          <w:sz w:val="32"/>
          <w:szCs w:val="32"/>
        </w:rPr>
        <w:t>。</w:t>
      </w: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1.</w:t>
      </w:r>
      <w:r>
        <w:rPr>
          <w:rFonts w:hint="eastAsia" w:ascii="楷体_GB2312" w:hAnsi="楷体_GB2312" w:eastAsia="楷体_GB2312" w:cs="楷体_GB2312"/>
          <w:bCs/>
          <w:sz w:val="32"/>
          <w:szCs w:val="32"/>
        </w:rPr>
        <w:t>主动公开方面。</w:t>
      </w:r>
      <w:r>
        <w:rPr>
          <w:rFonts w:hint="eastAsia" w:ascii="Times New Roman" w:hAnsi="Times New Roman" w:eastAsia="仿宋_GB2312" w:cs="Times New Roman"/>
          <w:bCs/>
          <w:sz w:val="32"/>
          <w:szCs w:val="32"/>
        </w:rPr>
        <w:t>本年度，本单位严格落实《条例》具体工作要求，通过政府网站和政务媒体双渠道积极公开政府工作相关信息，主动公开信息总计1297条，其中通过政府网站公开政府信息118条，主要公开事项为2</w:t>
      </w:r>
      <w:r>
        <w:rPr>
          <w:rFonts w:ascii="Times New Roman" w:hAnsi="Times New Roman" w:eastAsia="仿宋_GB2312" w:cs="Times New Roman"/>
          <w:bCs/>
          <w:sz w:val="32"/>
          <w:szCs w:val="32"/>
        </w:rPr>
        <w:t>023</w:t>
      </w:r>
      <w:r>
        <w:rPr>
          <w:rFonts w:hint="eastAsia" w:ascii="Times New Roman" w:hAnsi="Times New Roman" w:eastAsia="仿宋_GB2312" w:cs="Times New Roman"/>
          <w:bCs/>
          <w:sz w:val="32"/>
          <w:szCs w:val="32"/>
        </w:rPr>
        <w:t>年桥头镇各部门开展工作以及应公开的通知公告类文件等，并针对群众关心的城市建设、道路交通、社会治理、社会保障等领域积极落实民生实事项目并按时公开进展情况表。其次通过微信公众号“秀美桥头”共发布1179条，主要包含政府工作、政民互动等方面报道。</w:t>
      </w: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2.</w:t>
      </w:r>
      <w:r>
        <w:rPr>
          <w:rFonts w:ascii="楷体_GB2312" w:hAnsi="楷体_GB2312" w:eastAsia="楷体_GB2312" w:cs="楷体_GB2312"/>
          <w:bCs/>
          <w:sz w:val="32"/>
          <w:szCs w:val="32"/>
        </w:rPr>
        <w:t>依申请公开工作方面。</w:t>
      </w:r>
      <w:r>
        <w:rPr>
          <w:rFonts w:hint="eastAsia" w:ascii="Times New Roman" w:hAnsi="Times New Roman" w:eastAsia="仿宋_GB2312" w:cs="Times New Roman"/>
          <w:bCs/>
          <w:sz w:val="32"/>
          <w:szCs w:val="32"/>
        </w:rPr>
        <w:t>2023</w:t>
      </w:r>
      <w:r>
        <w:rPr>
          <w:rFonts w:hint="eastAsia" w:ascii="楷体_GB2312" w:hAnsi="楷体_GB2312" w:eastAsia="楷体_GB2312" w:cs="楷体_GB2312"/>
          <w:bCs/>
          <w:sz w:val="32"/>
          <w:szCs w:val="32"/>
        </w:rPr>
        <w:t>年，</w:t>
      </w:r>
      <w:r>
        <w:rPr>
          <w:rFonts w:ascii="Times New Roman" w:hAnsi="Times New Roman" w:eastAsia="仿宋_GB2312" w:cs="Times New Roman"/>
          <w:bCs/>
          <w:sz w:val="32"/>
          <w:szCs w:val="32"/>
        </w:rPr>
        <w:t>本</w:t>
      </w:r>
      <w:r>
        <w:rPr>
          <w:rFonts w:hint="eastAsia" w:ascii="Times New Roman" w:hAnsi="Times New Roman" w:eastAsia="仿宋_GB2312" w:cs="Times New Roman"/>
          <w:bCs/>
          <w:sz w:val="32"/>
          <w:szCs w:val="32"/>
        </w:rPr>
        <w:t>单位</w:t>
      </w:r>
      <w:r>
        <w:rPr>
          <w:rFonts w:ascii="Times New Roman" w:hAnsi="Times New Roman" w:eastAsia="仿宋_GB2312" w:cs="Times New Roman"/>
          <w:bCs/>
          <w:sz w:val="32"/>
          <w:szCs w:val="32"/>
        </w:rPr>
        <w:t>收到和处理政府信息公开申请</w:t>
      </w:r>
      <w:r>
        <w:rPr>
          <w:rFonts w:hint="eastAsia" w:ascii="Times New Roman" w:hAnsi="Times New Roman" w:eastAsia="仿宋_GB2312" w:cs="Times New Roman"/>
          <w:bCs/>
          <w:sz w:val="32"/>
          <w:szCs w:val="32"/>
        </w:rPr>
        <w:t>共1件，其中线上申请0件，线下申请1件，均按照已申请公开处理流程按时办结。相较于2022</w:t>
      </w:r>
      <w:r>
        <w:rPr>
          <w:rFonts w:ascii="Times New Roman" w:hAnsi="Times New Roman" w:eastAsia="仿宋_GB2312" w:cs="Times New Roman"/>
          <w:bCs/>
          <w:sz w:val="32"/>
          <w:szCs w:val="32"/>
        </w:rPr>
        <w:t>年</w:t>
      </w:r>
      <w:r>
        <w:rPr>
          <w:rFonts w:hint="eastAsia" w:ascii="Times New Roman" w:hAnsi="Times New Roman" w:eastAsia="仿宋_GB2312" w:cs="Times New Roman"/>
          <w:bCs/>
          <w:sz w:val="32"/>
          <w:szCs w:val="32"/>
        </w:rPr>
        <w:t>，办件</w:t>
      </w:r>
      <w:r>
        <w:rPr>
          <w:rFonts w:ascii="Times New Roman" w:hAnsi="Times New Roman" w:eastAsia="仿宋_GB2312" w:cs="Times New Roman"/>
          <w:bCs/>
          <w:sz w:val="32"/>
          <w:szCs w:val="32"/>
        </w:rPr>
        <w:t>数量</w:t>
      </w:r>
      <w:r>
        <w:rPr>
          <w:rFonts w:hint="eastAsia" w:ascii="Times New Roman" w:hAnsi="Times New Roman" w:eastAsia="仿宋_GB2312" w:cs="Times New Roman"/>
          <w:bCs/>
          <w:sz w:val="32"/>
          <w:szCs w:val="32"/>
        </w:rPr>
        <w:t>新增1件。</w:t>
      </w: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3.</w:t>
      </w:r>
      <w:r>
        <w:rPr>
          <w:rFonts w:ascii="楷体_GB2312" w:hAnsi="楷体_GB2312" w:eastAsia="楷体_GB2312" w:cs="楷体_GB2312"/>
          <w:bCs/>
          <w:sz w:val="32"/>
          <w:szCs w:val="32"/>
        </w:rPr>
        <w:t>政府信息管理方面。</w:t>
      </w:r>
      <w:r>
        <w:rPr>
          <w:rFonts w:hint="eastAsia" w:ascii="Times New Roman" w:hAnsi="Times New Roman" w:eastAsia="仿宋_GB2312" w:cs="Times New Roman"/>
          <w:bCs/>
          <w:sz w:val="32"/>
          <w:szCs w:val="32"/>
        </w:rPr>
        <w:t>本年度桥头镇认真执行相关法规，由党政办公室主导政务信息公开工作的协调与实施。积极落实政府信息公开有关工作要求，不断提升政府信息公开的质量。由党政办负责人员明确各类政务信息的公开级别,积极公开主动公开类别事项，不予公开的政府信息由分管保密工作的负责人负责审查工作，各科室结合职能积极参与信息的搜集与公开工作，确保信息公开工作有序有效开展。</w:t>
      </w: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4.</w:t>
      </w:r>
      <w:r>
        <w:rPr>
          <w:rFonts w:ascii="楷体_GB2312" w:hAnsi="楷体_GB2312" w:eastAsia="楷体_GB2312" w:cs="楷体_GB2312"/>
          <w:bCs/>
          <w:sz w:val="32"/>
          <w:szCs w:val="32"/>
        </w:rPr>
        <w:t>平台建设方面。</w:t>
      </w:r>
      <w:r>
        <w:rPr>
          <w:rFonts w:ascii="Times New Roman" w:hAnsi="Times New Roman" w:eastAsia="仿宋_GB2312" w:cs="Times New Roman"/>
          <w:bCs/>
          <w:sz w:val="32"/>
          <w:szCs w:val="32"/>
        </w:rPr>
        <w:t>2023</w:t>
      </w:r>
      <w:r>
        <w:rPr>
          <w:rFonts w:hint="eastAsia" w:ascii="Times New Roman" w:hAnsi="Times New Roman" w:eastAsia="仿宋_GB2312" w:cs="Times New Roman"/>
          <w:bCs/>
          <w:sz w:val="32"/>
          <w:szCs w:val="32"/>
        </w:rPr>
        <w:t>年桥头镇政府信息平台建设主要分为线上和线下两个方面，一是通过桥头镇人民政府信息公开网站发布更新业务动态以及通知公告等政府工作内容，其次通过桥头镇政务媒体“秀美桥头”积极宣传区、镇级重点工作事项；二是通过各村居公示栏和宣传栏等线下方式对我镇民生政策、重点强调事项和月、季度重点工作进行公示宣传。</w:t>
      </w: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5.</w:t>
      </w:r>
      <w:r>
        <w:rPr>
          <w:rFonts w:ascii="楷体_GB2312" w:hAnsi="楷体_GB2312" w:eastAsia="楷体_GB2312" w:cs="楷体_GB2312"/>
          <w:bCs/>
          <w:sz w:val="32"/>
          <w:szCs w:val="32"/>
        </w:rPr>
        <w:t>监督保障方面。</w:t>
      </w:r>
      <w:r>
        <w:rPr>
          <w:rFonts w:hint="eastAsia" w:ascii="Times New Roman" w:hAnsi="Times New Roman" w:eastAsia="仿宋_GB2312" w:cs="Times New Roman"/>
          <w:bCs/>
          <w:sz w:val="32"/>
          <w:szCs w:val="32"/>
        </w:rPr>
        <w:t>我镇高度重视政务公开相关工作,信息公开工作由党政办统筹负责，并成立政务公开领导小组，指定人员具体落实政务公开相关工作。桥头镇政务信息公开工作自觉接受群众监督，在政务网站上留有本单位政务公开工作邮箱以及办公电话，目前并未收到群众的相关诉求。</w:t>
      </w:r>
    </w:p>
    <w:p>
      <w:pPr>
        <w:pStyle w:val="3"/>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t>二、主动公开政府信息情况</w:t>
      </w:r>
    </w:p>
    <w:tbl>
      <w:tblPr>
        <w:tblStyle w:val="4"/>
        <w:tblW w:w="8824" w:type="dxa"/>
        <w:tblInd w:w="0" w:type="dxa"/>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Calibri" w:eastAsia="仿宋_GB2312" w:cs="Calibri"/>
                <w:kern w:val="0"/>
                <w:szCs w:val="21"/>
              </w:rPr>
            </w:pPr>
            <w:r>
              <w:rPr>
                <w:rFonts w:hint="eastAsia" w:ascii="仿宋_GB2312" w:hAnsi="Calibri" w:eastAsia="仿宋_GB2312" w:cs="Calibri"/>
                <w:kern w:val="0"/>
                <w:szCs w:val="21"/>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Calibri" w:eastAsia="仿宋_GB2312" w:cs="Calibri"/>
                <w:color w:val="000000"/>
                <w:kern w:val="0"/>
                <w:szCs w:val="21"/>
              </w:rPr>
            </w:pPr>
            <w:r>
              <w:rPr>
                <w:rFonts w:hint="eastAsia" w:ascii="仿宋_GB2312" w:hAnsi="Calibri" w:eastAsia="仿宋_GB2312" w:cs="Calibri"/>
                <w:color w:val="000000"/>
                <w:kern w:val="0"/>
                <w:szCs w:val="21"/>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kern w:val="0"/>
                <w:szCs w:val="21"/>
              </w:rPr>
            </w:pPr>
            <w:r>
              <w:rPr>
                <w:rFonts w:hint="eastAsia" w:ascii="仿宋_GB2312" w:hAnsi="宋体" w:eastAsia="仿宋_GB2312" w:cs="宋体"/>
                <w:kern w:val="0"/>
                <w:szCs w:val="21"/>
              </w:rPr>
              <w:t>　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kern w:val="0"/>
                <w:szCs w:val="21"/>
              </w:rPr>
            </w:pPr>
            <w:r>
              <w:rPr>
                <w:rFonts w:hint="eastAsia" w:ascii="仿宋_GB2312" w:hAnsi="宋体" w:eastAsia="仿宋_GB2312" w:cs="宋体"/>
                <w:kern w:val="0"/>
                <w:szCs w:val="21"/>
              </w:rPr>
              <w:t>　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Calibri" w:eastAsia="仿宋_GB2312" w:cs="Calibri"/>
                <w:color w:val="000000"/>
                <w:kern w:val="0"/>
                <w:szCs w:val="21"/>
              </w:rPr>
            </w:pPr>
            <w:r>
              <w:rPr>
                <w:rFonts w:hint="eastAsia" w:ascii="仿宋_GB2312" w:hAnsi="宋体" w:eastAsia="仿宋_GB2312" w:cs="宋体"/>
                <w:kern w:val="0"/>
                <w:szCs w:val="21"/>
              </w:rPr>
              <w:t>0</w:t>
            </w:r>
          </w:p>
        </w:tc>
      </w:tr>
    </w:tbl>
    <w:p>
      <w:pPr>
        <w:spacing w:line="560" w:lineRule="exact"/>
        <w:ind w:firstLine="640" w:firstLineChars="200"/>
        <w:rPr>
          <w:rFonts w:ascii="黑体" w:hAnsi="黑体" w:eastAsia="黑体" w:cs="黑体"/>
          <w:color w:val="FF0000"/>
          <w:sz w:val="32"/>
          <w:szCs w:val="32"/>
        </w:rPr>
      </w:pPr>
      <w:r>
        <w:rPr>
          <w:rFonts w:hint="eastAsia" w:ascii="黑体" w:hAnsi="黑体" w:eastAsia="黑体" w:cs="黑体"/>
          <w:bCs/>
          <w:kern w:val="0"/>
          <w:sz w:val="32"/>
          <w:szCs w:val="32"/>
          <w:shd w:val="clear" w:color="auto" w:fill="FFFFFF"/>
          <w:lang w:bidi="ar"/>
        </w:rPr>
        <w:t>三、收</w:t>
      </w:r>
      <w:r>
        <w:rPr>
          <w:rFonts w:hint="eastAsia" w:ascii="黑体" w:hAnsi="黑体" w:eastAsia="黑体" w:cs="黑体"/>
          <w:bCs/>
          <w:color w:val="333333"/>
          <w:kern w:val="0"/>
          <w:sz w:val="32"/>
          <w:szCs w:val="32"/>
          <w:shd w:val="clear" w:color="auto" w:fill="FFFFFF"/>
          <w:lang w:bidi="ar"/>
        </w:rPr>
        <w:t>到和处理政府信息公开申请情况</w:t>
      </w:r>
    </w:p>
    <w:tbl>
      <w:tblPr>
        <w:tblStyle w:val="4"/>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699"/>
        <w:gridCol w:w="2972"/>
        <w:gridCol w:w="751"/>
        <w:gridCol w:w="9"/>
        <w:gridCol w:w="10"/>
        <w:gridCol w:w="521"/>
        <w:gridCol w:w="8"/>
        <w:gridCol w:w="9"/>
        <w:gridCol w:w="527"/>
        <w:gridCol w:w="719"/>
        <w:gridCol w:w="674"/>
        <w:gridCol w:w="526"/>
        <w:gridCol w:w="70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448" w:type="dxa"/>
            <w:gridSpan w:val="11"/>
            <w:shd w:val="clear" w:color="auto" w:fill="auto"/>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pPr>
              <w:jc w:val="center"/>
              <w:rPr>
                <w:rFonts w:ascii="仿宋_GB2312" w:hAnsi="Times New Roman" w:eastAsia="仿宋_GB2312"/>
                <w:szCs w:val="21"/>
              </w:rPr>
            </w:pPr>
          </w:p>
        </w:tc>
        <w:tc>
          <w:tcPr>
            <w:tcW w:w="747" w:type="dxa"/>
            <w:vMerge w:val="restart"/>
            <w:shd w:val="clear" w:color="auto" w:fill="auto"/>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自然人</w:t>
            </w:r>
          </w:p>
        </w:tc>
        <w:tc>
          <w:tcPr>
            <w:tcW w:w="3000" w:type="dxa"/>
            <w:gridSpan w:val="9"/>
            <w:shd w:val="clear" w:color="auto" w:fill="auto"/>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701" w:type="dxa"/>
            <w:vMerge w:val="restart"/>
            <w:shd w:val="clear" w:color="auto" w:fill="auto"/>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pPr>
              <w:jc w:val="center"/>
              <w:rPr>
                <w:rFonts w:ascii="仿宋_GB2312" w:hAnsi="Times New Roman" w:eastAsia="仿宋_GB2312"/>
                <w:szCs w:val="21"/>
              </w:rPr>
            </w:pPr>
          </w:p>
        </w:tc>
        <w:tc>
          <w:tcPr>
            <w:tcW w:w="747" w:type="dxa"/>
            <w:vMerge w:val="continue"/>
            <w:shd w:val="clear" w:color="auto" w:fill="auto"/>
            <w:tcMar>
              <w:left w:w="108" w:type="dxa"/>
              <w:right w:w="108" w:type="dxa"/>
            </w:tcMar>
            <w:vAlign w:val="center"/>
          </w:tcPr>
          <w:p>
            <w:pPr>
              <w:jc w:val="center"/>
              <w:rPr>
                <w:rFonts w:ascii="黑体" w:hAnsi="黑体" w:eastAsia="黑体"/>
                <w:szCs w:val="21"/>
              </w:rPr>
            </w:pPr>
          </w:p>
        </w:tc>
        <w:tc>
          <w:tcPr>
            <w:tcW w:w="540" w:type="dxa"/>
            <w:gridSpan w:val="3"/>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40" w:type="dxa"/>
            <w:gridSpan w:val="3"/>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20" w:type="dxa"/>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675" w:type="dxa"/>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25" w:type="dxa"/>
            <w:shd w:val="clear" w:color="auto" w:fill="auto"/>
            <w:tcMar>
              <w:left w:w="108" w:type="dxa"/>
              <w:right w:w="108" w:type="dxa"/>
            </w:tcMar>
            <w:vAlign w:val="center"/>
          </w:tcPr>
          <w:p>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701" w:type="dxa"/>
            <w:vMerge w:val="continue"/>
            <w:shd w:val="clear" w:color="auto" w:fill="auto"/>
            <w:tcMar>
              <w:left w:w="108" w:type="dxa"/>
              <w:right w:w="108" w:type="dxa"/>
            </w:tcMar>
            <w:vAlign w:val="center"/>
          </w:tcPr>
          <w:p>
            <w:pPr>
              <w:jc w:val="center"/>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一、</w:t>
            </w:r>
            <w:bookmarkStart w:id="0" w:name="_Hlk66973412"/>
            <w:r>
              <w:rPr>
                <w:rFonts w:hint="eastAsia" w:ascii="黑体" w:hAnsi="黑体" w:eastAsia="黑体"/>
                <w:kern w:val="0"/>
                <w:szCs w:val="21"/>
              </w:rPr>
              <w:t>本年新收政府信息公开申请数量</w:t>
            </w:r>
            <w:bookmarkEnd w:id="0"/>
          </w:p>
        </w:tc>
        <w:tc>
          <w:tcPr>
            <w:tcW w:w="74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54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4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1"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二、上年结转政府信息公开申请数量</w:t>
            </w:r>
          </w:p>
        </w:tc>
        <w:tc>
          <w:tcPr>
            <w:tcW w:w="74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4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4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1"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pPr>
              <w:widowControl/>
              <w:spacing w:after="180"/>
              <w:rPr>
                <w:rFonts w:ascii="黑体" w:hAnsi="黑体" w:eastAsia="黑体"/>
                <w:szCs w:val="21"/>
              </w:rPr>
            </w:pPr>
            <w:r>
              <w:rPr>
                <w:rFonts w:hint="eastAsia" w:ascii="黑体" w:hAnsi="黑体" w:eastAsia="黑体"/>
                <w:kern w:val="0"/>
                <w:szCs w:val="21"/>
              </w:rPr>
              <w:t>三、本年度办理结果</w:t>
            </w:r>
          </w:p>
        </w:tc>
        <w:tc>
          <w:tcPr>
            <w:tcW w:w="4677" w:type="dxa"/>
            <w:gridSpan w:val="2"/>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（一）予以公开</w:t>
            </w:r>
          </w:p>
        </w:tc>
        <w:tc>
          <w:tcPr>
            <w:tcW w:w="752"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540"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5"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4677" w:type="dxa"/>
            <w:gridSpan w:val="2"/>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（二）部分公开（</w:t>
            </w:r>
            <w:bookmarkStart w:id="1" w:name="_Hlk66973981"/>
            <w:r>
              <w:rPr>
                <w:rFonts w:hint="eastAsia" w:ascii="黑体" w:hAnsi="黑体" w:eastAsia="黑体"/>
                <w:kern w:val="0"/>
                <w:szCs w:val="21"/>
              </w:rPr>
              <w:t>区分处理的，只计这一情形，不计其他情形</w:t>
            </w:r>
            <w:bookmarkEnd w:id="1"/>
            <w:r>
              <w:rPr>
                <w:rFonts w:hint="eastAsia" w:ascii="黑体" w:hAnsi="黑体" w:eastAsia="黑体"/>
                <w:kern w:val="0"/>
                <w:szCs w:val="21"/>
              </w:rPr>
              <w:t>）</w:t>
            </w:r>
          </w:p>
        </w:tc>
        <w:tc>
          <w:tcPr>
            <w:tcW w:w="752"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40"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5"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（三）不予公开</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1.属于国家秘密</w:t>
            </w:r>
          </w:p>
        </w:tc>
        <w:tc>
          <w:tcPr>
            <w:tcW w:w="752"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40"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5"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2" w:name="_Hlk66974104"/>
            <w:r>
              <w:rPr>
                <w:rFonts w:hint="eastAsia" w:ascii="仿宋_GB2312" w:hAnsi="黑体" w:eastAsia="仿宋_GB2312"/>
                <w:kern w:val="0"/>
                <w:szCs w:val="21"/>
              </w:rPr>
              <w:t>其他法律行政法规禁止公开</w:t>
            </w:r>
            <w:bookmarkEnd w:id="2"/>
          </w:p>
        </w:tc>
        <w:tc>
          <w:tcPr>
            <w:tcW w:w="757"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9"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3.危及“三安全一稳定”</w:t>
            </w:r>
          </w:p>
        </w:tc>
        <w:tc>
          <w:tcPr>
            <w:tcW w:w="757"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9"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4.</w:t>
            </w:r>
            <w:bookmarkStart w:id="3" w:name="_Hlk66974290"/>
            <w:r>
              <w:rPr>
                <w:rFonts w:hint="eastAsia" w:ascii="仿宋_GB2312" w:hAnsi="黑体" w:eastAsia="仿宋_GB2312"/>
                <w:kern w:val="0"/>
                <w:szCs w:val="21"/>
              </w:rPr>
              <w:t>保护第三方合法权益</w:t>
            </w:r>
            <w:bookmarkEnd w:id="3"/>
          </w:p>
        </w:tc>
        <w:tc>
          <w:tcPr>
            <w:tcW w:w="757"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9"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5.属于三类内部事务信息</w:t>
            </w:r>
          </w:p>
        </w:tc>
        <w:tc>
          <w:tcPr>
            <w:tcW w:w="76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9"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6.</w:t>
            </w:r>
            <w:bookmarkStart w:id="4" w:name="_Hlk66974555"/>
            <w:r>
              <w:rPr>
                <w:rFonts w:hint="eastAsia" w:ascii="仿宋_GB2312" w:hAnsi="黑体" w:eastAsia="仿宋_GB2312"/>
                <w:kern w:val="0"/>
                <w:szCs w:val="21"/>
              </w:rPr>
              <w:t>属于四类过程性信息</w:t>
            </w:r>
            <w:bookmarkEnd w:id="4"/>
          </w:p>
        </w:tc>
        <w:tc>
          <w:tcPr>
            <w:tcW w:w="76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9"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7.属于行政执法案卷</w:t>
            </w:r>
          </w:p>
        </w:tc>
        <w:tc>
          <w:tcPr>
            <w:tcW w:w="76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9"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8.</w:t>
            </w:r>
            <w:bookmarkStart w:id="5" w:name="_Hlk66975211"/>
            <w:r>
              <w:rPr>
                <w:rFonts w:hint="eastAsia" w:ascii="仿宋_GB2312" w:hAnsi="黑体" w:eastAsia="仿宋_GB2312"/>
                <w:kern w:val="0"/>
                <w:szCs w:val="21"/>
              </w:rPr>
              <w:t>属于行政查询事项</w:t>
            </w:r>
            <w:bookmarkEnd w:id="5"/>
          </w:p>
        </w:tc>
        <w:tc>
          <w:tcPr>
            <w:tcW w:w="76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9"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（四）无法提供</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1.本机关不掌握相关政府信息</w:t>
            </w:r>
          </w:p>
        </w:tc>
        <w:tc>
          <w:tcPr>
            <w:tcW w:w="765"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6" w:name="_Hlk66975392"/>
            <w:r>
              <w:rPr>
                <w:rFonts w:hint="eastAsia" w:ascii="仿宋_GB2312" w:hAnsi="黑体" w:eastAsia="仿宋_GB2312"/>
                <w:kern w:val="0"/>
                <w:szCs w:val="21"/>
              </w:rPr>
              <w:t>没有现成信息需要另行制作</w:t>
            </w:r>
            <w:bookmarkEnd w:id="6"/>
          </w:p>
        </w:tc>
        <w:tc>
          <w:tcPr>
            <w:tcW w:w="765"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3.</w:t>
            </w:r>
            <w:bookmarkStart w:id="7" w:name="_Hlk66975466"/>
            <w:r>
              <w:rPr>
                <w:rFonts w:hint="eastAsia" w:ascii="仿宋_GB2312" w:hAnsi="黑体" w:eastAsia="仿宋_GB2312"/>
                <w:kern w:val="0"/>
                <w:szCs w:val="21"/>
              </w:rPr>
              <w:t>补正后申请内容仍不明确</w:t>
            </w:r>
            <w:bookmarkEnd w:id="7"/>
          </w:p>
        </w:tc>
        <w:tc>
          <w:tcPr>
            <w:tcW w:w="765"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（五）不予处理</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w:t>
            </w:r>
            <w:bookmarkStart w:id="8" w:name="_Hlk66975537"/>
            <w:r>
              <w:rPr>
                <w:rFonts w:hint="eastAsia" w:ascii="仿宋_GB2312" w:hAnsi="黑体" w:eastAsia="仿宋_GB2312"/>
                <w:kern w:val="0"/>
                <w:szCs w:val="21"/>
              </w:rPr>
              <w:t>信访举报投诉类申请</w:t>
            </w:r>
            <w:bookmarkEnd w:id="8"/>
          </w:p>
        </w:tc>
        <w:tc>
          <w:tcPr>
            <w:tcW w:w="765"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2.重复申请</w:t>
            </w:r>
          </w:p>
        </w:tc>
        <w:tc>
          <w:tcPr>
            <w:tcW w:w="76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1"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szCs w:val="21"/>
              </w:rPr>
            </w:pPr>
            <w:r>
              <w:rPr>
                <w:rFonts w:hint="eastAsia" w:ascii="仿宋_GB2312" w:hAnsi="黑体" w:eastAsia="仿宋_GB2312"/>
                <w:kern w:val="0"/>
                <w:szCs w:val="21"/>
              </w:rPr>
              <w:t>3.要求提供公开出版物</w:t>
            </w:r>
          </w:p>
        </w:tc>
        <w:tc>
          <w:tcPr>
            <w:tcW w:w="76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1"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szCs w:val="21"/>
              </w:rPr>
            </w:pPr>
            <w:r>
              <w:rPr>
                <w:rFonts w:hint="eastAsia" w:ascii="仿宋_GB2312" w:hAnsi="黑体" w:eastAsia="仿宋_GB2312"/>
                <w:kern w:val="0"/>
                <w:szCs w:val="21"/>
              </w:rPr>
              <w:t>4.无正当理由大量反复申请</w:t>
            </w:r>
          </w:p>
        </w:tc>
        <w:tc>
          <w:tcPr>
            <w:tcW w:w="76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1"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300" w:lineRule="exact"/>
              <w:rPr>
                <w:rFonts w:ascii="仿宋_GB2312" w:hAnsi="黑体" w:eastAsia="仿宋_GB2312"/>
                <w:kern w:val="0"/>
                <w:szCs w:val="21"/>
              </w:rPr>
            </w:pPr>
            <w:r>
              <w:rPr>
                <w:rFonts w:hint="eastAsia" w:ascii="仿宋_GB2312" w:hAnsi="黑体" w:eastAsia="仿宋_GB2312"/>
                <w:kern w:val="0"/>
                <w:szCs w:val="21"/>
              </w:rPr>
              <w:t>5.要求行政机关确认或重新</w:t>
            </w:r>
          </w:p>
          <w:p>
            <w:pPr>
              <w:widowControl/>
              <w:spacing w:line="300" w:lineRule="exact"/>
              <w:ind w:firstLine="210" w:firstLineChars="100"/>
              <w:rPr>
                <w:rFonts w:ascii="仿宋_GB2312" w:hAnsi="黑体" w:eastAsia="仿宋_GB2312"/>
                <w:szCs w:val="21"/>
              </w:rPr>
            </w:pPr>
            <w:r>
              <w:rPr>
                <w:rFonts w:hint="eastAsia" w:ascii="仿宋_GB2312" w:hAnsi="黑体" w:eastAsia="仿宋_GB2312"/>
                <w:kern w:val="0"/>
                <w:szCs w:val="21"/>
              </w:rPr>
              <w:t>出具已获取信息</w:t>
            </w:r>
          </w:p>
        </w:tc>
        <w:tc>
          <w:tcPr>
            <w:tcW w:w="76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1"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（六）其他处理</w:t>
            </w:r>
          </w:p>
        </w:tc>
        <w:tc>
          <w:tcPr>
            <w:tcW w:w="2976" w:type="dxa"/>
            <w:shd w:val="clear" w:color="auto" w:fill="auto"/>
            <w:vAlign w:val="center"/>
          </w:tcPr>
          <w:p>
            <w:pPr>
              <w:widowControl/>
              <w:spacing w:line="300" w:lineRule="exact"/>
              <w:rPr>
                <w:rFonts w:ascii="仿宋_GB2312" w:hAnsi="楷体" w:eastAsia="仿宋_GB2312"/>
              </w:rPr>
            </w:pPr>
            <w:r>
              <w:rPr>
                <w:rFonts w:hint="eastAsia" w:ascii="仿宋_GB2312" w:hAnsi="楷体" w:eastAsia="仿宋_GB2312"/>
              </w:rPr>
              <w:t>1.申请人无正当理由逾期不补正、行政机关不再处理其政府信息公开申请</w:t>
            </w:r>
          </w:p>
        </w:tc>
        <w:tc>
          <w:tcPr>
            <w:tcW w:w="771"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1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kern w:val="0"/>
                <w:szCs w:val="21"/>
              </w:rPr>
            </w:pPr>
          </w:p>
        </w:tc>
        <w:tc>
          <w:tcPr>
            <w:tcW w:w="2976" w:type="dxa"/>
            <w:shd w:val="clear" w:color="auto" w:fill="auto"/>
            <w:vAlign w:val="center"/>
          </w:tcPr>
          <w:p>
            <w:pPr>
              <w:widowControl/>
              <w:spacing w:line="300" w:lineRule="exact"/>
              <w:rPr>
                <w:rFonts w:ascii="仿宋_GB2312" w:hAnsi="黑体" w:eastAsia="仿宋_GB2312"/>
                <w:kern w:val="0"/>
                <w:szCs w:val="21"/>
              </w:rPr>
            </w:pPr>
            <w:r>
              <w:rPr>
                <w:rFonts w:hint="eastAsia" w:ascii="仿宋_GB2312" w:hAnsi="楷体" w:eastAsia="仿宋_GB2312"/>
              </w:rPr>
              <w:t>2.申请人逾期未按收费通知要求缴纳费用、行政机关不再处理其政府信息公开申请</w:t>
            </w:r>
          </w:p>
        </w:tc>
        <w:tc>
          <w:tcPr>
            <w:tcW w:w="771"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1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kern w:val="0"/>
                <w:szCs w:val="21"/>
              </w:rPr>
            </w:pPr>
          </w:p>
        </w:tc>
        <w:tc>
          <w:tcPr>
            <w:tcW w:w="2976" w:type="dxa"/>
            <w:shd w:val="clear" w:color="auto" w:fill="auto"/>
            <w:vAlign w:val="center"/>
          </w:tcPr>
          <w:p>
            <w:pPr>
              <w:widowControl/>
              <w:spacing w:line="300" w:lineRule="exact"/>
              <w:rPr>
                <w:rFonts w:ascii="仿宋_GB2312" w:hAnsi="黑体" w:eastAsia="仿宋_GB2312"/>
                <w:kern w:val="0"/>
                <w:szCs w:val="21"/>
              </w:rPr>
            </w:pPr>
            <w:r>
              <w:rPr>
                <w:rFonts w:hint="eastAsia" w:ascii="仿宋_GB2312" w:hAnsi="楷体" w:eastAsia="仿宋_GB2312"/>
              </w:rPr>
              <w:t>3.其他</w:t>
            </w:r>
          </w:p>
        </w:tc>
        <w:tc>
          <w:tcPr>
            <w:tcW w:w="771"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1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4677" w:type="dxa"/>
            <w:gridSpan w:val="2"/>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（七）总计</w:t>
            </w:r>
          </w:p>
        </w:tc>
        <w:tc>
          <w:tcPr>
            <w:tcW w:w="76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539"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四、结转下年度继续办理</w:t>
            </w:r>
          </w:p>
        </w:tc>
        <w:tc>
          <w:tcPr>
            <w:tcW w:w="76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9"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bl>
    <w:p>
      <w:pPr>
        <w:spacing w:line="560" w:lineRule="exact"/>
        <w:ind w:firstLine="640" w:firstLineChars="200"/>
        <w:rPr>
          <w:rFonts w:ascii="黑体" w:hAnsi="黑体" w:eastAsia="黑体" w:cs="黑体"/>
          <w:bCs/>
          <w:color w:val="333333"/>
          <w:kern w:val="0"/>
          <w:sz w:val="32"/>
          <w:szCs w:val="32"/>
          <w:shd w:val="clear" w:color="auto" w:fill="FFFFFF"/>
          <w:lang w:bidi="ar"/>
        </w:rPr>
      </w:pPr>
      <w:r>
        <w:rPr>
          <w:rFonts w:hint="eastAsia" w:ascii="黑体" w:hAnsi="黑体" w:eastAsia="黑体" w:cs="黑体"/>
          <w:bCs/>
          <w:color w:val="333333"/>
          <w:kern w:val="0"/>
          <w:sz w:val="32"/>
          <w:szCs w:val="32"/>
          <w:shd w:val="clear" w:color="auto" w:fill="FFFFFF"/>
          <w:lang w:bidi="ar"/>
        </w:rPr>
        <w:t>四、政府信息公开行政复议、行政诉讼情况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r>
    </w:tbl>
    <w:p>
      <w:pPr>
        <w:widowControl/>
        <w:jc w:val="left"/>
        <w:rPr>
          <w:rFonts w:ascii="仿宋_GB2312" w:hAnsi="Calibri" w:eastAsia="仿宋_GB2312" w:cs="Calibri"/>
          <w:color w:val="FF0000"/>
          <w:kern w:val="0"/>
          <w:szCs w:val="21"/>
        </w:rPr>
      </w:pPr>
    </w:p>
    <w:p>
      <w:pPr>
        <w:pStyle w:val="3"/>
        <w:widowControl/>
        <w:numPr>
          <w:ilvl w:val="0"/>
          <w:numId w:val="1"/>
        </w:numPr>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lang w:bidi="ar"/>
        </w:rPr>
      </w:pPr>
      <w:r>
        <w:rPr>
          <w:rFonts w:hint="eastAsia" w:ascii="黑体" w:hAnsi="黑体" w:eastAsia="黑体" w:cs="黑体"/>
          <w:bCs/>
          <w:color w:val="333333"/>
          <w:sz w:val="32"/>
          <w:szCs w:val="32"/>
          <w:shd w:val="clear" w:color="auto" w:fill="FFFFFF"/>
          <w:lang w:bidi="ar"/>
        </w:rPr>
        <w:t>存在的主要问题及改进情况</w:t>
      </w:r>
    </w:p>
    <w:p>
      <w:pPr>
        <w:pStyle w:val="3"/>
        <w:widowControl/>
        <w:shd w:val="clear" w:color="auto" w:fill="FFFFFF"/>
        <w:spacing w:beforeAutospacing="0" w:afterAutospacing="0" w:line="560" w:lineRule="exact"/>
        <w:ind w:firstLine="640" w:firstLineChars="200"/>
        <w:jc w:val="both"/>
        <w:rPr>
          <w:rFonts w:ascii="仿宋_GB2312" w:hAnsi="仿宋_GB2312" w:eastAsia="仿宋_GB2312" w:cs="仿宋_GB2312"/>
          <w:kern w:val="2"/>
          <w:sz w:val="32"/>
          <w:szCs w:val="32"/>
          <w:shd w:val="clear" w:color="auto" w:fill="FFFFFF"/>
        </w:rPr>
      </w:pPr>
      <w:r>
        <w:rPr>
          <w:rFonts w:hint="eastAsia" w:ascii="仿宋_GB2312" w:hAnsi="仿宋_GB2312" w:eastAsia="仿宋_GB2312" w:cs="仿宋_GB2312"/>
          <w:kern w:val="2"/>
          <w:sz w:val="32"/>
          <w:szCs w:val="32"/>
          <w:shd w:val="clear" w:color="auto" w:fill="FFFFFF"/>
        </w:rPr>
        <w:t>（一）问题总结</w:t>
      </w:r>
    </w:p>
    <w:p>
      <w:pPr>
        <w:pStyle w:val="3"/>
        <w:widowControl/>
        <w:shd w:val="clear" w:color="auto" w:fill="FFFFFF"/>
        <w:spacing w:beforeAutospacing="0" w:afterAutospacing="0" w:line="560" w:lineRule="exact"/>
        <w:ind w:firstLine="640" w:firstLineChars="200"/>
        <w:jc w:val="both"/>
        <w:rPr>
          <w:rFonts w:ascii="仿宋_GB2312" w:hAnsi="仿宋_GB2312" w:eastAsia="仿宋_GB2312" w:cs="仿宋_GB2312"/>
          <w:kern w:val="2"/>
          <w:sz w:val="32"/>
          <w:szCs w:val="32"/>
          <w:shd w:val="clear" w:color="auto" w:fill="FFFFFF"/>
        </w:rPr>
      </w:pPr>
      <w:r>
        <w:rPr>
          <w:rFonts w:hint="eastAsia" w:ascii="仿宋_GB2312" w:hAnsi="仿宋_GB2312" w:eastAsia="仿宋_GB2312" w:cs="仿宋_GB2312"/>
          <w:kern w:val="2"/>
          <w:sz w:val="32"/>
          <w:szCs w:val="32"/>
          <w:shd w:val="clear" w:color="auto" w:fill="FFFFFF"/>
        </w:rPr>
        <w:t>首先，需要更深化主动公开的内容。尽管政府信息网站在公开政府信息方面取得了一定成效，但仍需注重听取公众的意见和建议继续做好信息公开相关工作。其次，公开形式需要进一步创新。尽管网站公开是一个有效的方式，但政务信息公开的渠道、途径、方式和范围仍然需要进一步拓宽，以提高信息公开的广度和深度。最后，需要加强政务公开业务培训同时做好工作交接，新接手人员对于政府网站栏目内容以及更新流程需要一定的时间来了解，如果能提前充分开展业务培训则可以降低其给政务公开工作的影响。</w:t>
      </w:r>
    </w:p>
    <w:p>
      <w:pPr>
        <w:pStyle w:val="3"/>
        <w:widowControl/>
        <w:shd w:val="clear" w:color="auto" w:fill="FFFFFF"/>
        <w:spacing w:beforeAutospacing="0" w:afterAutospacing="0" w:line="560" w:lineRule="exact"/>
        <w:ind w:firstLine="640" w:firstLineChars="200"/>
        <w:jc w:val="both"/>
        <w:rPr>
          <w:rFonts w:ascii="仿宋_GB2312" w:hAnsi="仿宋_GB2312" w:eastAsia="仿宋_GB2312" w:cs="仿宋_GB2312"/>
          <w:kern w:val="2"/>
          <w:sz w:val="32"/>
          <w:szCs w:val="32"/>
          <w:shd w:val="clear" w:color="auto" w:fill="FFFFFF"/>
        </w:rPr>
      </w:pPr>
      <w:r>
        <w:rPr>
          <w:rFonts w:hint="eastAsia" w:ascii="仿宋_GB2312" w:hAnsi="仿宋_GB2312" w:eastAsia="仿宋_GB2312" w:cs="仿宋_GB2312"/>
          <w:kern w:val="2"/>
          <w:sz w:val="32"/>
          <w:szCs w:val="32"/>
          <w:shd w:val="clear" w:color="auto" w:fill="FFFFFF"/>
        </w:rPr>
        <w:t>（二）下一步措施</w:t>
      </w:r>
    </w:p>
    <w:p>
      <w:pPr>
        <w:pStyle w:val="3"/>
        <w:widowControl/>
        <w:shd w:val="clear" w:color="auto" w:fill="FFFFFF"/>
        <w:spacing w:beforeAutospacing="0" w:afterAutospacing="0" w:line="560" w:lineRule="exact"/>
        <w:ind w:firstLine="640" w:firstLineChars="200"/>
        <w:jc w:val="both"/>
        <w:rPr>
          <w:rFonts w:ascii="仿宋_GB2312" w:hAnsi="仿宋_GB2312" w:eastAsia="仿宋_GB2312" w:cs="仿宋_GB2312"/>
          <w:kern w:val="2"/>
          <w:sz w:val="32"/>
          <w:szCs w:val="32"/>
          <w:shd w:val="clear" w:color="auto" w:fill="FFFFFF"/>
        </w:rPr>
      </w:pPr>
      <w:r>
        <w:rPr>
          <w:rFonts w:hint="eastAsia" w:ascii="仿宋_GB2312" w:hAnsi="仿宋_GB2312" w:eastAsia="仿宋_GB2312" w:cs="仿宋_GB2312"/>
          <w:kern w:val="2"/>
          <w:sz w:val="32"/>
          <w:szCs w:val="32"/>
          <w:shd w:val="clear" w:color="auto" w:fill="FFFFFF"/>
        </w:rPr>
        <w:t>首先，我们将持续加大主动公开的力度。我们将严格贯彻落实政府信息公开常态化机制，坚决做到应公开尽公开，以最大限度地满足群众的知情权。其次，我们将继续创新公开形式，在当前固有公开形式、公开途径和公开方法的基础上，进一步挖掘政务公开新渠道，以提高信息公开的广度和深度。最后，进一步整理政府信息，保证及时提供和定期维护，我们将确保政府信息公开工作能够按照既定的工作流程有效运作。</w:t>
      </w:r>
    </w:p>
    <w:p>
      <w:pPr>
        <w:pStyle w:val="3"/>
        <w:widowControl/>
        <w:shd w:val="clear" w:color="auto" w:fill="FFFFFF"/>
        <w:spacing w:beforeAutospacing="0" w:afterAutospacing="0" w:line="560" w:lineRule="exact"/>
        <w:ind w:firstLine="640" w:firstLineChars="200"/>
        <w:jc w:val="both"/>
        <w:rPr>
          <w:rFonts w:ascii="仿宋_GB2312" w:hAnsi="仿宋_GB2312" w:eastAsia="仿宋_GB2312" w:cs="仿宋_GB2312"/>
          <w:color w:val="FF0000"/>
          <w:kern w:val="2"/>
          <w:sz w:val="32"/>
          <w:szCs w:val="32"/>
          <w:shd w:val="clear" w:color="auto" w:fill="FFFFFF"/>
        </w:rPr>
      </w:pPr>
      <w:r>
        <w:rPr>
          <w:rFonts w:hint="eastAsia" w:ascii="黑体" w:hAnsi="黑体" w:eastAsia="黑体" w:cs="黑体"/>
          <w:bCs/>
          <w:color w:val="333333"/>
          <w:sz w:val="32"/>
          <w:szCs w:val="32"/>
          <w:shd w:val="clear" w:color="auto" w:fill="FFFFFF"/>
          <w:lang w:bidi="ar"/>
        </w:rPr>
        <w:t>六、其他需要报告的事项</w:t>
      </w:r>
    </w:p>
    <w:p>
      <w:pPr>
        <w:pStyle w:val="3"/>
        <w:widowControl/>
        <w:autoSpaceDE w:val="0"/>
        <w:spacing w:beforeAutospacing="0" w:afterAutospacing="0" w:line="560" w:lineRule="exact"/>
        <w:ind w:firstLine="645"/>
        <w:jc w:val="both"/>
        <w:rPr>
          <w:rFonts w:ascii="Times New Roman" w:hAnsi="Times New Roman" w:eastAsia="仿宋_GB2312"/>
          <w:sz w:val="32"/>
          <w:szCs w:val="32"/>
          <w:u w:val="single"/>
        </w:rPr>
      </w:pPr>
      <w:r>
        <w:rPr>
          <w:rFonts w:ascii="Times New Roman" w:hAnsi="Times New Roman"/>
          <w:sz w:val="32"/>
          <w:szCs w:val="32"/>
        </w:rPr>
        <w:t>1</w:t>
      </w:r>
      <w:r>
        <w:rPr>
          <w:rFonts w:ascii="Times New Roman" w:hAnsi="Times New Roman" w:eastAsia="仿宋_GB2312"/>
          <w:sz w:val="32"/>
          <w:szCs w:val="32"/>
        </w:rPr>
        <w:t>.</w:t>
      </w:r>
      <w:r>
        <w:rPr>
          <w:rFonts w:ascii="Times New Roman" w:hAnsi="Times New Roman" w:eastAsia="楷体_GB2312"/>
          <w:sz w:val="32"/>
          <w:szCs w:val="32"/>
        </w:rPr>
        <w:t>政府信息公开收费方面：</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w:t>
      </w:r>
      <w:r>
        <w:rPr>
          <w:rFonts w:hint="eastAsia" w:ascii="Times New Roman" w:hAnsi="Times New Roman" w:eastAsia="仿宋_GB2312"/>
          <w:sz w:val="32"/>
          <w:szCs w:val="32"/>
        </w:rPr>
        <w:t>威海市环翠区桥头镇人民政府</w:t>
      </w:r>
      <w:r>
        <w:rPr>
          <w:rFonts w:ascii="Times New Roman" w:hAnsi="Times New Roman" w:eastAsia="仿宋_GB2312"/>
          <w:sz w:val="32"/>
          <w:szCs w:val="32"/>
        </w:rPr>
        <w:t>未收取政府信息公开信息处理费</w:t>
      </w:r>
      <w:r>
        <w:rPr>
          <w:rFonts w:hint="eastAsia" w:ascii="Times New Roman" w:hAnsi="Times New Roman" w:eastAsia="仿宋_GB2312"/>
          <w:sz w:val="32"/>
          <w:szCs w:val="32"/>
        </w:rPr>
        <w:t>。</w:t>
      </w:r>
    </w:p>
    <w:p>
      <w:pPr>
        <w:pStyle w:val="3"/>
        <w:widowControl/>
        <w:autoSpaceDE w:val="0"/>
        <w:spacing w:beforeAutospacing="0" w:afterAutospacing="0" w:line="560" w:lineRule="exact"/>
        <w:ind w:firstLine="645"/>
        <w:jc w:val="both"/>
        <w:rPr>
          <w:rFonts w:ascii="Times New Roman" w:hAnsi="Times New Roman"/>
          <w:sz w:val="32"/>
          <w:szCs w:val="32"/>
        </w:rPr>
      </w:pPr>
      <w:r>
        <w:rPr>
          <w:rFonts w:ascii="Times New Roman" w:hAnsi="Times New Roman"/>
          <w:sz w:val="32"/>
          <w:szCs w:val="32"/>
        </w:rPr>
        <w:t>2</w:t>
      </w:r>
      <w:r>
        <w:rPr>
          <w:rFonts w:ascii="Times New Roman" w:hAnsi="Times New Roman" w:eastAsia="仿宋_GB2312"/>
          <w:sz w:val="32"/>
          <w:szCs w:val="32"/>
        </w:rPr>
        <w:t>.</w:t>
      </w:r>
      <w:r>
        <w:rPr>
          <w:rFonts w:ascii="Times New Roman" w:hAnsi="Times New Roman" w:eastAsia="楷体_GB2312"/>
          <w:sz w:val="32"/>
          <w:szCs w:val="32"/>
        </w:rPr>
        <w:t>人大代表、政协委员提案办理方面：</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w:t>
      </w:r>
      <w:r>
        <w:rPr>
          <w:rFonts w:hint="eastAsia" w:ascii="Times New Roman" w:hAnsi="Times New Roman" w:eastAsia="仿宋_GB2312"/>
          <w:sz w:val="32"/>
          <w:szCs w:val="32"/>
        </w:rPr>
        <w:t>桥头镇人民政府</w:t>
      </w:r>
      <w:r>
        <w:rPr>
          <w:rFonts w:ascii="Times New Roman" w:hAnsi="Times New Roman" w:eastAsia="仿宋_GB2312"/>
          <w:sz w:val="32"/>
          <w:szCs w:val="32"/>
        </w:rPr>
        <w:t>共承办市人大代表建议</w:t>
      </w:r>
      <w:r>
        <w:rPr>
          <w:rFonts w:hint="eastAsia" w:ascii="Times New Roman" w:hAnsi="Times New Roman" w:eastAsia="仿宋_GB2312"/>
          <w:sz w:val="32"/>
          <w:szCs w:val="32"/>
          <w:u w:val="single"/>
        </w:rPr>
        <w:t xml:space="preserve">  0  </w:t>
      </w:r>
      <w:r>
        <w:rPr>
          <w:rFonts w:ascii="Times New Roman" w:hAnsi="Times New Roman" w:eastAsia="仿宋_GB2312"/>
          <w:sz w:val="32"/>
          <w:szCs w:val="32"/>
        </w:rPr>
        <w:t>件、政协提案</w:t>
      </w:r>
      <w:r>
        <w:rPr>
          <w:rFonts w:hint="eastAsia" w:ascii="Times New Roman" w:hAnsi="Times New Roman" w:eastAsia="仿宋_GB2312"/>
          <w:sz w:val="32"/>
          <w:szCs w:val="32"/>
          <w:u w:val="single"/>
        </w:rPr>
        <w:t xml:space="preserve">  0  </w:t>
      </w:r>
      <w:r>
        <w:rPr>
          <w:rFonts w:ascii="Times New Roman" w:hAnsi="Times New Roman" w:eastAsia="仿宋_GB2312"/>
          <w:sz w:val="32"/>
          <w:szCs w:val="32"/>
        </w:rPr>
        <w:t>件。</w:t>
      </w:r>
    </w:p>
    <w:p>
      <w:pPr>
        <w:spacing w:line="560" w:lineRule="exact"/>
        <w:ind w:firstLine="646" w:firstLineChars="202"/>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3.落实上级年度政务公开工作要点情况：桥头镇结合镇域实际，严格落实《条例》具体举措，对重要领域、重点工作、专项任务等方面信息坚决主动公开，积极</w:t>
      </w:r>
      <w:bookmarkStart w:id="10" w:name="_GoBack"/>
      <w:bookmarkEnd w:id="10"/>
      <w:r>
        <w:rPr>
          <w:rFonts w:hint="eastAsia" w:ascii="Times New Roman" w:hAnsi="Times New Roman" w:eastAsia="仿宋_GB2312" w:cs="Times New Roman"/>
          <w:sz w:val="32"/>
          <w:szCs w:val="32"/>
          <w:lang w:val="en-US" w:eastAsia="zh-CN"/>
        </w:rPr>
        <w:t>公开，对群众普遍关注的领域信息及时发布，以便群众了解情况、发现问题、反馈问题，扎实推进政务信息公开全过程工作。</w:t>
      </w:r>
    </w:p>
    <w:p>
      <w:pPr>
        <w:spacing w:line="560" w:lineRule="exact"/>
        <w:ind w:firstLine="646" w:firstLineChars="202"/>
        <w:rPr>
          <w:rFonts w:ascii="仿宋_GB2312" w:hAnsi="仿宋_GB2312" w:eastAsia="仿宋_GB2312" w:cs="仿宋_GB2312"/>
          <w:sz w:val="32"/>
          <w:szCs w:val="32"/>
          <w:shd w:val="clear" w:color="auto" w:fill="FFFFFF"/>
        </w:rPr>
      </w:pPr>
      <w:r>
        <w:rPr>
          <w:rFonts w:hint="eastAsia" w:ascii="Times New Roman" w:hAnsi="Times New Roman" w:eastAsia="仿宋_GB2312" w:cs="Times New Roman"/>
          <w:sz w:val="32"/>
          <w:szCs w:val="32"/>
          <w:lang w:val="en-US" w:eastAsia="zh-CN"/>
        </w:rPr>
        <w:t>4</w:t>
      </w:r>
      <w:r>
        <w:rPr>
          <w:rFonts w:ascii="Times New Roman" w:hAnsi="Times New Roman" w:eastAsia="仿宋_GB2312" w:cs="Times New Roman"/>
          <w:sz w:val="32"/>
          <w:szCs w:val="32"/>
        </w:rPr>
        <w:t>.</w:t>
      </w:r>
      <w:r>
        <w:rPr>
          <w:rFonts w:ascii="Times New Roman" w:hAnsi="Times New Roman" w:eastAsia="楷体_GB2312" w:cs="Times New Roman"/>
          <w:sz w:val="32"/>
          <w:szCs w:val="32"/>
        </w:rPr>
        <w:t>其他方面：</w:t>
      </w:r>
      <w:r>
        <w:rPr>
          <w:rFonts w:hint="eastAsia" w:ascii="仿宋_GB2312" w:hAnsi="仿宋_GB2312" w:eastAsia="仿宋_GB2312" w:cs="仿宋_GB2312"/>
          <w:sz w:val="32"/>
          <w:szCs w:val="32"/>
          <w:shd w:val="clear" w:color="auto" w:fill="FFFFFF"/>
        </w:rPr>
        <w:t>桥头镇积极创新政府信息公开工作举措、通过政府开放日活动，进一步巩固政府和群众间的沟通桥梁。2023年6月29日，桥头镇邀请25名人大代表、企业代表以及村居党员代表参加“政府开放日”活动，让活动代表切实感受到政府信息公开工作的高质高效。</w:t>
      </w:r>
    </w:p>
    <w:p>
      <w:pPr>
        <w:pStyle w:val="2"/>
        <w:spacing w:line="560" w:lineRule="exact"/>
        <w:rPr>
          <w:rFonts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QxMmI2ZGNkYTE4YmY5YmUzZjNiODY0ZWU0NGQyMTEifQ=="/>
  </w:docVars>
  <w:rsids>
    <w:rsidRoot w:val="11AF18C8"/>
    <w:rsid w:val="001B7792"/>
    <w:rsid w:val="001D0285"/>
    <w:rsid w:val="001F54FE"/>
    <w:rsid w:val="00290F1E"/>
    <w:rsid w:val="002F0A41"/>
    <w:rsid w:val="003C2747"/>
    <w:rsid w:val="00412231"/>
    <w:rsid w:val="00416D20"/>
    <w:rsid w:val="00781D77"/>
    <w:rsid w:val="007854C3"/>
    <w:rsid w:val="007B101E"/>
    <w:rsid w:val="00822400"/>
    <w:rsid w:val="00823C6F"/>
    <w:rsid w:val="00855C0F"/>
    <w:rsid w:val="0087134C"/>
    <w:rsid w:val="00913898"/>
    <w:rsid w:val="00B06023"/>
    <w:rsid w:val="00B642F2"/>
    <w:rsid w:val="00CC0223"/>
    <w:rsid w:val="00ED24A0"/>
    <w:rsid w:val="00FA0809"/>
    <w:rsid w:val="058A3E48"/>
    <w:rsid w:val="08D157AC"/>
    <w:rsid w:val="10AFA3C6"/>
    <w:rsid w:val="11AF18C8"/>
    <w:rsid w:val="1A6A77C7"/>
    <w:rsid w:val="21E9640B"/>
    <w:rsid w:val="398355DB"/>
    <w:rsid w:val="3F7F6D07"/>
    <w:rsid w:val="408D251E"/>
    <w:rsid w:val="463D08C0"/>
    <w:rsid w:val="464F74E8"/>
    <w:rsid w:val="47796434"/>
    <w:rsid w:val="511E6463"/>
    <w:rsid w:val="54F23AC6"/>
    <w:rsid w:val="56F344A5"/>
    <w:rsid w:val="5B2F2252"/>
    <w:rsid w:val="657F7FC2"/>
    <w:rsid w:val="68C9088B"/>
    <w:rsid w:val="6C7C7FF0"/>
    <w:rsid w:val="77181135"/>
    <w:rsid w:val="7B83009E"/>
    <w:rsid w:val="7BFC1E22"/>
    <w:rsid w:val="7E2277F5"/>
    <w:rsid w:val="7E503E50"/>
    <w:rsid w:val="7F5D0D7A"/>
    <w:rsid w:val="7FF3217F"/>
    <w:rsid w:val="CFD98EC0"/>
    <w:rsid w:val="F95F4281"/>
    <w:rsid w:val="FABFFB74"/>
    <w:rsid w:val="FBBB77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customStyle="1" w:styleId="2">
    <w:name w:val="Default"/>
    <w:autoRedefine/>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Normal (Web)"/>
    <w:basedOn w:val="1"/>
    <w:autoRedefine/>
    <w:qFormat/>
    <w:uiPriority w:val="0"/>
    <w:pPr>
      <w:spacing w:beforeAutospacing="1" w:afterAutospacing="1"/>
      <w:jc w:val="left"/>
    </w:pPr>
    <w:rPr>
      <w:rFonts w:cs="Times New Roman"/>
      <w:kern w:val="0"/>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497</Words>
  <Characters>2834</Characters>
  <Lines>23</Lines>
  <Paragraphs>6</Paragraphs>
  <TotalTime>14</TotalTime>
  <ScaleCrop>false</ScaleCrop>
  <LinksUpToDate>false</LinksUpToDate>
  <CharactersWithSpaces>3325</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2024-01-10T15:39:00Z</dcterms:created>
  <dc:creator>诗人与熊</dc:creator>
  <cp:lastModifiedBy>一棵树苗</cp:lastModifiedBy>
  <cp:lastPrinted>2023-01-16T17:08:00Z</cp:lastPrinted>
  <dcterms:modified xsi:type="dcterms:W3CDTF">2024-02-26T07:42:11Z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A4F1664F54534DFAAD5A08CFAC735818_13</vt:lpwstr>
  </property>
</Properties>
</file>