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Autospacing="0" w:afterAutospacing="0" w:line="560" w:lineRule="exact"/>
        <w:jc w:val="both"/>
        <w:rPr>
          <w:rFonts w:ascii="方正小标宋简体" w:hAnsi="方正小标宋简体" w:eastAsia="方正小标宋简体" w:cs="方正小标宋简体"/>
          <w:bCs/>
          <w:color w:val="333333"/>
          <w:sz w:val="44"/>
          <w:szCs w:val="44"/>
          <w:shd w:val="clear" w:color="auto" w:fill="FFFFFF"/>
        </w:rPr>
      </w:pPr>
    </w:p>
    <w:p>
      <w:pPr>
        <w:pStyle w:val="3"/>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威海市环翠区桥头镇</w:t>
      </w:r>
    </w:p>
    <w:p>
      <w:pPr>
        <w:pStyle w:val="3"/>
        <w:widowControl/>
        <w:shd w:val="clear" w:color="auto" w:fill="FFFFFF"/>
        <w:spacing w:beforeAutospacing="0" w:afterAutospacing="0" w:line="560" w:lineRule="exact"/>
        <w:jc w:val="center"/>
        <w:rPr>
          <w:rFonts w:ascii="楷体_GB2312" w:hAnsi="楷体_GB2312" w:eastAsia="楷体_GB2312" w:cs="楷体_GB2312"/>
          <w:bCs/>
          <w:color w:val="333333"/>
          <w:sz w:val="32"/>
          <w:szCs w:val="32"/>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2023年政府信息公开工作年度报告</w:t>
      </w:r>
    </w:p>
    <w:p>
      <w:pPr>
        <w:pStyle w:val="3"/>
        <w:widowControl/>
        <w:autoSpaceDE w:val="0"/>
        <w:spacing w:beforeAutospacing="0" w:afterAutospacing="0" w:line="560" w:lineRule="exact"/>
        <w:jc w:val="both"/>
        <w:rPr>
          <w:rFonts w:ascii="Times New Roman" w:hAnsi="Times New Roman" w:eastAsia="仿宋_GB2312"/>
          <w:color w:val="000000"/>
          <w:sz w:val="32"/>
          <w:szCs w:val="32"/>
        </w:rPr>
      </w:pPr>
    </w:p>
    <w:p>
      <w:pPr>
        <w:pStyle w:val="3"/>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color w:val="000000"/>
          <w:sz w:val="32"/>
          <w:szCs w:val="32"/>
        </w:rPr>
        <w:t>根据《中华人民共和国政府信息公开条例》（国务院令第</w:t>
      </w:r>
      <w:r>
        <w:rPr>
          <w:rFonts w:ascii="Times New Roman" w:hAnsi="Times New Roman"/>
          <w:color w:val="000000"/>
          <w:sz w:val="32"/>
          <w:szCs w:val="32"/>
        </w:rPr>
        <w:t>711</w:t>
      </w:r>
      <w:r>
        <w:rPr>
          <w:rFonts w:ascii="Times New Roman" w:hAnsi="Times New Roman" w:eastAsia="仿宋_GB2312"/>
          <w:color w:val="000000"/>
          <w:sz w:val="32"/>
          <w:szCs w:val="32"/>
        </w:rPr>
        <w:t>号，以下简称《条例》）和《中华人民共和国政府信息公开工</w:t>
      </w:r>
      <w:r>
        <w:rPr>
          <w:rFonts w:ascii="Times New Roman" w:hAnsi="Times New Roman" w:eastAsia="仿宋_GB2312"/>
          <w:sz w:val="32"/>
          <w:szCs w:val="32"/>
        </w:rPr>
        <w:t>作年度报告格式》（国办公开办函〔</w:t>
      </w:r>
      <w:r>
        <w:rPr>
          <w:rFonts w:ascii="Times New Roman" w:hAnsi="Times New Roman"/>
          <w:sz w:val="32"/>
          <w:szCs w:val="32"/>
        </w:rPr>
        <w:t>2021</w:t>
      </w:r>
      <w:r>
        <w:rPr>
          <w:rFonts w:ascii="Times New Roman" w:hAnsi="Times New Roman" w:eastAsia="仿宋_GB2312"/>
          <w:sz w:val="32"/>
          <w:szCs w:val="32"/>
        </w:rPr>
        <w:t>〕30号）要求，结合</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年威海市环翠区</w:t>
      </w:r>
      <w:r>
        <w:rPr>
          <w:rFonts w:hint="eastAsia" w:ascii="Times New Roman" w:hAnsi="Times New Roman" w:eastAsia="仿宋_GB2312"/>
          <w:sz w:val="32"/>
          <w:szCs w:val="32"/>
        </w:rPr>
        <w:t>桥头镇</w:t>
      </w:r>
      <w:r>
        <w:rPr>
          <w:rFonts w:ascii="Times New Roman" w:hAnsi="Times New Roman" w:eastAsia="仿宋_GB2312"/>
          <w:sz w:val="32"/>
          <w:szCs w:val="32"/>
        </w:rPr>
        <w:t>政府信息公开工作实际，编制发布本报告。</w:t>
      </w:r>
    </w:p>
    <w:p>
      <w:pPr>
        <w:pStyle w:val="3"/>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sz w:val="32"/>
          <w:szCs w:val="32"/>
        </w:rPr>
        <w:t>本报告内容包括：总体情况、主动公开政府信息情况、收到和处理政府信息公开申请情况、政府信息公开行政复议</w:t>
      </w:r>
      <w:r>
        <w:rPr>
          <w:rFonts w:hint="eastAsia" w:ascii="Times New Roman" w:hAnsi="Times New Roman" w:eastAsia="仿宋_GB2312"/>
          <w:sz w:val="32"/>
          <w:szCs w:val="32"/>
        </w:rPr>
        <w:t>及</w:t>
      </w:r>
      <w:r>
        <w:rPr>
          <w:rFonts w:ascii="Times New Roman" w:hAnsi="Times New Roman" w:eastAsia="仿宋_GB2312"/>
          <w:sz w:val="32"/>
          <w:szCs w:val="32"/>
        </w:rPr>
        <w:t>行政诉讼情况、存在的主要问题及改进情况、其他事项，以及相关指标统计附表等。报告中所列数据统计期限从</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ascii="Times New Roman" w:hAnsi="Times New Roman"/>
          <w:sz w:val="32"/>
          <w:szCs w:val="32"/>
        </w:rPr>
        <w:t>1</w:t>
      </w:r>
      <w:r>
        <w:rPr>
          <w:rFonts w:ascii="Times New Roman" w:hAnsi="Times New Roman" w:eastAsia="仿宋_GB2312"/>
          <w:sz w:val="32"/>
          <w:szCs w:val="32"/>
        </w:rPr>
        <w:t>月</w:t>
      </w:r>
      <w:r>
        <w:rPr>
          <w:rFonts w:ascii="Times New Roman" w:hAnsi="Times New Roman"/>
          <w:sz w:val="32"/>
          <w:szCs w:val="32"/>
        </w:rPr>
        <w:t>1</w:t>
      </w:r>
      <w:r>
        <w:rPr>
          <w:rFonts w:ascii="Times New Roman" w:hAnsi="Times New Roman" w:eastAsia="仿宋_GB2312"/>
          <w:sz w:val="32"/>
          <w:szCs w:val="32"/>
        </w:rPr>
        <w:t>日到</w:t>
      </w:r>
      <w:r>
        <w:rPr>
          <w:rFonts w:ascii="Times New Roman" w:hAnsi="Times New Roman"/>
          <w:sz w:val="32"/>
          <w:szCs w:val="32"/>
        </w:rPr>
        <w:t>12</w:t>
      </w:r>
      <w:r>
        <w:rPr>
          <w:rFonts w:ascii="Times New Roman" w:hAnsi="Times New Roman" w:eastAsia="仿宋_GB2312"/>
          <w:sz w:val="32"/>
          <w:szCs w:val="32"/>
        </w:rPr>
        <w:t>月</w:t>
      </w:r>
      <w:r>
        <w:rPr>
          <w:rFonts w:ascii="Times New Roman" w:hAnsi="Times New Roman"/>
          <w:sz w:val="32"/>
          <w:szCs w:val="32"/>
        </w:rPr>
        <w:t>31</w:t>
      </w:r>
      <w:r>
        <w:rPr>
          <w:rFonts w:ascii="Times New Roman" w:hAnsi="Times New Roman" w:eastAsia="仿宋_GB2312"/>
          <w:sz w:val="32"/>
          <w:szCs w:val="32"/>
        </w:rPr>
        <w:t>日止。报告电子版可从</w:t>
      </w:r>
      <w:r>
        <w:rPr>
          <w:rFonts w:hint="eastAsia" w:ascii="Times New Roman" w:hAnsi="Times New Roman" w:eastAsia="仿宋_GB2312"/>
          <w:sz w:val="32"/>
          <w:szCs w:val="32"/>
        </w:rPr>
        <w:t>威海市环翠区人民政府网站</w:t>
      </w:r>
      <w:r>
        <w:rPr>
          <w:rFonts w:ascii="Times New Roman" w:hAnsi="Times New Roman" w:eastAsia="仿宋_GB2312"/>
          <w:sz w:val="32"/>
          <w:szCs w:val="32"/>
        </w:rPr>
        <w:t>（</w:t>
      </w:r>
      <w:r>
        <w:rPr>
          <w:rFonts w:hint="eastAsia" w:ascii="Times New Roman" w:hAnsi="Times New Roman" w:eastAsia="仿宋_GB2312"/>
          <w:sz w:val="32"/>
          <w:szCs w:val="32"/>
        </w:rPr>
        <w:t>网址：http://www.huancui.gov.cn</w:t>
      </w:r>
      <w:r>
        <w:rPr>
          <w:rFonts w:ascii="Times New Roman" w:hAnsi="Times New Roman" w:eastAsia="仿宋_GB2312"/>
          <w:sz w:val="32"/>
          <w:szCs w:val="32"/>
        </w:rPr>
        <w:t>）查阅或下载。公众如需进一步咨询了解相关信息，请与</w:t>
      </w:r>
      <w:r>
        <w:rPr>
          <w:rFonts w:hint="eastAsia" w:ascii="Times New Roman" w:hAnsi="Times New Roman" w:eastAsia="仿宋_GB2312"/>
          <w:sz w:val="32"/>
          <w:szCs w:val="32"/>
        </w:rPr>
        <w:t>威海市环翠区桥头镇人民政府党政办公室</w:t>
      </w:r>
      <w:r>
        <w:rPr>
          <w:rFonts w:ascii="Times New Roman" w:hAnsi="Times New Roman" w:eastAsia="仿宋_GB2312"/>
          <w:sz w:val="32"/>
          <w:szCs w:val="32"/>
        </w:rPr>
        <w:t>联系（地址：</w:t>
      </w:r>
      <w:r>
        <w:rPr>
          <w:rFonts w:hint="eastAsia" w:ascii="Times New Roman" w:hAnsi="Times New Roman" w:eastAsia="仿宋_GB2312"/>
          <w:sz w:val="32"/>
          <w:szCs w:val="32"/>
        </w:rPr>
        <w:t>威海市环翠区桥头镇桥头村镇驻地</w:t>
      </w:r>
      <w:r>
        <w:rPr>
          <w:rFonts w:ascii="Times New Roman" w:hAnsi="Times New Roman" w:eastAsia="仿宋_GB2312"/>
          <w:sz w:val="32"/>
          <w:szCs w:val="32"/>
        </w:rPr>
        <w:t>，电话：</w:t>
      </w:r>
      <w:r>
        <w:rPr>
          <w:rFonts w:hint="eastAsia" w:ascii="Times New Roman" w:hAnsi="Times New Roman" w:eastAsia="仿宋_GB2312"/>
          <w:sz w:val="32"/>
          <w:szCs w:val="32"/>
        </w:rPr>
        <w:t>0631-5521001</w:t>
      </w:r>
      <w:r>
        <w:rPr>
          <w:rFonts w:ascii="Times New Roman" w:hAnsi="Times New Roman" w:eastAsia="仿宋_GB2312"/>
          <w:sz w:val="32"/>
          <w:szCs w:val="32"/>
        </w:rPr>
        <w:t>）。</w:t>
      </w:r>
    </w:p>
    <w:p>
      <w:pPr>
        <w:pStyle w:val="3"/>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一、总体情况</w:t>
      </w:r>
    </w:p>
    <w:p>
      <w:p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2023年，桥头镇在环翠区委、区政府的领导下，积极响应区政府政务公开科的号召，深入推进政府信息公开工作。遵守《中华人民共和国政府信息公开条例》等相关法规，桥头镇持续优化政府信息公开机制，创新工作方式。本着以群众问政需求为导向的原则，紧紧聚焦政府工作关键点和社会关切问题，持续加强政府日常工作的公开力度，提高行政工作的透明水平</w:t>
      </w:r>
      <w:r>
        <w:rPr>
          <w:rFonts w:ascii="Times New Roman" w:hAnsi="Times New Roman" w:eastAsia="仿宋_GB2312" w:cs="Times New Roman"/>
          <w:bCs/>
          <w:sz w:val="32"/>
          <w:szCs w:val="32"/>
        </w:rPr>
        <w:t>。</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w:t>
      </w:r>
      <w:r>
        <w:rPr>
          <w:rFonts w:hint="eastAsia" w:ascii="楷体_GB2312" w:hAnsi="楷体_GB2312" w:eastAsia="楷体_GB2312" w:cs="楷体_GB2312"/>
          <w:bCs/>
          <w:sz w:val="32"/>
          <w:szCs w:val="32"/>
        </w:rPr>
        <w:t>主动公开方面。</w:t>
      </w:r>
      <w:r>
        <w:rPr>
          <w:rFonts w:hint="eastAsia" w:ascii="Times New Roman" w:hAnsi="Times New Roman" w:eastAsia="仿宋_GB2312" w:cs="Times New Roman"/>
          <w:bCs/>
          <w:sz w:val="32"/>
          <w:szCs w:val="32"/>
        </w:rPr>
        <w:t>本年度，本单位严格落实《条例》具体工作要求，通过政府网站和政务媒体双渠道积极公开政府工作相关信息，主动公开信息总计1297条，其中通过政府网站公开政府信息118条，主要公开事项为2</w:t>
      </w:r>
      <w:r>
        <w:rPr>
          <w:rFonts w:ascii="Times New Roman" w:hAnsi="Times New Roman" w:eastAsia="仿宋_GB2312" w:cs="Times New Roman"/>
          <w:bCs/>
          <w:sz w:val="32"/>
          <w:szCs w:val="32"/>
        </w:rPr>
        <w:t>023</w:t>
      </w:r>
      <w:r>
        <w:rPr>
          <w:rFonts w:hint="eastAsia" w:ascii="Times New Roman" w:hAnsi="Times New Roman" w:eastAsia="仿宋_GB2312" w:cs="Times New Roman"/>
          <w:bCs/>
          <w:sz w:val="32"/>
          <w:szCs w:val="32"/>
        </w:rPr>
        <w:t>年桥头镇各部门开展工作以及应公开的通知公告类文件等，并针对群众关心的城市建设、道路交通、社会治理、社会保障等领域积极落实民生实事项目并按时公开进展情况表。其次通过微信公众号“秀美桥头”共发布1179条，主要包含政府工作、政民互动等方面报道。</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w:t>
      </w:r>
      <w:r>
        <w:rPr>
          <w:rFonts w:ascii="楷体_GB2312" w:hAnsi="楷体_GB2312" w:eastAsia="楷体_GB2312" w:cs="楷体_GB2312"/>
          <w:bCs/>
          <w:sz w:val="32"/>
          <w:szCs w:val="32"/>
        </w:rPr>
        <w:t>依申请公开工作方面。</w:t>
      </w:r>
      <w:r>
        <w:rPr>
          <w:rFonts w:hint="eastAsia" w:ascii="Times New Roman" w:hAnsi="Times New Roman" w:eastAsia="仿宋_GB2312" w:cs="Times New Roman"/>
          <w:bCs/>
          <w:sz w:val="32"/>
          <w:szCs w:val="32"/>
        </w:rPr>
        <w:t>2023</w:t>
      </w:r>
      <w:r>
        <w:rPr>
          <w:rFonts w:hint="eastAsia" w:ascii="楷体_GB2312" w:hAnsi="楷体_GB2312" w:eastAsia="楷体_GB2312" w:cs="楷体_GB2312"/>
          <w:bCs/>
          <w:sz w:val="32"/>
          <w:szCs w:val="32"/>
        </w:rPr>
        <w:t>年，</w:t>
      </w:r>
      <w:r>
        <w:rPr>
          <w:rFonts w:ascii="Times New Roman" w:hAnsi="Times New Roman" w:eastAsia="仿宋_GB2312" w:cs="Times New Roman"/>
          <w:bCs/>
          <w:sz w:val="32"/>
          <w:szCs w:val="32"/>
        </w:rPr>
        <w:t>本</w:t>
      </w:r>
      <w:r>
        <w:rPr>
          <w:rFonts w:hint="eastAsia" w:ascii="Times New Roman" w:hAnsi="Times New Roman" w:eastAsia="仿宋_GB2312" w:cs="Times New Roman"/>
          <w:bCs/>
          <w:sz w:val="32"/>
          <w:szCs w:val="32"/>
        </w:rPr>
        <w:t>单位</w:t>
      </w:r>
      <w:r>
        <w:rPr>
          <w:rFonts w:ascii="Times New Roman" w:hAnsi="Times New Roman" w:eastAsia="仿宋_GB2312" w:cs="Times New Roman"/>
          <w:bCs/>
          <w:sz w:val="32"/>
          <w:szCs w:val="32"/>
        </w:rPr>
        <w:t>收到和处理政府信息公开申请</w:t>
      </w:r>
      <w:r>
        <w:rPr>
          <w:rFonts w:hint="eastAsia" w:ascii="Times New Roman" w:hAnsi="Times New Roman" w:eastAsia="仿宋_GB2312" w:cs="Times New Roman"/>
          <w:bCs/>
          <w:sz w:val="32"/>
          <w:szCs w:val="32"/>
        </w:rPr>
        <w:t>共1件，其中线上申请0件，线下申请1件，均按照已申请公开处理流程按时办结。相较于2022</w:t>
      </w:r>
      <w:r>
        <w:rPr>
          <w:rFonts w:ascii="Times New Roman" w:hAnsi="Times New Roman" w:eastAsia="仿宋_GB2312" w:cs="Times New Roman"/>
          <w:bCs/>
          <w:sz w:val="32"/>
          <w:szCs w:val="32"/>
        </w:rPr>
        <w:t>年</w:t>
      </w:r>
      <w:r>
        <w:rPr>
          <w:rFonts w:hint="eastAsia" w:ascii="Times New Roman" w:hAnsi="Times New Roman" w:eastAsia="仿宋_GB2312" w:cs="Times New Roman"/>
          <w:bCs/>
          <w:sz w:val="32"/>
          <w:szCs w:val="32"/>
        </w:rPr>
        <w:t>，办件</w:t>
      </w:r>
      <w:r>
        <w:rPr>
          <w:rFonts w:ascii="Times New Roman" w:hAnsi="Times New Roman" w:eastAsia="仿宋_GB2312" w:cs="Times New Roman"/>
          <w:bCs/>
          <w:sz w:val="32"/>
          <w:szCs w:val="32"/>
        </w:rPr>
        <w:t>数量</w:t>
      </w:r>
      <w:r>
        <w:rPr>
          <w:rFonts w:hint="eastAsia" w:ascii="Times New Roman" w:hAnsi="Times New Roman" w:eastAsia="仿宋_GB2312" w:cs="Times New Roman"/>
          <w:bCs/>
          <w:sz w:val="32"/>
          <w:szCs w:val="32"/>
        </w:rPr>
        <w:t>新增1件。</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w:t>
      </w:r>
      <w:r>
        <w:rPr>
          <w:rFonts w:ascii="楷体_GB2312" w:hAnsi="楷体_GB2312" w:eastAsia="楷体_GB2312" w:cs="楷体_GB2312"/>
          <w:bCs/>
          <w:sz w:val="32"/>
          <w:szCs w:val="32"/>
        </w:rPr>
        <w:t>政府信息管理方面。</w:t>
      </w:r>
      <w:r>
        <w:rPr>
          <w:rFonts w:hint="eastAsia" w:ascii="Times New Roman" w:hAnsi="Times New Roman" w:eastAsia="仿宋_GB2312" w:cs="Times New Roman"/>
          <w:bCs/>
          <w:sz w:val="32"/>
          <w:szCs w:val="32"/>
        </w:rPr>
        <w:t>本年度桥头镇认真执行相关法规，由党政办公室主导政务信息公开工作的协调与实施。积极落实政府信息公开有关工作要求，不断提升政府信息公开的质量。由党政办负责人员明确各类政务信息的公开级别,积极公开主动公开类别事项，不予公开的政府信息由分管保密工作的负责人负责审查工作，各科室结合职能积极参与信息的搜集与公开工作，确保信息公开工作有序有效开展。</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w:t>
      </w:r>
      <w:r>
        <w:rPr>
          <w:rFonts w:ascii="楷体_GB2312" w:hAnsi="楷体_GB2312" w:eastAsia="楷体_GB2312" w:cs="楷体_GB2312"/>
          <w:bCs/>
          <w:sz w:val="32"/>
          <w:szCs w:val="32"/>
        </w:rPr>
        <w:t>平台建设方面。</w:t>
      </w:r>
      <w:r>
        <w:rPr>
          <w:rFonts w:ascii="Times New Roman" w:hAnsi="Times New Roman" w:eastAsia="仿宋_GB2312" w:cs="Times New Roman"/>
          <w:bCs/>
          <w:sz w:val="32"/>
          <w:szCs w:val="32"/>
        </w:rPr>
        <w:t>2023</w:t>
      </w:r>
      <w:r>
        <w:rPr>
          <w:rFonts w:hint="eastAsia" w:ascii="Times New Roman" w:hAnsi="Times New Roman" w:eastAsia="仿宋_GB2312" w:cs="Times New Roman"/>
          <w:bCs/>
          <w:sz w:val="32"/>
          <w:szCs w:val="32"/>
        </w:rPr>
        <w:t>年桥头镇政府信息平台建设主要分为线上和线下两个方面，一是通过桥头镇人民政府信息公开网站发布更新业务动态以及通知公告等政府工作内容，其次通过桥头镇政务媒体“秀美桥头”积极宣传区、镇级重点工作事项；二是通过各村居公示栏和宣传栏等线下方式对我镇民生政策、重点强调事项和月、季度重点工作进行公示宣传。</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5.</w:t>
      </w:r>
      <w:r>
        <w:rPr>
          <w:rFonts w:ascii="楷体_GB2312" w:hAnsi="楷体_GB2312" w:eastAsia="楷体_GB2312" w:cs="楷体_GB2312"/>
          <w:bCs/>
          <w:sz w:val="32"/>
          <w:szCs w:val="32"/>
        </w:rPr>
        <w:t>监督保障方面。</w:t>
      </w:r>
      <w:r>
        <w:rPr>
          <w:rFonts w:hint="eastAsia" w:ascii="Times New Roman" w:hAnsi="Times New Roman" w:eastAsia="仿宋_GB2312" w:cs="Times New Roman"/>
          <w:bCs/>
          <w:sz w:val="32"/>
          <w:szCs w:val="32"/>
        </w:rPr>
        <w:t>我镇高度重视政务公开相关工作,信息公开工作由党政办统筹负责，并成立政务公开领导小组，指定人员具体落实政务公开相关工作。桥头镇政务信息公开工作自觉接受群众监督，在政务网站上留有本单位政务公开工作邮箱以及办公电话，目前并未收到群众的相关诉求。</w:t>
      </w:r>
    </w:p>
    <w:p>
      <w:pPr>
        <w:pStyle w:val="3"/>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宋体" w:eastAsia="仿宋_GB2312" w:cs="宋体"/>
                <w:kern w:val="0"/>
                <w:szCs w:val="21"/>
              </w:rPr>
              <w:t>0</w:t>
            </w:r>
          </w:p>
        </w:tc>
      </w:tr>
    </w:tbl>
    <w:p>
      <w:pPr>
        <w:spacing w:line="560" w:lineRule="exact"/>
        <w:ind w:firstLine="640" w:firstLineChars="200"/>
        <w:rPr>
          <w:rFonts w:ascii="黑体" w:hAnsi="黑体" w:eastAsia="黑体" w:cs="黑体"/>
          <w:color w:val="FF0000"/>
          <w:sz w:val="32"/>
          <w:szCs w:val="32"/>
        </w:rPr>
      </w:pPr>
      <w:r>
        <w:rPr>
          <w:rFonts w:hint="eastAsia" w:ascii="黑体" w:hAnsi="黑体" w:eastAsia="黑体" w:cs="黑体"/>
          <w:bCs/>
          <w:kern w:val="0"/>
          <w:sz w:val="32"/>
          <w:szCs w:val="32"/>
          <w:shd w:val="clear" w:color="auto" w:fill="FFFFFF"/>
          <w:lang w:bidi="ar"/>
        </w:rPr>
        <w:t>三、收</w:t>
      </w:r>
      <w:r>
        <w:rPr>
          <w:rFonts w:hint="eastAsia" w:ascii="黑体" w:hAnsi="黑体" w:eastAsia="黑体" w:cs="黑体"/>
          <w:bCs/>
          <w:color w:val="333333"/>
          <w:kern w:val="0"/>
          <w:sz w:val="32"/>
          <w:szCs w:val="32"/>
          <w:shd w:val="clear" w:color="auto" w:fill="FFFFFF"/>
          <w:lang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699"/>
        <w:gridCol w:w="2972"/>
        <w:gridCol w:w="751"/>
        <w:gridCol w:w="9"/>
        <w:gridCol w:w="10"/>
        <w:gridCol w:w="521"/>
        <w:gridCol w:w="8"/>
        <w:gridCol w:w="9"/>
        <w:gridCol w:w="527"/>
        <w:gridCol w:w="719"/>
        <w:gridCol w:w="674"/>
        <w:gridCol w:w="526"/>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1"/>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9"/>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pPr>
              <w:jc w:val="center"/>
              <w:rPr>
                <w:rFonts w:ascii="黑体" w:hAnsi="黑体" w:eastAsia="黑体"/>
                <w:szCs w:val="21"/>
              </w:rPr>
            </w:pPr>
          </w:p>
        </w:tc>
        <w:tc>
          <w:tcPr>
            <w:tcW w:w="540" w:type="dxa"/>
            <w:gridSpan w:val="3"/>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3"/>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bl>
    <w:p>
      <w:pPr>
        <w:spacing w:line="560" w:lineRule="exact"/>
        <w:ind w:firstLine="640" w:firstLineChars="200"/>
        <w:rPr>
          <w:rFonts w:ascii="黑体" w:hAnsi="黑体" w:eastAsia="黑体" w:cs="黑体"/>
          <w:bCs/>
          <w:color w:val="333333"/>
          <w:kern w:val="0"/>
          <w:sz w:val="32"/>
          <w:szCs w:val="32"/>
          <w:shd w:val="clear" w:color="auto" w:fill="FFFFFF"/>
          <w:lang w:bidi="ar"/>
        </w:rPr>
      </w:pPr>
      <w:r>
        <w:rPr>
          <w:rFonts w:hint="eastAsia" w:ascii="黑体" w:hAnsi="黑体" w:eastAsia="黑体" w:cs="黑体"/>
          <w:bCs/>
          <w:color w:val="333333"/>
          <w:kern w:val="0"/>
          <w:sz w:val="32"/>
          <w:szCs w:val="32"/>
          <w:shd w:val="clear" w:color="auto" w:fill="FFFFFF"/>
          <w:lang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widowControl/>
        <w:jc w:val="left"/>
        <w:rPr>
          <w:rFonts w:ascii="仿宋_GB2312" w:hAnsi="Calibri" w:eastAsia="仿宋_GB2312" w:cs="Calibri"/>
          <w:color w:val="FF0000"/>
          <w:kern w:val="0"/>
          <w:szCs w:val="21"/>
        </w:rPr>
      </w:pPr>
    </w:p>
    <w:p>
      <w:pPr>
        <w:pStyle w:val="3"/>
        <w:widowControl/>
        <w:numPr>
          <w:ilvl w:val="0"/>
          <w:numId w:val="1"/>
        </w:numPr>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存在的主要问题及改进情况</w:t>
      </w:r>
    </w:p>
    <w:p>
      <w:pPr>
        <w:pStyle w:val="3"/>
        <w:widowControl/>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（一）问题总结</w:t>
      </w:r>
    </w:p>
    <w:p>
      <w:pPr>
        <w:pStyle w:val="3"/>
        <w:widowControl/>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首先，需要更深化主动公开的内容。尽管政府信息网站在公开政府信息方面取得了一定成效，但仍需注重听取公众的意见和建议继续做好信息公开相关工作。其次，公开形式需要进一步创新。尽管网站公开是一个有效的方式，但政务信息公开的渠道、途径、方式和范围仍然需要进一步拓宽，以提高信息公开的广度和深度。最后，需要加强政务公开业务培训同时做好工作交接，新接手人员对于政府网站栏目内容以及更新流程需要一定的时间来了解，如果能提前充分开展业务培训则可以降低其给政务公开工作的影响。</w:t>
      </w:r>
    </w:p>
    <w:p>
      <w:pPr>
        <w:pStyle w:val="3"/>
        <w:widowControl/>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（二）下一步措施</w:t>
      </w:r>
    </w:p>
    <w:p>
      <w:pPr>
        <w:pStyle w:val="3"/>
        <w:widowControl/>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首先，我们将持续加大主动公开的力度。我们将严格贯彻落实政府信息公开常态化机制，坚决做到应公开尽公开，以最大限度地满足群众的知情权。其次，我们将继续创新公开形式，在当前固有公开形式、公开途径和公开方法的基础上，进一步挖掘政务公开新渠道，以提高信息公开的广度和深度。最后，进一步整理政府信息，保证及时提供和定期维护，我们将确保政府信息公开工作能够按照既定的工作流程有效运作。</w:t>
      </w:r>
    </w:p>
    <w:p>
      <w:pPr>
        <w:pStyle w:val="3"/>
        <w:widowControl/>
        <w:shd w:val="clear" w:color="auto" w:fill="FFFFFF"/>
        <w:spacing w:beforeAutospacing="0" w:afterAutospacing="0" w:line="560" w:lineRule="exact"/>
        <w:ind w:firstLine="640" w:firstLineChars="200"/>
        <w:jc w:val="both"/>
        <w:rPr>
          <w:rFonts w:ascii="仿宋_GB2312" w:hAnsi="仿宋_GB2312" w:eastAsia="仿宋_GB2312" w:cs="仿宋_GB2312"/>
          <w:color w:val="FF0000"/>
          <w:kern w:val="2"/>
          <w:sz w:val="32"/>
          <w:szCs w:val="32"/>
          <w:shd w:val="clear" w:color="auto" w:fill="FFFFFF"/>
        </w:rPr>
      </w:pPr>
      <w:r>
        <w:rPr>
          <w:rFonts w:hint="eastAsia" w:ascii="黑体" w:hAnsi="黑体" w:eastAsia="黑体" w:cs="黑体"/>
          <w:bCs/>
          <w:color w:val="333333"/>
          <w:sz w:val="32"/>
          <w:szCs w:val="32"/>
          <w:shd w:val="clear" w:color="auto" w:fill="FFFFFF"/>
          <w:lang w:bidi="ar"/>
        </w:rPr>
        <w:t>六、其他需要报告的事项</w:t>
      </w:r>
    </w:p>
    <w:p>
      <w:pPr>
        <w:pStyle w:val="3"/>
        <w:widowControl/>
        <w:autoSpaceDE w:val="0"/>
        <w:spacing w:beforeAutospacing="0" w:afterAutospacing="0" w:line="560" w:lineRule="exact"/>
        <w:ind w:firstLine="645"/>
        <w:jc w:val="both"/>
        <w:rPr>
          <w:rFonts w:ascii="Times New Roman" w:hAnsi="Times New Roman" w:eastAsia="仿宋_GB2312"/>
          <w:sz w:val="32"/>
          <w:szCs w:val="32"/>
          <w:u w:val="single"/>
        </w:rPr>
      </w:pPr>
      <w:r>
        <w:rPr>
          <w:rFonts w:ascii="Times New Roman" w:hAnsi="Times New Roman"/>
          <w:sz w:val="32"/>
          <w:szCs w:val="32"/>
        </w:rPr>
        <w:t>1</w:t>
      </w:r>
      <w:r>
        <w:rPr>
          <w:rFonts w:ascii="Times New Roman" w:hAnsi="Times New Roman" w:eastAsia="仿宋_GB2312"/>
          <w:sz w:val="32"/>
          <w:szCs w:val="32"/>
        </w:rPr>
        <w:t>.</w:t>
      </w:r>
      <w:r>
        <w:rPr>
          <w:rFonts w:ascii="Times New Roman" w:hAnsi="Times New Roman" w:eastAsia="楷体_GB2312"/>
          <w:sz w:val="32"/>
          <w:szCs w:val="32"/>
        </w:rPr>
        <w:t>政府信息公开收费方面：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威海市环翠区桥头镇人民政府</w:t>
      </w:r>
      <w:r>
        <w:rPr>
          <w:rFonts w:ascii="Times New Roman" w:hAnsi="Times New Roman" w:eastAsia="仿宋_GB2312"/>
          <w:sz w:val="32"/>
          <w:szCs w:val="32"/>
        </w:rPr>
        <w:t>未收取政府信息公开信息处理费</w:t>
      </w:r>
      <w:r>
        <w:rPr>
          <w:rFonts w:hint="eastAsia" w:ascii="Times New Roman" w:hAnsi="Times New Roman" w:eastAsia="仿宋_GB2312"/>
          <w:sz w:val="32"/>
          <w:szCs w:val="32"/>
        </w:rPr>
        <w:t>。</w:t>
      </w:r>
    </w:p>
    <w:p>
      <w:pPr>
        <w:pStyle w:val="3"/>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sz w:val="32"/>
          <w:szCs w:val="32"/>
        </w:rPr>
        <w:t>2</w:t>
      </w:r>
      <w:r>
        <w:rPr>
          <w:rFonts w:ascii="Times New Roman" w:hAnsi="Times New Roman" w:eastAsia="仿宋_GB2312"/>
          <w:sz w:val="32"/>
          <w:szCs w:val="32"/>
        </w:rPr>
        <w:t>.</w:t>
      </w:r>
      <w:r>
        <w:rPr>
          <w:rFonts w:ascii="Times New Roman" w:hAnsi="Times New Roman" w:eastAsia="楷体_GB2312"/>
          <w:sz w:val="32"/>
          <w:szCs w:val="32"/>
        </w:rPr>
        <w:t>人大代表、政协委员提案办理方面：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桥头镇人民政府</w:t>
      </w:r>
      <w:r>
        <w:rPr>
          <w:rFonts w:ascii="Times New Roman" w:hAnsi="Times New Roman" w:eastAsia="仿宋_GB2312"/>
          <w:sz w:val="32"/>
          <w:szCs w:val="32"/>
        </w:rPr>
        <w:t>共承办市人大代表建议</w:t>
      </w:r>
      <w:r>
        <w:rPr>
          <w:rFonts w:hint="eastAsia" w:ascii="Times New Roman" w:hAnsi="Times New Roman" w:eastAsia="仿宋_GB2312"/>
          <w:sz w:val="32"/>
          <w:szCs w:val="32"/>
          <w:u w:val="single"/>
        </w:rPr>
        <w:t xml:space="preserve">  0  </w:t>
      </w:r>
      <w:r>
        <w:rPr>
          <w:rFonts w:ascii="Times New Roman" w:hAnsi="Times New Roman" w:eastAsia="仿宋_GB2312"/>
          <w:sz w:val="32"/>
          <w:szCs w:val="32"/>
        </w:rPr>
        <w:t>件、政协提案</w:t>
      </w:r>
      <w:r>
        <w:rPr>
          <w:rFonts w:hint="eastAsia" w:ascii="Times New Roman" w:hAnsi="Times New Roman" w:eastAsia="仿宋_GB2312"/>
          <w:sz w:val="32"/>
          <w:szCs w:val="32"/>
          <w:u w:val="single"/>
        </w:rPr>
        <w:t xml:space="preserve">  0  </w:t>
      </w:r>
      <w:r>
        <w:rPr>
          <w:rFonts w:ascii="Times New Roman" w:hAnsi="Times New Roman" w:eastAsia="仿宋_GB2312"/>
          <w:sz w:val="32"/>
          <w:szCs w:val="32"/>
        </w:rPr>
        <w:t>件。</w:t>
      </w:r>
    </w:p>
    <w:p>
      <w:pPr>
        <w:spacing w:line="560" w:lineRule="exact"/>
        <w:ind w:firstLine="646" w:firstLineChars="202"/>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3.落实上级年度政务公开工作要点情况：桥头镇结合镇域实际，严格落实《条例》具体举措，对重要领域、重点工作、专项任务等方面信息坚决主动公开，积极</w:t>
      </w:r>
      <w:bookmarkStart w:id="10" w:name="_GoBack"/>
      <w:bookmarkEnd w:id="10"/>
      <w:r>
        <w:rPr>
          <w:rFonts w:hint="eastAsia" w:ascii="Times New Roman" w:hAnsi="Times New Roman" w:eastAsia="仿宋_GB2312" w:cs="Times New Roman"/>
          <w:sz w:val="32"/>
          <w:szCs w:val="32"/>
          <w:lang w:val="en-US" w:eastAsia="zh-CN"/>
        </w:rPr>
        <w:t>公开，对群众普遍关注的领域信息及时发布，以便群众了解情况、发现问题、反馈问题，扎实推进政务信息公开全过程工作。</w:t>
      </w:r>
    </w:p>
    <w:p>
      <w:pPr>
        <w:spacing w:line="560" w:lineRule="exact"/>
        <w:ind w:firstLine="646" w:firstLineChars="202"/>
        <w:rPr>
          <w:rFonts w:ascii="仿宋_GB2312" w:hAnsi="仿宋_GB2312" w:eastAsia="仿宋_GB2312" w:cs="仿宋_GB2312"/>
          <w:sz w:val="32"/>
          <w:szCs w:val="32"/>
          <w:shd w:val="clear" w:color="auto" w:fill="FFFFFF"/>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ascii="Times New Roman" w:hAnsi="Times New Roman" w:eastAsia="楷体_GB2312" w:cs="Times New Roman"/>
          <w:sz w:val="32"/>
          <w:szCs w:val="32"/>
        </w:rPr>
        <w:t>其他方面：</w:t>
      </w:r>
      <w:r>
        <w:rPr>
          <w:rFonts w:hint="eastAsia" w:ascii="仿宋_GB2312" w:hAnsi="仿宋_GB2312" w:eastAsia="仿宋_GB2312" w:cs="仿宋_GB2312"/>
          <w:sz w:val="32"/>
          <w:szCs w:val="32"/>
          <w:shd w:val="clear" w:color="auto" w:fill="FFFFFF"/>
        </w:rPr>
        <w:t>桥头镇积极创新政府信息公开工作举措、通过政府开放日活动，进一步巩固政府和群众间的沟通桥梁。2023年6月29日，桥头镇邀请25名人大代表、企业代表以及村居党员代表参加“政府开放日”活动，让活动代表切实感受到政府信息公开工作的高质高效。</w:t>
      </w:r>
    </w:p>
    <w:p>
      <w:pPr>
        <w:pStyle w:val="2"/>
        <w:spacing w:line="560" w:lineRule="exac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xMmI2ZGNkYTE4YmY5YmUzZjNiODY0ZWU0NGQyMTEifQ=="/>
  </w:docVars>
  <w:rsids>
    <w:rsidRoot w:val="11AF18C8"/>
    <w:rsid w:val="001B7792"/>
    <w:rsid w:val="001D0285"/>
    <w:rsid w:val="001F54FE"/>
    <w:rsid w:val="00290F1E"/>
    <w:rsid w:val="002F0A41"/>
    <w:rsid w:val="003C2747"/>
    <w:rsid w:val="00412231"/>
    <w:rsid w:val="00416D20"/>
    <w:rsid w:val="00781D77"/>
    <w:rsid w:val="007854C3"/>
    <w:rsid w:val="007B101E"/>
    <w:rsid w:val="00822400"/>
    <w:rsid w:val="00823C6F"/>
    <w:rsid w:val="00855C0F"/>
    <w:rsid w:val="0087134C"/>
    <w:rsid w:val="00913898"/>
    <w:rsid w:val="00B06023"/>
    <w:rsid w:val="00B642F2"/>
    <w:rsid w:val="00CC0223"/>
    <w:rsid w:val="00ED24A0"/>
    <w:rsid w:val="00FA0809"/>
    <w:rsid w:val="058A3E48"/>
    <w:rsid w:val="08D157AC"/>
    <w:rsid w:val="10AFA3C6"/>
    <w:rsid w:val="11AF18C8"/>
    <w:rsid w:val="1A6A77C7"/>
    <w:rsid w:val="21E9640B"/>
    <w:rsid w:val="398355DB"/>
    <w:rsid w:val="3F7F6D07"/>
    <w:rsid w:val="408D251E"/>
    <w:rsid w:val="463D08C0"/>
    <w:rsid w:val="464F74E8"/>
    <w:rsid w:val="47796434"/>
    <w:rsid w:val="511E6463"/>
    <w:rsid w:val="54F23AC6"/>
    <w:rsid w:val="56F344A5"/>
    <w:rsid w:val="5B2F2252"/>
    <w:rsid w:val="657F7FC2"/>
    <w:rsid w:val="68C9088B"/>
    <w:rsid w:val="6C7C7FF0"/>
    <w:rsid w:val="77181135"/>
    <w:rsid w:val="7B83009E"/>
    <w:rsid w:val="7BFC1E22"/>
    <w:rsid w:val="7E2277F5"/>
    <w:rsid w:val="7E503E50"/>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autoRedefine/>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497</Words>
  <Characters>2834</Characters>
  <Lines>23</Lines>
  <Paragraphs>6</Paragraphs>
  <TotalTime>14</TotalTime>
  <ScaleCrop>false</ScaleCrop>
  <LinksUpToDate>false</LinksUpToDate>
  <CharactersWithSpaces>3325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2024-01-10T15:39:00Z</dcterms:created>
  <dc:creator>诗人与熊</dc:creator>
  <cp:lastModifiedBy>一棵树苗</cp:lastModifiedBy>
  <cp:lastPrinted>2023-01-16T17:08:00Z</cp:lastPrinted>
  <dcterms:modified xsi:type="dcterms:W3CDTF">2024-02-26T07:42:11Z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A4F1664F54534DFAAD5A08CFAC735818_13</vt:lpwstr>
  </property>
</Properties>
</file>