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72E11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14:paraId="696525F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威海市环翠区医疗保障局</w:t>
      </w:r>
    </w:p>
    <w:p w14:paraId="26A0453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333333"/>
          <w:spacing w:val="0"/>
          <w:sz w:val="44"/>
          <w:szCs w:val="44"/>
          <w:lang w:val="en-US" w:eastAsia="zh-CN"/>
        </w:rPr>
      </w:pPr>
      <w:r>
        <w:rPr>
          <w:rFonts w:hint="eastAsia" w:ascii="方正小标宋简体" w:hAnsi="方正小标宋简体" w:eastAsia="方正小标宋简体" w:cs="方正小标宋简体"/>
          <w:b w:val="0"/>
          <w:bCs/>
          <w:i w:val="0"/>
          <w:caps w:val="0"/>
          <w:color w:val="333333"/>
          <w:spacing w:val="-17"/>
          <w:sz w:val="44"/>
          <w:szCs w:val="44"/>
          <w:shd w:val="clear" w:fill="FFFFFF"/>
          <w:lang w:val="en-US" w:eastAsia="zh-CN"/>
        </w:rPr>
        <w:t>2024年</w:t>
      </w:r>
      <w:r>
        <w:rPr>
          <w:rFonts w:hint="eastAsia" w:ascii="方正小标宋简体" w:hAnsi="方正小标宋简体" w:eastAsia="方正小标宋简体" w:cs="方正小标宋简体"/>
          <w:b w:val="0"/>
          <w:bCs/>
          <w:i w:val="0"/>
          <w:caps w:val="0"/>
          <w:color w:val="333333"/>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fill="FFFFFF"/>
        </w:rPr>
        <w:t>年度报告</w:t>
      </w:r>
    </w:p>
    <w:p w14:paraId="3106FC6C">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14:paraId="055DB505">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威海市环翠区医疗保障局</w:t>
      </w:r>
      <w:r>
        <w:rPr>
          <w:rFonts w:hint="default" w:ascii="Times New Roman" w:hAnsi="Times New Roman" w:eastAsia="仿宋_GB2312" w:cs="Times New Roman"/>
          <w:color w:val="auto"/>
          <w:sz w:val="32"/>
          <w:szCs w:val="32"/>
        </w:rPr>
        <w:t>政府信息公开工作实际，编制发布本报告。</w:t>
      </w:r>
    </w:p>
    <w:p w14:paraId="3258F8CC">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eastAsia"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u w:val="none"/>
          <w:lang w:val="en-US" w:eastAsia="zh-CN"/>
        </w:rPr>
        <w:t>网址：</w:t>
      </w:r>
      <w:r>
        <w:rPr>
          <w:rFonts w:hint="eastAsia" w:ascii="Times New Roman" w:hAnsi="Times New Roman" w:eastAsia="仿宋_GB2312" w:cs="Times New Roman"/>
          <w:color w:val="auto"/>
          <w:sz w:val="32"/>
          <w:szCs w:val="32"/>
          <w:highlight w:val="none"/>
          <w:u w:val="none"/>
          <w:lang w:val="en-US" w:eastAsia="zh-CN"/>
        </w:rPr>
        <w:fldChar w:fldCharType="begin"/>
      </w:r>
      <w:r>
        <w:rPr>
          <w:rFonts w:hint="eastAsia" w:ascii="Times New Roman" w:hAnsi="Times New Roman" w:eastAsia="仿宋_GB2312" w:cs="Times New Roman"/>
          <w:color w:val="auto"/>
          <w:sz w:val="32"/>
          <w:szCs w:val="32"/>
          <w:highlight w:val="none"/>
          <w:u w:val="none"/>
          <w:lang w:val="en-US" w:eastAsia="zh-CN"/>
        </w:rPr>
        <w:instrText xml:space="preserve"> HYPERLINK "http://www.huancui.gov.cn/col/" </w:instrText>
      </w:r>
      <w:r>
        <w:rPr>
          <w:rFonts w:hint="eastAsia" w:ascii="Times New Roman" w:hAnsi="Times New Roman" w:eastAsia="仿宋_GB2312" w:cs="Times New Roman"/>
          <w:color w:val="auto"/>
          <w:sz w:val="32"/>
          <w:szCs w:val="32"/>
          <w:highlight w:val="none"/>
          <w:u w:val="none"/>
          <w:lang w:val="en-US" w:eastAsia="zh-CN"/>
        </w:rPr>
        <w:fldChar w:fldCharType="separate"/>
      </w:r>
      <w:r>
        <w:rPr>
          <w:rStyle w:val="8"/>
          <w:rFonts w:hint="eastAsia" w:ascii="Times New Roman" w:hAnsi="Times New Roman" w:eastAsia="仿宋_GB2312" w:cs="Times New Roman"/>
          <w:color w:val="auto"/>
          <w:sz w:val="32"/>
          <w:szCs w:val="32"/>
          <w:highlight w:val="none"/>
          <w:u w:val="none"/>
          <w:lang w:val="en-US" w:eastAsia="zh-CN"/>
        </w:rPr>
        <w:t>http://www.huancui.gov.cn/col/</w:t>
      </w:r>
      <w:r>
        <w:rPr>
          <w:rFonts w:hint="eastAsia" w:ascii="Times New Roman" w:hAnsi="Times New Roman" w:eastAsia="仿宋_GB2312" w:cs="Times New Roman"/>
          <w:color w:val="auto"/>
          <w:sz w:val="32"/>
          <w:szCs w:val="32"/>
          <w:highlight w:val="none"/>
          <w:u w:val="none"/>
          <w:lang w:val="en-US" w:eastAsia="zh-CN"/>
        </w:rPr>
        <w:fldChar w:fldCharType="end"/>
      </w:r>
      <w:r>
        <w:rPr>
          <w:rFonts w:hint="eastAsia" w:ascii="Times New Roman" w:hAnsi="Times New Roman" w:eastAsia="仿宋_GB2312" w:cs="Times New Roman"/>
          <w:color w:val="auto"/>
          <w:sz w:val="32"/>
          <w:szCs w:val="32"/>
          <w:highlight w:val="none"/>
          <w:u w:val="none"/>
          <w:lang w:val="en-US" w:eastAsia="zh-CN"/>
        </w:rPr>
        <w:t>col121996</w:t>
      </w:r>
    </w:p>
    <w:p w14:paraId="55AF972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u w:val="none"/>
          <w:lang w:val="en-US" w:eastAsia="zh-CN"/>
        </w:rPr>
        <w:t>/index.html</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威海市环翠区医疗保障局</w:t>
      </w:r>
      <w:r>
        <w:rPr>
          <w:rFonts w:hint="default" w:ascii="Times New Roman" w:hAnsi="Times New Roman" w:eastAsia="仿宋_GB2312" w:cs="Times New Roman"/>
          <w:color w:val="auto"/>
          <w:sz w:val="32"/>
          <w:szCs w:val="32"/>
          <w:highlight w:val="none"/>
        </w:rPr>
        <w:t>联系（地址：</w:t>
      </w:r>
      <w:r>
        <w:rPr>
          <w:rFonts w:hint="eastAsia" w:ascii="Times New Roman" w:hAnsi="Times New Roman" w:eastAsia="仿宋_GB2312" w:cs="Times New Roman"/>
          <w:color w:val="auto"/>
          <w:sz w:val="32"/>
          <w:szCs w:val="32"/>
          <w:highlight w:val="none"/>
          <w:u w:val="none"/>
          <w:lang w:val="en-US" w:eastAsia="zh-CN"/>
        </w:rPr>
        <w:t>杏花西街18号楼</w:t>
      </w:r>
      <w:r>
        <w:rPr>
          <w:rFonts w:hint="default" w:ascii="Times New Roman" w:hAnsi="Times New Roman" w:eastAsia="仿宋_GB2312" w:cs="Times New Roman"/>
          <w:color w:val="auto"/>
          <w:sz w:val="32"/>
          <w:szCs w:val="32"/>
          <w:highlight w:val="none"/>
          <w:u w:val="none"/>
        </w:rPr>
        <w:t>，电话：</w:t>
      </w:r>
      <w:r>
        <w:rPr>
          <w:rFonts w:hint="eastAsia" w:ascii="Times New Roman" w:hAnsi="Times New Roman" w:eastAsia="仿宋_GB2312" w:cs="Times New Roman"/>
          <w:color w:val="auto"/>
          <w:sz w:val="32"/>
          <w:szCs w:val="32"/>
          <w:highlight w:val="none"/>
          <w:u w:val="none"/>
          <w:lang w:val="en-US" w:eastAsia="zh-CN"/>
        </w:rPr>
        <w:t>0631-5230919</w:t>
      </w:r>
      <w:r>
        <w:rPr>
          <w:rFonts w:hint="default" w:ascii="Times New Roman" w:hAnsi="Times New Roman" w:eastAsia="仿宋_GB2312" w:cs="Times New Roman"/>
          <w:color w:val="auto"/>
          <w:sz w:val="32"/>
          <w:szCs w:val="32"/>
          <w:highlight w:val="none"/>
        </w:rPr>
        <w:t>）。</w:t>
      </w:r>
    </w:p>
    <w:p w14:paraId="3344BB6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14:paraId="6F1D63C8">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firstLine="640" w:firstLineChars="200"/>
        <w:jc w:val="both"/>
        <w:textAlignment w:val="auto"/>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2024年，威海市环翠区医疗保障局严格落实《中华人民共和国政府信息公开条例》要求，以人民为中心推进政府信息公开工作，政务公开标准化、规范化水平进一步提升，助力医疗保障工作高质量发展。现将有关情况报告如下：</w:t>
      </w:r>
    </w:p>
    <w:p w14:paraId="061DA5BD">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0"/>
          <w:sz w:val="32"/>
          <w:szCs w:val="32"/>
          <w:highlight w:val="none"/>
          <w:lang w:val="en-US" w:eastAsia="zh-CN" w:bidi="ar"/>
        </w:rPr>
      </w:pPr>
      <w:r>
        <w:rPr>
          <w:rFonts w:hint="eastAsia" w:ascii="楷体_GB2312" w:hAnsi="楷体_GB2312" w:eastAsia="楷体_GB2312" w:cs="楷体_GB2312"/>
          <w:b w:val="0"/>
          <w:bCs/>
          <w:color w:val="auto"/>
          <w:sz w:val="32"/>
          <w:szCs w:val="32"/>
          <w:highlight w:val="none"/>
          <w:lang w:val="en-US" w:eastAsia="zh-CN"/>
        </w:rPr>
        <w:t>1.加大主动公开力度。</w:t>
      </w:r>
      <w:r>
        <w:rPr>
          <w:rFonts w:hint="eastAsia" w:ascii="Times New Roman" w:hAnsi="Times New Roman" w:eastAsia="仿宋_GB2312" w:cs="Times New Roman"/>
          <w:color w:val="auto"/>
          <w:kern w:val="0"/>
          <w:sz w:val="32"/>
          <w:szCs w:val="32"/>
          <w:highlight w:val="none"/>
          <w:lang w:val="en-US" w:eastAsia="zh-CN" w:bidi="ar"/>
        </w:rPr>
        <w:t>环翠区医保局围绕年度政务公开重点工作和医疗保障领域本年度重点工作，主动公开机构简介、机构设置、政策解读、业务动态、财政预决算等内容。强化</w:t>
      </w:r>
      <w:r>
        <w:rPr>
          <w:rFonts w:hint="default" w:ascii="Times New Roman" w:hAnsi="Times New Roman" w:eastAsia="仿宋_GB2312" w:cs="Times New Roman"/>
          <w:color w:val="auto"/>
          <w:kern w:val="0"/>
          <w:sz w:val="32"/>
          <w:szCs w:val="32"/>
          <w:highlight w:val="none"/>
          <w:lang w:val="en-US" w:eastAsia="zh-CN" w:bidi="ar"/>
        </w:rPr>
        <w:t>行政执法公示、“双随机、一公开”监管、医疗救助、医疗保险等重点领域信息，区医保局全年通过区政府门户网站主动公开各类政务信息100余条次，</w:t>
      </w:r>
      <w:r>
        <w:rPr>
          <w:rFonts w:hint="default" w:ascii="Times New Roman" w:hAnsi="Times New Roman" w:eastAsia="仿宋_GB2312" w:cs="Times New Roman"/>
          <w:sz w:val="32"/>
          <w:szCs w:val="32"/>
          <w:highlight w:val="none"/>
        </w:rPr>
        <w:t>通过“最威海 是环翠”app发布</w:t>
      </w:r>
      <w:r>
        <w:rPr>
          <w:rFonts w:hint="default" w:ascii="Times New Roman" w:hAnsi="Times New Roman" w:eastAsia="仿宋_GB2312" w:cs="Times New Roman"/>
          <w:sz w:val="32"/>
          <w:szCs w:val="32"/>
          <w:highlight w:val="none"/>
          <w:lang w:val="en-US" w:eastAsia="zh-CN"/>
        </w:rPr>
        <w:t>150余</w:t>
      </w:r>
      <w:r>
        <w:rPr>
          <w:rFonts w:hint="default" w:ascii="Times New Roman" w:hAnsi="Times New Roman" w:eastAsia="仿宋_GB2312" w:cs="Times New Roman"/>
          <w:sz w:val="32"/>
          <w:szCs w:val="32"/>
          <w:highlight w:val="none"/>
        </w:rPr>
        <w:t>条信息，</w:t>
      </w:r>
      <w:r>
        <w:rPr>
          <w:rFonts w:hint="default" w:ascii="Times New Roman" w:hAnsi="Times New Roman" w:eastAsia="仿宋_GB2312" w:cs="Times New Roman"/>
          <w:color w:val="auto"/>
          <w:kern w:val="0"/>
          <w:sz w:val="32"/>
          <w:szCs w:val="32"/>
          <w:highlight w:val="none"/>
          <w:lang w:val="en-US" w:eastAsia="zh-CN" w:bidi="ar"/>
        </w:rPr>
        <w:t>保障公众的知情权、参与权、监督权。</w:t>
      </w:r>
    </w:p>
    <w:p w14:paraId="11749920">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2.</w:t>
      </w:r>
      <w:r>
        <w:rPr>
          <w:rFonts w:hint="eastAsia" w:ascii="楷体_GB2312" w:hAnsi="楷体_GB2312" w:eastAsia="楷体_GB2312" w:cs="楷体_GB2312"/>
          <w:b w:val="0"/>
          <w:bCs/>
          <w:color w:val="auto"/>
          <w:sz w:val="32"/>
          <w:szCs w:val="32"/>
          <w:highlight w:val="none"/>
          <w:lang w:val="en-US" w:eastAsia="zh-CN"/>
        </w:rPr>
        <w:t>规范</w:t>
      </w:r>
      <w:r>
        <w:rPr>
          <w:rFonts w:hint="default" w:ascii="楷体_GB2312" w:hAnsi="楷体_GB2312" w:eastAsia="楷体_GB2312" w:cs="楷体_GB2312"/>
          <w:b w:val="0"/>
          <w:bCs/>
          <w:color w:val="auto"/>
          <w:sz w:val="32"/>
          <w:szCs w:val="32"/>
          <w:highlight w:val="none"/>
          <w:lang w:val="en-US" w:eastAsia="zh-CN"/>
        </w:rPr>
        <w:t>依申请公开</w:t>
      </w:r>
      <w:r>
        <w:rPr>
          <w:rFonts w:hint="eastAsia" w:ascii="楷体_GB2312" w:hAnsi="楷体_GB2312" w:eastAsia="楷体_GB2312" w:cs="楷体_GB2312"/>
          <w:b w:val="0"/>
          <w:bCs/>
          <w:color w:val="auto"/>
          <w:sz w:val="32"/>
          <w:szCs w:val="32"/>
          <w:highlight w:val="none"/>
          <w:lang w:val="en-US" w:eastAsia="zh-CN"/>
        </w:rPr>
        <w:t>流程。</w:t>
      </w:r>
      <w:r>
        <w:rPr>
          <w:rFonts w:hint="eastAsia" w:ascii="Times New Roman" w:hAnsi="Times New Roman" w:eastAsia="仿宋_GB2312" w:cs="Times New Roman"/>
          <w:b w:val="0"/>
          <w:bCs/>
          <w:sz w:val="32"/>
          <w:szCs w:val="32"/>
          <w:highlight w:val="none"/>
          <w:lang w:val="en-US" w:eastAsia="zh-CN"/>
        </w:rPr>
        <w:t>本年度我局未收到政府信息公开申请，没有发生因政府信息公开引发的举报、投诉、行政复议、行政诉讼事件。</w:t>
      </w:r>
    </w:p>
    <w:p w14:paraId="7ED796B2">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b w:val="0"/>
          <w:bCs/>
          <w:color w:val="auto"/>
          <w:sz w:val="32"/>
          <w:szCs w:val="32"/>
          <w:highlight w:val="none"/>
          <w:lang w:val="en-US" w:eastAsia="zh-CN"/>
        </w:rPr>
        <w:t>3.</w:t>
      </w:r>
      <w:r>
        <w:rPr>
          <w:rFonts w:hint="eastAsia" w:ascii="楷体_GB2312" w:hAnsi="楷体_GB2312" w:eastAsia="楷体_GB2312" w:cs="楷体_GB2312"/>
          <w:b w:val="0"/>
          <w:bCs/>
          <w:color w:val="auto"/>
          <w:sz w:val="32"/>
          <w:szCs w:val="32"/>
          <w:highlight w:val="none"/>
          <w:lang w:val="en-US" w:eastAsia="zh-CN"/>
        </w:rPr>
        <w:t>强化</w:t>
      </w:r>
      <w:r>
        <w:rPr>
          <w:rFonts w:hint="default" w:ascii="楷体_GB2312" w:hAnsi="楷体_GB2312" w:eastAsia="楷体_GB2312" w:cs="楷体_GB2312"/>
          <w:b w:val="0"/>
          <w:bCs/>
          <w:color w:val="auto"/>
          <w:sz w:val="32"/>
          <w:szCs w:val="32"/>
          <w:highlight w:val="none"/>
          <w:lang w:val="en-US" w:eastAsia="zh-CN"/>
        </w:rPr>
        <w:t>政府信息管理。</w:t>
      </w:r>
      <w:r>
        <w:rPr>
          <w:rFonts w:hint="eastAsia" w:ascii="仿宋_GB2312" w:hAnsi="仿宋_GB2312" w:eastAsia="仿宋_GB2312" w:cs="仿宋_GB2312"/>
          <w:b w:val="0"/>
          <w:bCs/>
          <w:color w:val="auto"/>
          <w:sz w:val="32"/>
          <w:szCs w:val="32"/>
          <w:highlight w:val="none"/>
          <w:lang w:eastAsia="zh-CN"/>
        </w:rPr>
        <w:t>环翠区医保局</w:t>
      </w:r>
      <w:r>
        <w:rPr>
          <w:rFonts w:hint="default" w:ascii="Times New Roman" w:hAnsi="Times New Roman" w:eastAsia="仿宋_GB2312" w:cs="Times New Roman"/>
          <w:color w:val="000000"/>
          <w:sz w:val="32"/>
          <w:szCs w:val="32"/>
          <w:highlight w:val="none"/>
        </w:rPr>
        <w:t>按时更新发布本部门信息公开指南和主动公开目录等，明确公开时限、载体等工作要求。</w:t>
      </w:r>
      <w:r>
        <w:rPr>
          <w:rFonts w:hint="eastAsia" w:ascii="Times New Roman" w:hAnsi="Times New Roman" w:eastAsia="仿宋_GB2312" w:cs="Times New Roman"/>
          <w:color w:val="000000"/>
          <w:sz w:val="32"/>
          <w:szCs w:val="32"/>
          <w:highlight w:val="none"/>
          <w:lang w:val="en-US" w:eastAsia="zh-CN"/>
        </w:rPr>
        <w:t>严格执行</w:t>
      </w:r>
      <w:r>
        <w:rPr>
          <w:rFonts w:hint="default" w:ascii="Times New Roman" w:hAnsi="Times New Roman" w:eastAsia="仿宋_GB2312" w:cs="Times New Roman"/>
          <w:color w:val="000000"/>
          <w:sz w:val="32"/>
          <w:szCs w:val="32"/>
          <w:highlight w:val="none"/>
        </w:rPr>
        <w:t>政府信息公开保密审查制度</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注重对政府信息的全生命周期管理，在及时、准确、全面发布政府信息的同时，加强对规范性文件的清理。</w:t>
      </w:r>
    </w:p>
    <w:p w14:paraId="16C4BA72">
      <w:pPr>
        <w:pStyle w:val="5"/>
        <w:keepNext w:val="0"/>
        <w:keepLines w:val="0"/>
        <w:pageBreakBefore w:val="0"/>
        <w:widowControl w:val="0"/>
        <w:kinsoku/>
        <w:wordWrap w:val="0"/>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楷体_GB2312" w:hAnsi="楷体_GB2312" w:eastAsia="楷体_GB2312" w:cs="楷体_GB2312"/>
          <w:b w:val="0"/>
          <w:bCs/>
          <w:color w:val="auto"/>
          <w:kern w:val="2"/>
          <w:sz w:val="32"/>
          <w:szCs w:val="32"/>
          <w:highlight w:val="none"/>
          <w:lang w:val="en-US" w:eastAsia="zh-CN" w:bidi="ar-SA"/>
        </w:rPr>
        <w:t>4.</w:t>
      </w:r>
      <w:r>
        <w:rPr>
          <w:rFonts w:hint="eastAsia" w:ascii="楷体_GB2312" w:hAnsi="楷体_GB2312" w:eastAsia="楷体_GB2312" w:cs="楷体_GB2312"/>
          <w:b w:val="0"/>
          <w:bCs/>
          <w:color w:val="auto"/>
          <w:kern w:val="2"/>
          <w:sz w:val="32"/>
          <w:szCs w:val="32"/>
          <w:highlight w:val="none"/>
          <w:lang w:val="en-US" w:eastAsia="zh-CN" w:bidi="ar-SA"/>
        </w:rPr>
        <w:t>注重</w:t>
      </w:r>
      <w:r>
        <w:rPr>
          <w:rFonts w:hint="default" w:ascii="楷体_GB2312" w:hAnsi="楷体_GB2312" w:eastAsia="楷体_GB2312" w:cs="楷体_GB2312"/>
          <w:b w:val="0"/>
          <w:bCs/>
          <w:color w:val="auto"/>
          <w:sz w:val="32"/>
          <w:szCs w:val="32"/>
          <w:highlight w:val="none"/>
          <w:lang w:val="en-US" w:eastAsia="zh-CN"/>
        </w:rPr>
        <w:t>平台建设</w:t>
      </w:r>
      <w:r>
        <w:rPr>
          <w:rFonts w:hint="eastAsia" w:ascii="楷体_GB2312" w:hAnsi="楷体_GB2312" w:eastAsia="楷体_GB2312" w:cs="楷体_GB2312"/>
          <w:b w:val="0"/>
          <w:bCs/>
          <w:color w:val="auto"/>
          <w:sz w:val="32"/>
          <w:szCs w:val="32"/>
          <w:highlight w:val="none"/>
          <w:lang w:val="en-US" w:eastAsia="zh-CN"/>
        </w:rPr>
        <w:t>维护</w:t>
      </w:r>
      <w:r>
        <w:rPr>
          <w:rFonts w:hint="default" w:ascii="楷体_GB2312" w:hAnsi="楷体_GB2312" w:eastAsia="楷体_GB2312" w:cs="楷体_GB2312"/>
          <w:b w:val="0"/>
          <w:bCs/>
          <w:color w:val="auto"/>
          <w:sz w:val="32"/>
          <w:szCs w:val="32"/>
          <w:highlight w:val="none"/>
          <w:lang w:val="en-US" w:eastAsia="zh-CN"/>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依托政府网站平台</w:t>
      </w:r>
      <w:r>
        <w:rPr>
          <w:rFonts w:hint="eastAsia" w:ascii="Times New Roman" w:hAnsi="Times New Roman" w:eastAsia="仿宋_GB2312" w:cs="Times New Roman"/>
          <w:color w:val="000000"/>
          <w:sz w:val="32"/>
          <w:szCs w:val="32"/>
          <w:highlight w:val="none"/>
          <w:lang w:eastAsia="zh-CN"/>
        </w:rPr>
        <w:t>以及</w:t>
      </w:r>
      <w:r>
        <w:rPr>
          <w:rFonts w:hint="eastAsia" w:ascii="Times New Roman" w:hAnsi="Times New Roman" w:eastAsia="仿宋_GB2312" w:cs="Times New Roman"/>
          <w:color w:val="auto"/>
          <w:kern w:val="0"/>
          <w:sz w:val="32"/>
          <w:szCs w:val="32"/>
          <w:highlight w:val="none"/>
          <w:lang w:val="en-US" w:eastAsia="zh-CN" w:bidi="ar"/>
        </w:rPr>
        <w:t>“环翠区医疗保障局”政企号</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按时更新最新医保工作动态、拟定的威海市基本医疗保险定点医药机构名单的公示、“双随机、一公开”执法监督情况等</w:t>
      </w:r>
      <w:r>
        <w:rPr>
          <w:rFonts w:hint="default" w:ascii="Times New Roman" w:hAnsi="Times New Roman" w:eastAsia="仿宋_GB2312" w:cs="Times New Roman"/>
          <w:color w:val="000000"/>
          <w:sz w:val="32"/>
          <w:szCs w:val="32"/>
          <w:highlight w:val="none"/>
          <w:lang w:eastAsia="zh-CN"/>
        </w:rPr>
        <w:t>内容</w:t>
      </w:r>
      <w:r>
        <w:rPr>
          <w:rFonts w:hint="default" w:ascii="Times New Roman" w:hAnsi="Times New Roman" w:eastAsia="仿宋_GB2312" w:cs="Times New Roman"/>
          <w:color w:val="000000"/>
          <w:sz w:val="32"/>
          <w:szCs w:val="32"/>
          <w:highlight w:val="none"/>
        </w:rPr>
        <w:t>。本年度，共</w:t>
      </w:r>
      <w:r>
        <w:rPr>
          <w:rFonts w:hint="eastAsia" w:ascii="仿宋_GB2312" w:eastAsia="仿宋_GB2312" w:cs="仿宋_GB2312"/>
          <w:b w:val="0"/>
          <w:bCs w:val="0"/>
          <w:sz w:val="32"/>
          <w:szCs w:val="32"/>
          <w:highlight w:val="none"/>
          <w:lang w:val="en-US" w:eastAsia="zh-CN"/>
        </w:rPr>
        <w:t>围绕“基金监管同参与 守好群众救命钱”“双重守护健康无忧”召开新闻发布会共计2次，</w:t>
      </w:r>
      <w:r>
        <w:rPr>
          <w:rFonts w:hint="default" w:ascii="Times New Roman" w:hAnsi="Times New Roman" w:eastAsia="仿宋_GB2312" w:cs="Times New Roman"/>
          <w:color w:val="000000"/>
          <w:sz w:val="32"/>
          <w:szCs w:val="32"/>
          <w:highlight w:val="none"/>
        </w:rPr>
        <w:t>围绕群众关心的医保领域热点问题</w:t>
      </w:r>
      <w:r>
        <w:rPr>
          <w:rFonts w:hint="eastAsia" w:ascii="Times New Roman" w:hAnsi="Times New Roman" w:eastAsia="仿宋_GB2312" w:cs="Times New Roman"/>
          <w:color w:val="000000"/>
          <w:sz w:val="32"/>
          <w:szCs w:val="32"/>
          <w:highlight w:val="none"/>
          <w:lang w:val="en-US" w:eastAsia="zh-CN"/>
        </w:rPr>
        <w:t>和最新的医保政策</w:t>
      </w:r>
      <w:r>
        <w:rPr>
          <w:rFonts w:hint="default" w:ascii="Times New Roman" w:hAnsi="Times New Roman" w:eastAsia="仿宋_GB2312" w:cs="Times New Roman"/>
          <w:color w:val="000000"/>
          <w:sz w:val="32"/>
          <w:szCs w:val="32"/>
          <w:highlight w:val="none"/>
        </w:rPr>
        <w:t>进行解读</w:t>
      </w:r>
      <w:r>
        <w:rPr>
          <w:rFonts w:hint="eastAsia"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进一步</w:t>
      </w:r>
      <w:r>
        <w:rPr>
          <w:rFonts w:hint="default" w:ascii="Times New Roman" w:hAnsi="Times New Roman" w:eastAsia="仿宋_GB2312" w:cs="Times New Roman"/>
          <w:color w:val="000000"/>
          <w:sz w:val="32"/>
          <w:szCs w:val="32"/>
          <w:highlight w:val="none"/>
        </w:rPr>
        <w:t>加大政府信息公开力度，提高政府信息公开的广度、深度。</w:t>
      </w:r>
    </w:p>
    <w:p w14:paraId="3F1D54E3">
      <w:pPr>
        <w:keepNext w:val="0"/>
        <w:keepLines w:val="0"/>
        <w:pageBreakBefore w:val="0"/>
        <w:widowControl w:val="0"/>
        <w:kinsoku/>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b w:val="0"/>
          <w:bCs/>
          <w:sz w:val="32"/>
          <w:szCs w:val="32"/>
          <w:highlight w:val="none"/>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r>
        <w:rPr>
          <w:rFonts w:hint="eastAsia" w:ascii="Times New Roman" w:hAnsi="Times New Roman" w:eastAsia="仿宋_GB2312" w:cs="Times New Roman"/>
          <w:color w:val="000000"/>
          <w:kern w:val="0"/>
          <w:sz w:val="32"/>
          <w:szCs w:val="32"/>
          <w:highlight w:val="none"/>
          <w:lang w:val="en-US" w:eastAsia="zh-CN" w:bidi="ar"/>
        </w:rPr>
        <w:t>办公室负责牵头组织开展政务公开工作，建立完善信息公开考核制度，定期对信息公开工作开展自查自纠，做到栏目及时更新、内容齐全有序、信息准确无误。按时参加各级政务公开工作培训，及时将会议精神传达到各科室，并对各科室的政务公开工作进行指导、监督，将政务公开信息、网站信息发布等事项纳入工作计划。</w:t>
      </w:r>
    </w:p>
    <w:p w14:paraId="04A7DE5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14:paraId="76DA9EBC">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3B65FF74">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14:paraId="34391E3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21B2D81">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14:paraId="01BE0F5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14:paraId="04D52FC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14:paraId="560D7515">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14:paraId="1BC9FFDC">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4C570B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14:paraId="7811166A">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4AFDF7FF">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74394357">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7AE954F3">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31CC4B07">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14:paraId="6D3D192C">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1241BCC5">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14:paraId="339FA284">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14:paraId="56683A9A">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561FF165">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14:paraId="1A403BA7">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7DC73A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9C8B4B1">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4AD1251D">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63C5101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73132DA0">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14:paraId="7E17C47B">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4C224C63">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14:paraId="44BF5BE1">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5BC3BE36">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E50C168">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14:paraId="46174F4F">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0FDDAE8E">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484C610D">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5</w:t>
            </w:r>
          </w:p>
        </w:tc>
      </w:tr>
      <w:tr w14:paraId="4AB0B056">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2B6DC56F">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21E6F931">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14:paraId="55CB0A3D">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14:paraId="24FA10F5">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14:paraId="2F88D40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349406B">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0F8F9EF2">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14:paraId="1BBEE6D8">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14:paraId="4BCC827D">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14:paraId="1DF648AA">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auto"/>
                <w:kern w:val="0"/>
                <w:szCs w:val="21"/>
                <w:lang w:val="en-US" w:eastAsia="zh-CN"/>
              </w:rPr>
              <w:t>0</w:t>
            </w:r>
          </w:p>
        </w:tc>
      </w:tr>
    </w:tbl>
    <w:p w14:paraId="64DDC4F6">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4"/>
        <w:gridCol w:w="702"/>
      </w:tblGrid>
      <w:tr w14:paraId="7B0BB9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184DAB66">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14:paraId="155ECD0B">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19"/>
            <w:shd w:val="clear" w:color="auto" w:fill="auto"/>
            <w:tcMar>
              <w:left w:w="108" w:type="dxa"/>
              <w:right w:w="108" w:type="dxa"/>
            </w:tcMar>
            <w:vAlign w:val="center"/>
          </w:tcPr>
          <w:p w14:paraId="48986D4C">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14:paraId="5BD5F7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674809DD">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14:paraId="617196BE">
            <w:pPr>
              <w:widowControl/>
              <w:jc w:val="center"/>
              <w:rPr>
                <w:rFonts w:ascii="黑体" w:hAnsi="黑体" w:eastAsia="黑体"/>
                <w:szCs w:val="21"/>
              </w:rPr>
            </w:pPr>
            <w:r>
              <w:rPr>
                <w:rFonts w:hint="eastAsia" w:ascii="黑体" w:hAnsi="黑体" w:eastAsia="黑体"/>
                <w:kern w:val="0"/>
                <w:szCs w:val="21"/>
              </w:rPr>
              <w:t>自然人</w:t>
            </w:r>
          </w:p>
        </w:tc>
        <w:tc>
          <w:tcPr>
            <w:tcW w:w="2999" w:type="dxa"/>
            <w:gridSpan w:val="17"/>
            <w:shd w:val="clear" w:color="auto" w:fill="auto"/>
            <w:tcMar>
              <w:left w:w="108" w:type="dxa"/>
              <w:right w:w="108" w:type="dxa"/>
            </w:tcMar>
            <w:vAlign w:val="center"/>
          </w:tcPr>
          <w:p w14:paraId="0E79FEF4">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2" w:type="dxa"/>
            <w:vMerge w:val="restart"/>
            <w:shd w:val="clear" w:color="auto" w:fill="auto"/>
            <w:tcMar>
              <w:left w:w="108" w:type="dxa"/>
              <w:right w:w="108" w:type="dxa"/>
            </w:tcMar>
            <w:vAlign w:val="center"/>
          </w:tcPr>
          <w:p w14:paraId="6A1CA11D">
            <w:pPr>
              <w:widowControl/>
              <w:jc w:val="center"/>
              <w:rPr>
                <w:rFonts w:ascii="黑体" w:hAnsi="黑体" w:eastAsia="黑体"/>
                <w:szCs w:val="21"/>
              </w:rPr>
            </w:pPr>
            <w:r>
              <w:rPr>
                <w:rFonts w:hint="eastAsia" w:ascii="黑体" w:hAnsi="黑体" w:eastAsia="黑体"/>
                <w:kern w:val="0"/>
                <w:szCs w:val="21"/>
              </w:rPr>
              <w:t>总计</w:t>
            </w:r>
          </w:p>
        </w:tc>
      </w:tr>
      <w:tr w14:paraId="172B41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250A6392">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14:paraId="70721FA3">
            <w:pPr>
              <w:jc w:val="center"/>
              <w:rPr>
                <w:rFonts w:ascii="黑体" w:hAnsi="黑体" w:eastAsia="黑体"/>
                <w:szCs w:val="21"/>
              </w:rPr>
            </w:pPr>
          </w:p>
        </w:tc>
        <w:tc>
          <w:tcPr>
            <w:tcW w:w="540" w:type="dxa"/>
            <w:gridSpan w:val="7"/>
            <w:shd w:val="clear" w:color="auto" w:fill="auto"/>
            <w:tcMar>
              <w:left w:w="108" w:type="dxa"/>
              <w:right w:w="108" w:type="dxa"/>
            </w:tcMar>
            <w:vAlign w:val="center"/>
          </w:tcPr>
          <w:p w14:paraId="0D96EF68">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14:paraId="7AC2E131">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14:paraId="2317E535">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14:paraId="521AD456">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4" w:type="dxa"/>
            <w:shd w:val="clear" w:color="auto" w:fill="auto"/>
            <w:tcMar>
              <w:left w:w="108" w:type="dxa"/>
              <w:right w:w="108" w:type="dxa"/>
            </w:tcMar>
            <w:vAlign w:val="center"/>
          </w:tcPr>
          <w:p w14:paraId="302E17A9">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2" w:type="dxa"/>
            <w:vMerge w:val="continue"/>
            <w:shd w:val="clear" w:color="auto" w:fill="auto"/>
            <w:tcMar>
              <w:left w:w="108" w:type="dxa"/>
              <w:right w:w="108" w:type="dxa"/>
            </w:tcMar>
            <w:vAlign w:val="center"/>
          </w:tcPr>
          <w:p w14:paraId="6EDE8AAB">
            <w:pPr>
              <w:jc w:val="center"/>
              <w:rPr>
                <w:rFonts w:ascii="仿宋_GB2312" w:hAnsi="Times New Roman" w:eastAsia="仿宋_GB2312"/>
                <w:szCs w:val="21"/>
              </w:rPr>
            </w:pPr>
          </w:p>
        </w:tc>
      </w:tr>
      <w:tr w14:paraId="6CFC72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37E5E6A">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14:paraId="3B1E068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58802B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345A37B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50C20A6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4BB308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2A022BF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688B401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FF0000"/>
                <w:szCs w:val="21"/>
                <w:lang w:val="en-US" w:eastAsia="zh-CN"/>
              </w:rPr>
            </w:pPr>
            <w:r>
              <w:rPr>
                <w:rFonts w:ascii="仿宋_GB2312" w:hAnsi="宋体" w:eastAsia="仿宋_GB2312" w:cs="仿宋_GB2312"/>
                <w:i w:val="0"/>
                <w:iCs w:val="0"/>
                <w:caps w:val="0"/>
                <w:color w:val="000000"/>
                <w:spacing w:val="0"/>
                <w:sz w:val="21"/>
                <w:szCs w:val="21"/>
              </w:rPr>
              <w:t>0</w:t>
            </w:r>
          </w:p>
        </w:tc>
      </w:tr>
      <w:tr w14:paraId="6CB27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5491F270">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14:paraId="18B17A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0694EA6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7261F8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2C023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5FB12B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7FA3AD1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50BCCB7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ascii="仿宋_GB2312" w:hAnsi="宋体" w:eastAsia="仿宋_GB2312" w:cs="仿宋_GB2312"/>
                <w:i w:val="0"/>
                <w:iCs w:val="0"/>
                <w:caps w:val="0"/>
                <w:color w:val="000000"/>
                <w:spacing w:val="0"/>
                <w:sz w:val="21"/>
                <w:szCs w:val="21"/>
              </w:rPr>
              <w:t>0</w:t>
            </w:r>
          </w:p>
        </w:tc>
      </w:tr>
      <w:tr w14:paraId="57BE23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14:paraId="58C1091C">
            <w:pPr>
              <w:widowControl/>
              <w:spacing w:after="180"/>
              <w:rPr>
                <w:rFonts w:ascii="黑体" w:hAnsi="黑体" w:eastAsia="黑体"/>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14:paraId="55B86CF7">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14:paraId="5B7F9A1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273E848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3735345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0FE52D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7B713C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1816C39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09FAA24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ascii="仿宋_GB2312" w:hAnsi="宋体" w:eastAsia="仿宋_GB2312" w:cs="仿宋_GB2312"/>
                <w:i w:val="0"/>
                <w:iCs w:val="0"/>
                <w:caps w:val="0"/>
                <w:color w:val="000000"/>
                <w:spacing w:val="0"/>
                <w:sz w:val="21"/>
                <w:szCs w:val="21"/>
              </w:rPr>
              <w:t>0</w:t>
            </w:r>
          </w:p>
        </w:tc>
      </w:tr>
      <w:tr w14:paraId="3CDC34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E711403">
            <w:pPr>
              <w:rPr>
                <w:rFonts w:ascii="黑体" w:hAnsi="黑体" w:eastAsia="黑体"/>
                <w:szCs w:val="21"/>
              </w:rPr>
            </w:pPr>
          </w:p>
        </w:tc>
        <w:tc>
          <w:tcPr>
            <w:tcW w:w="4677" w:type="dxa"/>
            <w:gridSpan w:val="2"/>
            <w:shd w:val="clear" w:color="auto" w:fill="auto"/>
            <w:tcMar>
              <w:left w:w="108" w:type="dxa"/>
              <w:right w:w="108" w:type="dxa"/>
            </w:tcMar>
            <w:vAlign w:val="center"/>
          </w:tcPr>
          <w:p w14:paraId="3B76DAB9">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14:paraId="6041E2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14:paraId="1F2C6B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14:paraId="4719AD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14:paraId="1527278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14:paraId="1D49E85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14:paraId="770CC8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14:paraId="0D38CC5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r>
              <w:rPr>
                <w:rFonts w:ascii="仿宋_GB2312" w:hAnsi="宋体" w:eastAsia="仿宋_GB2312" w:cs="仿宋_GB2312"/>
                <w:i w:val="0"/>
                <w:iCs w:val="0"/>
                <w:caps w:val="0"/>
                <w:color w:val="000000"/>
                <w:spacing w:val="0"/>
                <w:sz w:val="21"/>
                <w:szCs w:val="21"/>
              </w:rPr>
              <w:t>0</w:t>
            </w:r>
          </w:p>
        </w:tc>
      </w:tr>
      <w:tr w14:paraId="4B6E11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3FDFB4E8">
            <w:pPr>
              <w:rPr>
                <w:rFonts w:ascii="黑体" w:hAnsi="黑体" w:eastAsia="黑体"/>
                <w:szCs w:val="21"/>
              </w:rPr>
            </w:pPr>
          </w:p>
        </w:tc>
        <w:tc>
          <w:tcPr>
            <w:tcW w:w="1701" w:type="dxa"/>
            <w:vMerge w:val="restart"/>
            <w:shd w:val="clear" w:color="auto" w:fill="auto"/>
            <w:tcMar>
              <w:left w:w="108" w:type="dxa"/>
              <w:right w:w="108" w:type="dxa"/>
            </w:tcMar>
            <w:vAlign w:val="center"/>
          </w:tcPr>
          <w:p w14:paraId="642D8936">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14:paraId="0AB37F0B">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14:paraId="3EC64AC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40" w:type="dxa"/>
            <w:gridSpan w:val="7"/>
            <w:shd w:val="clear" w:color="auto" w:fill="auto"/>
            <w:tcMar>
              <w:left w:w="108" w:type="dxa"/>
              <w:right w:w="108" w:type="dxa"/>
            </w:tcMar>
            <w:vAlign w:val="center"/>
          </w:tcPr>
          <w:p w14:paraId="5353EE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5" w:type="dxa"/>
            <w:gridSpan w:val="6"/>
            <w:shd w:val="clear" w:color="auto" w:fill="auto"/>
            <w:tcMar>
              <w:left w:w="108" w:type="dxa"/>
              <w:right w:w="108" w:type="dxa"/>
            </w:tcMar>
            <w:vAlign w:val="center"/>
          </w:tcPr>
          <w:p w14:paraId="42B64A8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C77DE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FF51D3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53FDE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0524E3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34EE4D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9649E1A">
            <w:pPr>
              <w:rPr>
                <w:rFonts w:ascii="黑体" w:hAnsi="黑体" w:eastAsia="黑体"/>
                <w:szCs w:val="21"/>
              </w:rPr>
            </w:pPr>
          </w:p>
        </w:tc>
        <w:tc>
          <w:tcPr>
            <w:tcW w:w="1701" w:type="dxa"/>
            <w:vMerge w:val="continue"/>
            <w:shd w:val="clear" w:color="auto" w:fill="auto"/>
            <w:tcMar>
              <w:left w:w="108" w:type="dxa"/>
              <w:right w:w="108" w:type="dxa"/>
            </w:tcMar>
            <w:vAlign w:val="center"/>
          </w:tcPr>
          <w:p w14:paraId="2A0B72D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C918D34">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14:paraId="100F04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24E601C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07B253A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342E4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F88E4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65FC28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72681F8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54D02B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A75A88E">
            <w:pPr>
              <w:rPr>
                <w:rFonts w:ascii="黑体" w:hAnsi="黑体" w:eastAsia="黑体"/>
                <w:szCs w:val="21"/>
              </w:rPr>
            </w:pPr>
          </w:p>
        </w:tc>
        <w:tc>
          <w:tcPr>
            <w:tcW w:w="1701" w:type="dxa"/>
            <w:vMerge w:val="continue"/>
            <w:shd w:val="clear" w:color="auto" w:fill="auto"/>
            <w:tcMar>
              <w:left w:w="108" w:type="dxa"/>
              <w:right w:w="108" w:type="dxa"/>
            </w:tcMar>
            <w:vAlign w:val="center"/>
          </w:tcPr>
          <w:p w14:paraId="0B1FB3B7">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D97D2B2">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14:paraId="302FF5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06CA18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586E3E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80BD0E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2F27663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03BFEB2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61D2DC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489A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51704DE">
            <w:pPr>
              <w:rPr>
                <w:rFonts w:ascii="黑体" w:hAnsi="黑体" w:eastAsia="黑体"/>
                <w:szCs w:val="21"/>
              </w:rPr>
            </w:pPr>
          </w:p>
        </w:tc>
        <w:tc>
          <w:tcPr>
            <w:tcW w:w="1701" w:type="dxa"/>
            <w:vMerge w:val="continue"/>
            <w:shd w:val="clear" w:color="auto" w:fill="auto"/>
            <w:tcMar>
              <w:left w:w="108" w:type="dxa"/>
              <w:right w:w="108" w:type="dxa"/>
            </w:tcMar>
            <w:vAlign w:val="center"/>
          </w:tcPr>
          <w:p w14:paraId="1D6C2400">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6242AF08">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14:paraId="1F4F27D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55EDE1C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14:paraId="0F6843C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5890DD8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768439B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208678D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059802E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5BE7F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57E7A462">
            <w:pPr>
              <w:rPr>
                <w:rFonts w:ascii="黑体" w:hAnsi="黑体" w:eastAsia="黑体"/>
                <w:szCs w:val="21"/>
              </w:rPr>
            </w:pPr>
          </w:p>
        </w:tc>
        <w:tc>
          <w:tcPr>
            <w:tcW w:w="1701" w:type="dxa"/>
            <w:vMerge w:val="continue"/>
            <w:shd w:val="clear" w:color="auto" w:fill="auto"/>
            <w:tcMar>
              <w:left w:w="108" w:type="dxa"/>
              <w:right w:w="108" w:type="dxa"/>
            </w:tcMar>
            <w:vAlign w:val="center"/>
          </w:tcPr>
          <w:p w14:paraId="7477C0F6">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E09DB19">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14:paraId="75BA364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2D645B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68310C5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0DF636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18B104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AC1EDC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4D7D9D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09AD4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3F69D3B">
            <w:pPr>
              <w:rPr>
                <w:rFonts w:ascii="黑体" w:hAnsi="黑体" w:eastAsia="黑体"/>
                <w:szCs w:val="21"/>
              </w:rPr>
            </w:pPr>
          </w:p>
        </w:tc>
        <w:tc>
          <w:tcPr>
            <w:tcW w:w="1701" w:type="dxa"/>
            <w:vMerge w:val="continue"/>
            <w:shd w:val="clear" w:color="auto" w:fill="auto"/>
            <w:tcMar>
              <w:left w:w="108" w:type="dxa"/>
              <w:right w:w="108" w:type="dxa"/>
            </w:tcMar>
            <w:vAlign w:val="center"/>
          </w:tcPr>
          <w:p w14:paraId="4ADA138D">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52AD4603">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14:paraId="512B7EB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023F4DD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330F5AF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493D17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1F3A50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3A0CA3E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0A90CBE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53D4BF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F8D039F">
            <w:pPr>
              <w:rPr>
                <w:rFonts w:ascii="黑体" w:hAnsi="黑体" w:eastAsia="黑体"/>
                <w:szCs w:val="21"/>
              </w:rPr>
            </w:pPr>
          </w:p>
        </w:tc>
        <w:tc>
          <w:tcPr>
            <w:tcW w:w="1701" w:type="dxa"/>
            <w:vMerge w:val="continue"/>
            <w:shd w:val="clear" w:color="auto" w:fill="auto"/>
            <w:tcMar>
              <w:left w:w="108" w:type="dxa"/>
              <w:right w:w="108" w:type="dxa"/>
            </w:tcMar>
            <w:vAlign w:val="center"/>
          </w:tcPr>
          <w:p w14:paraId="55693962">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1B23915A">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14:paraId="27A8ED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57B175A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79E638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6A6D4E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CDF810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3719A4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269C6D2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5FD740F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5CBAE57">
            <w:pPr>
              <w:rPr>
                <w:rFonts w:ascii="黑体" w:hAnsi="黑体" w:eastAsia="黑体"/>
                <w:szCs w:val="21"/>
              </w:rPr>
            </w:pPr>
          </w:p>
        </w:tc>
        <w:tc>
          <w:tcPr>
            <w:tcW w:w="1701" w:type="dxa"/>
            <w:vMerge w:val="continue"/>
            <w:shd w:val="clear" w:color="auto" w:fill="auto"/>
            <w:tcMar>
              <w:left w:w="108" w:type="dxa"/>
              <w:right w:w="108" w:type="dxa"/>
            </w:tcMar>
            <w:vAlign w:val="center"/>
          </w:tcPr>
          <w:p w14:paraId="4F8BD574">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04B82858">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14:paraId="6C60D3C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14:paraId="437B32C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14:paraId="5B10F6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F9BE60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F5682C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08AF52B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19CABB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A8AF6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1EFE79F8">
            <w:pPr>
              <w:rPr>
                <w:rFonts w:ascii="黑体" w:hAnsi="黑体" w:eastAsia="黑体"/>
                <w:szCs w:val="21"/>
              </w:rPr>
            </w:pPr>
          </w:p>
        </w:tc>
        <w:tc>
          <w:tcPr>
            <w:tcW w:w="1701" w:type="dxa"/>
            <w:vMerge w:val="restart"/>
            <w:shd w:val="clear" w:color="auto" w:fill="auto"/>
            <w:tcMar>
              <w:left w:w="108" w:type="dxa"/>
              <w:right w:w="108" w:type="dxa"/>
            </w:tcMar>
            <w:vAlign w:val="center"/>
          </w:tcPr>
          <w:p w14:paraId="14914B3B">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14:paraId="2A90C8A9">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14:paraId="154325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027E35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121406F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1926E3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0E3800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626B8B6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300521B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7F6A5A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C0F79F8">
            <w:pPr>
              <w:rPr>
                <w:rFonts w:ascii="黑体" w:hAnsi="黑体" w:eastAsia="黑体"/>
                <w:szCs w:val="21"/>
              </w:rPr>
            </w:pPr>
          </w:p>
        </w:tc>
        <w:tc>
          <w:tcPr>
            <w:tcW w:w="1701" w:type="dxa"/>
            <w:vMerge w:val="continue"/>
            <w:shd w:val="clear" w:color="auto" w:fill="auto"/>
            <w:tcMar>
              <w:left w:w="108" w:type="dxa"/>
              <w:right w:w="108" w:type="dxa"/>
            </w:tcMar>
            <w:vAlign w:val="center"/>
          </w:tcPr>
          <w:p w14:paraId="46990512">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28741B6A">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14:paraId="5D23B22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541FF2A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476FF28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0A52F7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2BF3B11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516224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1DC3264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0DB4BF9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2632E8C">
            <w:pPr>
              <w:rPr>
                <w:rFonts w:ascii="黑体" w:hAnsi="黑体" w:eastAsia="黑体"/>
                <w:szCs w:val="21"/>
              </w:rPr>
            </w:pPr>
          </w:p>
        </w:tc>
        <w:tc>
          <w:tcPr>
            <w:tcW w:w="1701" w:type="dxa"/>
            <w:vMerge w:val="continue"/>
            <w:shd w:val="clear" w:color="auto" w:fill="auto"/>
            <w:tcMar>
              <w:left w:w="108" w:type="dxa"/>
              <w:right w:w="108" w:type="dxa"/>
            </w:tcMar>
            <w:vAlign w:val="center"/>
          </w:tcPr>
          <w:p w14:paraId="4230B904">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14:paraId="73154E29">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14:paraId="595003F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25845AA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6576366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A0785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C5D0AF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ADE4F5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728F139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73E2DC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3A3CBD0">
            <w:pPr>
              <w:rPr>
                <w:rFonts w:ascii="黑体" w:hAnsi="黑体" w:eastAsia="黑体"/>
                <w:szCs w:val="21"/>
              </w:rPr>
            </w:pPr>
          </w:p>
        </w:tc>
        <w:tc>
          <w:tcPr>
            <w:tcW w:w="1701" w:type="dxa"/>
            <w:vMerge w:val="restart"/>
            <w:shd w:val="clear" w:color="auto" w:fill="auto"/>
            <w:tcMar>
              <w:left w:w="108" w:type="dxa"/>
              <w:right w:w="108" w:type="dxa"/>
            </w:tcMar>
            <w:vAlign w:val="center"/>
          </w:tcPr>
          <w:p w14:paraId="1E33CD06">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14:paraId="48C3716E">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14:paraId="094CE76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6ABCD5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14:paraId="7FBF7DD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F4D8C4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724AA4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440C662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7380A4C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7DF734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27259353">
            <w:pPr>
              <w:rPr>
                <w:rFonts w:ascii="黑体" w:hAnsi="黑体" w:eastAsia="黑体"/>
                <w:szCs w:val="21"/>
              </w:rPr>
            </w:pPr>
          </w:p>
        </w:tc>
        <w:tc>
          <w:tcPr>
            <w:tcW w:w="1701" w:type="dxa"/>
            <w:vMerge w:val="continue"/>
            <w:shd w:val="clear" w:color="auto" w:fill="auto"/>
            <w:tcMar>
              <w:left w:w="108" w:type="dxa"/>
              <w:right w:w="108" w:type="dxa"/>
            </w:tcMar>
            <w:vAlign w:val="center"/>
          </w:tcPr>
          <w:p w14:paraId="00F4C9C0">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1FFC44D">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14:paraId="237149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37057C8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5DA4FF2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746BF20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C7EA6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6733A59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2658098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201CB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14:paraId="6B5E226E">
            <w:pPr>
              <w:rPr>
                <w:rFonts w:ascii="黑体" w:hAnsi="黑体" w:eastAsia="黑体"/>
                <w:szCs w:val="21"/>
              </w:rPr>
            </w:pPr>
          </w:p>
        </w:tc>
        <w:tc>
          <w:tcPr>
            <w:tcW w:w="1701" w:type="dxa"/>
            <w:vMerge w:val="continue"/>
            <w:shd w:val="clear" w:color="auto" w:fill="auto"/>
            <w:tcMar>
              <w:left w:w="108" w:type="dxa"/>
              <w:right w:w="108" w:type="dxa"/>
            </w:tcMar>
            <w:vAlign w:val="center"/>
          </w:tcPr>
          <w:p w14:paraId="2BC3B27F">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7708AB5F">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14:paraId="48665A3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33FAA0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37AE4328">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9FBB55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7872A67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9E4BF3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01CB2E7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4FCE54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14:paraId="051FB263">
            <w:pPr>
              <w:rPr>
                <w:rFonts w:ascii="黑体" w:hAnsi="黑体" w:eastAsia="黑体"/>
                <w:szCs w:val="21"/>
              </w:rPr>
            </w:pPr>
          </w:p>
        </w:tc>
        <w:tc>
          <w:tcPr>
            <w:tcW w:w="1701" w:type="dxa"/>
            <w:vMerge w:val="continue"/>
            <w:shd w:val="clear" w:color="auto" w:fill="auto"/>
            <w:tcMar>
              <w:left w:w="108" w:type="dxa"/>
              <w:right w:w="108" w:type="dxa"/>
            </w:tcMar>
            <w:vAlign w:val="center"/>
          </w:tcPr>
          <w:p w14:paraId="702B814A">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3A5C685D">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14:paraId="79CCF0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374393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4F0430A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0FFA44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0273B93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580DEA4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7005AF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14587F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8AE4A76">
            <w:pPr>
              <w:rPr>
                <w:rFonts w:ascii="黑体" w:hAnsi="黑体" w:eastAsia="黑体"/>
                <w:szCs w:val="21"/>
              </w:rPr>
            </w:pPr>
          </w:p>
        </w:tc>
        <w:tc>
          <w:tcPr>
            <w:tcW w:w="1701" w:type="dxa"/>
            <w:vMerge w:val="continue"/>
            <w:shd w:val="clear" w:color="auto" w:fill="auto"/>
            <w:tcMar>
              <w:left w:w="108" w:type="dxa"/>
              <w:right w:w="108" w:type="dxa"/>
            </w:tcMar>
            <w:vAlign w:val="center"/>
          </w:tcPr>
          <w:p w14:paraId="294F3E9D">
            <w:pPr>
              <w:spacing w:line="200" w:lineRule="exact"/>
              <w:rPr>
                <w:rFonts w:ascii="黑体" w:hAnsi="黑体" w:eastAsia="黑体"/>
                <w:szCs w:val="21"/>
              </w:rPr>
            </w:pPr>
          </w:p>
        </w:tc>
        <w:tc>
          <w:tcPr>
            <w:tcW w:w="2976" w:type="dxa"/>
            <w:shd w:val="clear" w:color="auto" w:fill="auto"/>
            <w:tcMar>
              <w:left w:w="108" w:type="dxa"/>
              <w:right w:w="108" w:type="dxa"/>
            </w:tcMar>
            <w:vAlign w:val="center"/>
          </w:tcPr>
          <w:p w14:paraId="208C0D77">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14:paraId="2CF20AE3">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14:paraId="3BA5EC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667821D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14:paraId="5BC344D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32486FF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4D5B7F16">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1FF49AB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3A17D1D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581B5E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8CB8C6E">
            <w:pPr>
              <w:rPr>
                <w:rFonts w:ascii="黑体" w:hAnsi="黑体" w:eastAsia="黑体"/>
                <w:szCs w:val="21"/>
              </w:rPr>
            </w:pPr>
          </w:p>
        </w:tc>
        <w:tc>
          <w:tcPr>
            <w:tcW w:w="1701" w:type="dxa"/>
            <w:vMerge w:val="restart"/>
            <w:shd w:val="clear" w:color="auto" w:fill="auto"/>
            <w:tcMar>
              <w:left w:w="108" w:type="dxa"/>
              <w:right w:w="108" w:type="dxa"/>
            </w:tcMar>
            <w:vAlign w:val="center"/>
          </w:tcPr>
          <w:p w14:paraId="74F8D9FE">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14:paraId="6EEF95D5">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14:paraId="41698BC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14:paraId="4B16811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18" w:type="dxa"/>
            <w:shd w:val="clear" w:color="auto" w:fill="auto"/>
            <w:tcMar>
              <w:left w:w="108" w:type="dxa"/>
              <w:right w:w="108" w:type="dxa"/>
            </w:tcMar>
            <w:vAlign w:val="center"/>
          </w:tcPr>
          <w:p w14:paraId="71D6292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17BBDBA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5ABC2AA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4D15EEC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178C3E3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r>
              <w:rPr>
                <w:rFonts w:ascii="仿宋_GB2312" w:hAnsi="宋体" w:eastAsia="仿宋_GB2312" w:cs="仿宋_GB2312"/>
                <w:i w:val="0"/>
                <w:iCs w:val="0"/>
                <w:caps w:val="0"/>
                <w:color w:val="000000"/>
                <w:spacing w:val="0"/>
                <w:sz w:val="21"/>
                <w:szCs w:val="21"/>
              </w:rPr>
              <w:t>0</w:t>
            </w:r>
          </w:p>
        </w:tc>
      </w:tr>
      <w:tr w14:paraId="29F4A5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75BF1AAF">
            <w:pPr>
              <w:rPr>
                <w:rFonts w:ascii="黑体" w:hAnsi="黑体" w:eastAsia="黑体"/>
                <w:szCs w:val="21"/>
              </w:rPr>
            </w:pPr>
          </w:p>
        </w:tc>
        <w:tc>
          <w:tcPr>
            <w:tcW w:w="1701" w:type="dxa"/>
            <w:vMerge w:val="continue"/>
            <w:shd w:val="clear" w:color="auto" w:fill="auto"/>
            <w:tcMar>
              <w:left w:w="108" w:type="dxa"/>
              <w:right w:w="108" w:type="dxa"/>
            </w:tcMar>
            <w:vAlign w:val="center"/>
          </w:tcPr>
          <w:p w14:paraId="2AA161C8">
            <w:pPr>
              <w:widowControl/>
              <w:spacing w:line="300" w:lineRule="exact"/>
              <w:rPr>
                <w:rFonts w:ascii="黑体" w:hAnsi="黑体" w:eastAsia="黑体"/>
                <w:kern w:val="0"/>
                <w:szCs w:val="21"/>
              </w:rPr>
            </w:pPr>
          </w:p>
        </w:tc>
        <w:tc>
          <w:tcPr>
            <w:tcW w:w="2976" w:type="dxa"/>
            <w:shd w:val="clear" w:color="auto" w:fill="auto"/>
            <w:vAlign w:val="center"/>
          </w:tcPr>
          <w:p w14:paraId="0C7ACB36">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14:paraId="07FDA87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7D28D7A5">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0D26FB9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23CEA62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6A314D3A">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5760D04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5E6BE40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r>
              <w:rPr>
                <w:rFonts w:ascii="仿宋_GB2312" w:hAnsi="宋体" w:eastAsia="仿宋_GB2312" w:cs="仿宋_GB2312"/>
                <w:i w:val="0"/>
                <w:iCs w:val="0"/>
                <w:caps w:val="0"/>
                <w:color w:val="000000"/>
                <w:spacing w:val="0"/>
                <w:sz w:val="21"/>
                <w:szCs w:val="21"/>
              </w:rPr>
              <w:t>0</w:t>
            </w:r>
          </w:p>
        </w:tc>
      </w:tr>
      <w:tr w14:paraId="0E0ADE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00ED6C1E">
            <w:pPr>
              <w:rPr>
                <w:rFonts w:ascii="黑体" w:hAnsi="黑体" w:eastAsia="黑体"/>
                <w:szCs w:val="21"/>
              </w:rPr>
            </w:pPr>
          </w:p>
        </w:tc>
        <w:tc>
          <w:tcPr>
            <w:tcW w:w="1701" w:type="dxa"/>
            <w:vMerge w:val="continue"/>
            <w:shd w:val="clear" w:color="auto" w:fill="auto"/>
            <w:tcMar>
              <w:left w:w="108" w:type="dxa"/>
              <w:right w:w="108" w:type="dxa"/>
            </w:tcMar>
            <w:vAlign w:val="center"/>
          </w:tcPr>
          <w:p w14:paraId="7D9345C9">
            <w:pPr>
              <w:widowControl/>
              <w:spacing w:line="300" w:lineRule="exact"/>
              <w:rPr>
                <w:rFonts w:ascii="黑体" w:hAnsi="黑体" w:eastAsia="黑体"/>
                <w:kern w:val="0"/>
                <w:szCs w:val="21"/>
              </w:rPr>
            </w:pPr>
          </w:p>
        </w:tc>
        <w:tc>
          <w:tcPr>
            <w:tcW w:w="2976" w:type="dxa"/>
            <w:shd w:val="clear" w:color="auto" w:fill="auto"/>
            <w:vAlign w:val="center"/>
          </w:tcPr>
          <w:p w14:paraId="18E47408">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14:paraId="694014C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14:paraId="7C30FA12">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14:paraId="255AEE3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6072DC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C9F4CB9">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2CA6FBB4">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4F525FB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r>
              <w:rPr>
                <w:rFonts w:ascii="仿宋_GB2312" w:hAnsi="宋体" w:eastAsia="仿宋_GB2312" w:cs="仿宋_GB2312"/>
                <w:i w:val="0"/>
                <w:iCs w:val="0"/>
                <w:caps w:val="0"/>
                <w:color w:val="000000"/>
                <w:spacing w:val="0"/>
                <w:sz w:val="21"/>
                <w:szCs w:val="21"/>
              </w:rPr>
              <w:t>0</w:t>
            </w:r>
          </w:p>
        </w:tc>
      </w:tr>
      <w:tr w14:paraId="21011E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14:paraId="1083EBB8">
            <w:pPr>
              <w:rPr>
                <w:rFonts w:ascii="黑体" w:hAnsi="黑体" w:eastAsia="黑体"/>
                <w:szCs w:val="21"/>
              </w:rPr>
            </w:pPr>
          </w:p>
        </w:tc>
        <w:tc>
          <w:tcPr>
            <w:tcW w:w="4677" w:type="dxa"/>
            <w:gridSpan w:val="2"/>
            <w:shd w:val="clear" w:color="auto" w:fill="auto"/>
            <w:tcMar>
              <w:left w:w="108" w:type="dxa"/>
              <w:right w:w="108" w:type="dxa"/>
            </w:tcMar>
            <w:vAlign w:val="center"/>
          </w:tcPr>
          <w:p w14:paraId="70399FEC">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14:paraId="51100A1C">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4CD573D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27E2409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753F289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AD0F970">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778FF09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60A43537">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r>
              <w:rPr>
                <w:rFonts w:ascii="仿宋_GB2312" w:hAnsi="宋体" w:eastAsia="仿宋_GB2312" w:cs="仿宋_GB2312"/>
                <w:i w:val="0"/>
                <w:iCs w:val="0"/>
                <w:caps w:val="0"/>
                <w:color w:val="000000"/>
                <w:spacing w:val="0"/>
                <w:sz w:val="21"/>
                <w:szCs w:val="21"/>
              </w:rPr>
              <w:t>0</w:t>
            </w:r>
          </w:p>
        </w:tc>
      </w:tr>
      <w:tr w14:paraId="65CD66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2A516D9F">
            <w:pPr>
              <w:widowControl/>
              <w:spacing w:line="300" w:lineRule="exact"/>
              <w:rPr>
                <w:rFonts w:ascii="黑体" w:hAnsi="黑体" w:eastAsia="黑体"/>
                <w:kern w:val="0"/>
                <w:szCs w:val="21"/>
              </w:rPr>
            </w:pPr>
            <w:r>
              <w:rPr>
                <w:rFonts w:hint="eastAsia" w:ascii="黑体" w:hAnsi="黑体" w:eastAsia="黑体"/>
                <w:color w:val="auto"/>
                <w:kern w:val="0"/>
                <w:szCs w:val="21"/>
              </w:rPr>
              <w:t>四、结转下年度继续办理</w:t>
            </w:r>
          </w:p>
        </w:tc>
        <w:tc>
          <w:tcPr>
            <w:tcW w:w="761" w:type="dxa"/>
            <w:gridSpan w:val="4"/>
            <w:shd w:val="clear" w:color="auto" w:fill="auto"/>
            <w:tcMar>
              <w:left w:w="108" w:type="dxa"/>
              <w:right w:w="108" w:type="dxa"/>
            </w:tcMar>
            <w:vAlign w:val="center"/>
          </w:tcPr>
          <w:p w14:paraId="44F1DC2B">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14:paraId="553A38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14:paraId="5EF6D03D">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14:paraId="44185353">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14:paraId="37368801">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14:paraId="73C49C5E">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14:paraId="21668BEF">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r>
              <w:rPr>
                <w:rFonts w:ascii="仿宋_GB2312" w:hAnsi="宋体" w:eastAsia="仿宋_GB2312" w:cs="仿宋_GB2312"/>
                <w:i w:val="0"/>
                <w:iCs w:val="0"/>
                <w:caps w:val="0"/>
                <w:color w:val="000000"/>
                <w:spacing w:val="0"/>
                <w:sz w:val="21"/>
                <w:szCs w:val="21"/>
              </w:rPr>
              <w:t>0</w:t>
            </w:r>
          </w:p>
        </w:tc>
      </w:tr>
    </w:tbl>
    <w:p w14:paraId="7DA5ADA8">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4392B1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94444F">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5460D2C">
            <w:pPr>
              <w:widowControl/>
              <w:jc w:val="center"/>
              <w:rPr>
                <w:rFonts w:ascii="黑体" w:hAnsi="黑体" w:eastAsia="黑体"/>
              </w:rPr>
            </w:pPr>
            <w:r>
              <w:rPr>
                <w:rFonts w:ascii="黑体" w:hAnsi="黑体" w:eastAsia="黑体"/>
                <w:kern w:val="0"/>
                <w:sz w:val="20"/>
                <w:szCs w:val="20"/>
              </w:rPr>
              <w:t>行政诉讼</w:t>
            </w:r>
          </w:p>
        </w:tc>
      </w:tr>
      <w:tr w14:paraId="0E8301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F33028E">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14:paraId="23294806">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1332E1DB">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3548859">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189AF7">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14:paraId="46F44188">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5CCA55F7">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14:paraId="76297A4A">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3E97678">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2DA4DFE">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14:paraId="1B0DBE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47BEECE">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701A565C">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EDF621C">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D2CE67C">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394FC1A">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F8066BA">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C8BD679">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63FD69B">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14:paraId="544306EB">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C1E490A">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14:paraId="42F9FCDF">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9F80AAD">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920B1B3">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54B5A33">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14:paraId="233E0FD2">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2F4ADE">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14:paraId="7E6F1418">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40A1B1D">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50C248F">
            <w:pPr>
              <w:widowControl/>
              <w:jc w:val="center"/>
              <w:rPr>
                <w:rFonts w:ascii="黑体" w:hAnsi="黑体" w:eastAsia="黑体"/>
              </w:rPr>
            </w:pPr>
            <w:r>
              <w:rPr>
                <w:rFonts w:ascii="黑体" w:hAnsi="黑体" w:eastAsia="黑体"/>
                <w:kern w:val="0"/>
                <w:sz w:val="20"/>
                <w:szCs w:val="20"/>
              </w:rPr>
              <w:t>总计</w:t>
            </w:r>
          </w:p>
        </w:tc>
      </w:tr>
      <w:tr w14:paraId="0E1B983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98BB5E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3A4CBA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B0E7CB5">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0521E4BB">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7D64D8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499461B0">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8A6E606">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9F50818">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E9F381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1583083">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6920D74">
            <w:pPr>
              <w:widowControl/>
              <w:spacing w:after="180"/>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C639830">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A575294">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2A46B3D">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F773480">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14:paraId="1AFC5BB1">
      <w:pPr>
        <w:widowControl/>
        <w:jc w:val="left"/>
        <w:rPr>
          <w:rFonts w:hint="eastAsia" w:ascii="仿宋_GB2312" w:hAnsi="Calibri" w:eastAsia="仿宋_GB2312" w:cs="Calibri"/>
          <w:color w:val="FF0000"/>
          <w:kern w:val="0"/>
          <w:szCs w:val="21"/>
          <w:lang w:val="en-US" w:eastAsia="zh-CN"/>
        </w:rPr>
      </w:pPr>
    </w:p>
    <w:p w14:paraId="12DAB125">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14:paraId="136A85FE">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pPr>
      <w:r>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t>2024年度我局虽然把政府信息公开作为全局重要工作并取得了一些成绩，但有些工作还需进一步加强：一是政务公开质量和精细化水平还需进一步提升；二是政府信息公开内容还可以进一步充实和丰富。</w:t>
      </w:r>
    </w:p>
    <w:p w14:paraId="4C3AA469">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i w:val="0"/>
          <w:caps w:val="0"/>
          <w:color w:val="FF0000"/>
          <w:spacing w:val="0"/>
          <w:kern w:val="2"/>
          <w:sz w:val="32"/>
          <w:szCs w:val="32"/>
          <w:u w:val="single"/>
          <w:shd w:val="clear" w:fill="FFFFFF"/>
          <w:lang w:val="en-US" w:eastAsia="zh-CN" w:bidi="ar-SA"/>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202</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年的政府信息公开工作，环翠区医保局将重点抓好以下方面：</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一是进一步组织学习《中华人民共和国政府信息公开条例》，认真清理我局政务公开事项，查漏补缺，编制更加科学规范的公开目录。二是持续加强政务公开业务培训，准确把握政策精神，强化公开理念，继续坚持“公开为常态，不公开为例外”的原则，按照要求进一步做好重点领域信息公开工作。三是不断探索、完善政务新媒体建设、管理等机制，充分发挥政务新媒体作用。</w:t>
      </w:r>
    </w:p>
    <w:p w14:paraId="5BF666E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14:paraId="167A5C28">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环翠区医保局</w:t>
      </w:r>
      <w:r>
        <w:rPr>
          <w:rFonts w:hint="default" w:ascii="Times New Roman" w:hAnsi="Times New Roman" w:eastAsia="仿宋_GB2312" w:cs="Times New Roman"/>
          <w:sz w:val="32"/>
          <w:szCs w:val="32"/>
          <w:highlight w:val="none"/>
        </w:rPr>
        <w:t>未收取政府信息公开信息处理费。</w:t>
      </w:r>
    </w:p>
    <w:p w14:paraId="2189D27E">
      <w:pPr>
        <w:pStyle w:val="5"/>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楷体_GB2312" w:cs="Times New Roman"/>
          <w:kern w:val="0"/>
          <w:sz w:val="32"/>
          <w:szCs w:val="32"/>
          <w:highlight w:val="none"/>
          <w:lang w:val="en-US" w:eastAsia="zh-CN" w:bidi="ar"/>
        </w:rPr>
        <w:t>2.</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环翠区医保局</w:t>
      </w:r>
      <w:r>
        <w:rPr>
          <w:rFonts w:hint="eastAsia" w:ascii="Times New Roman" w:hAnsi="Times New Roman" w:eastAsia="仿宋_GB2312" w:cs="Times New Roman"/>
          <w:sz w:val="32"/>
          <w:szCs w:val="32"/>
          <w:highlight w:val="none"/>
          <w:lang w:val="en-US" w:eastAsia="zh-CN"/>
        </w:rPr>
        <w:t>未牵头</w:t>
      </w:r>
      <w:r>
        <w:rPr>
          <w:rFonts w:hint="default" w:ascii="Times New Roman" w:hAnsi="Times New Roman" w:eastAsia="仿宋_GB2312" w:cs="Times New Roman"/>
          <w:sz w:val="32"/>
          <w:szCs w:val="32"/>
          <w:highlight w:val="none"/>
        </w:rPr>
        <w:t>承办人大代表建议</w:t>
      </w:r>
      <w:r>
        <w:rPr>
          <w:rFonts w:hint="eastAsia"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rPr>
        <w:t>政协提案。</w:t>
      </w:r>
    </w:p>
    <w:p w14:paraId="0BD5EAB0">
      <w:pPr>
        <w:pStyle w:val="5"/>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3.落实上级年度政务公开工作要点情况</w:t>
      </w:r>
      <w:r>
        <w:rPr>
          <w:rFonts w:hint="eastAsia" w:ascii="Times New Roman" w:hAnsi="Times New Roman" w:cs="Times New Roman"/>
          <w:sz w:val="32"/>
          <w:szCs w:val="32"/>
          <w:highlight w:val="none"/>
          <w:lang w:val="en-US" w:eastAsia="zh-CN"/>
        </w:rPr>
        <w:t>：</w:t>
      </w:r>
      <w:r>
        <w:rPr>
          <w:rFonts w:hint="default" w:ascii="Times New Roman" w:hAnsi="Times New Roman" w:cs="Times New Roman"/>
          <w:sz w:val="32"/>
          <w:szCs w:val="32"/>
          <w:highlight w:val="none"/>
          <w:lang w:val="en-US" w:eastAsia="zh-CN"/>
        </w:rPr>
        <w:t>202</w:t>
      </w:r>
      <w:r>
        <w:rPr>
          <w:rFonts w:hint="eastAsia" w:ascii="Times New Roman" w:hAnsi="Times New Roman" w:cs="Times New Roman"/>
          <w:sz w:val="32"/>
          <w:szCs w:val="32"/>
          <w:highlight w:val="none"/>
          <w:lang w:val="en-US" w:eastAsia="zh-CN"/>
        </w:rPr>
        <w:t>4</w:t>
      </w:r>
      <w:r>
        <w:rPr>
          <w:rFonts w:hint="eastAsia" w:ascii="仿宋_GB2312" w:hAnsi="仿宋_GB2312" w:eastAsia="仿宋_GB2312" w:cs="仿宋_GB2312"/>
          <w:sz w:val="32"/>
          <w:szCs w:val="32"/>
          <w:highlight w:val="none"/>
          <w:lang w:val="en-US" w:eastAsia="zh-CN"/>
        </w:rPr>
        <w:t>年，环翠区医保局不断加强组织领导，明确工作职责，根据环翠区政务公开工作要点要求，围绕民生保障、依申请公开，工作动态等方面发布政务信息，使政务信息公开更加及时、准确。</w:t>
      </w:r>
    </w:p>
    <w:p w14:paraId="3742C9F9">
      <w:pPr>
        <w:pStyle w:val="5"/>
        <w:keepNext w:val="0"/>
        <w:keepLines w:val="0"/>
        <w:pageBreakBefore w:val="0"/>
        <w:numPr>
          <w:ilvl w:val="0"/>
          <w:numId w:val="0"/>
        </w:numPr>
        <w:kinsoku/>
        <w:wordWrap w:val="0"/>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default"/>
          <w:highlight w:val="none"/>
          <w:lang w:val="en-US"/>
        </w:rPr>
      </w:pPr>
      <w:r>
        <w:rPr>
          <w:rFonts w:hint="eastAsia" w:ascii="Times New Roman" w:hAnsi="Times New Roman" w:eastAsia="楷体_GB2312" w:cs="Times New Roman"/>
          <w:kern w:val="0"/>
          <w:sz w:val="32"/>
          <w:szCs w:val="32"/>
          <w:highlight w:val="none"/>
          <w:lang w:val="en-US" w:eastAsia="zh-CN" w:bidi="ar"/>
        </w:rPr>
        <w:t>4</w:t>
      </w:r>
      <w:r>
        <w:rPr>
          <w:rFonts w:hint="default" w:ascii="Times New Roman" w:hAnsi="Times New Roman" w:eastAsia="楷体_GB2312" w:cs="Times New Roman"/>
          <w:kern w:val="0"/>
          <w:sz w:val="32"/>
          <w:szCs w:val="32"/>
          <w:highlight w:val="none"/>
          <w:lang w:val="en-US" w:eastAsia="zh-CN" w:bidi="ar"/>
        </w:rPr>
        <w:t>.</w:t>
      </w:r>
      <w:r>
        <w:rPr>
          <w:rFonts w:hint="default" w:ascii="Times New Roman" w:hAnsi="Times New Roman" w:eastAsia="楷体_GB2312" w:cs="Times New Roman"/>
          <w:sz w:val="32"/>
          <w:szCs w:val="32"/>
          <w:highlight w:val="none"/>
        </w:rPr>
        <w:t>其他方面：</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以双重守护 健康无忧</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为</w:t>
      </w:r>
      <w:r>
        <w:rPr>
          <w:rFonts w:hint="eastAsia" w:ascii="仿宋_GB2312" w:hAnsi="仿宋_GB2312" w:eastAsia="仿宋_GB2312" w:cs="仿宋_GB2312"/>
          <w:b w:val="0"/>
          <w:bCs w:val="0"/>
          <w:color w:val="000000"/>
          <w:sz w:val="32"/>
          <w:szCs w:val="32"/>
        </w:rPr>
        <w:t>精准扩面专项行动</w:t>
      </w:r>
      <w:r>
        <w:rPr>
          <w:rFonts w:hint="eastAsia" w:ascii="仿宋_GB2312" w:hAnsi="仿宋_GB2312" w:eastAsia="仿宋_GB2312" w:cs="仿宋_GB2312"/>
          <w:b w:val="0"/>
          <w:bCs w:val="0"/>
          <w:color w:val="000000"/>
          <w:sz w:val="32"/>
          <w:szCs w:val="32"/>
          <w:lang w:val="en-US" w:eastAsia="zh-CN"/>
        </w:rPr>
        <w:t>主题，</w:t>
      </w:r>
      <w:r>
        <w:rPr>
          <w:rFonts w:hint="eastAsia" w:ascii="仿宋_GB2312" w:hAnsi="仿宋_GB2312" w:eastAsia="仿宋_GB2312" w:cs="仿宋_GB2312"/>
          <w:b w:val="0"/>
          <w:bCs w:val="0"/>
          <w:color w:val="000000"/>
          <w:sz w:val="32"/>
          <w:szCs w:val="32"/>
        </w:rPr>
        <w:t>通过</w:t>
      </w:r>
      <w:r>
        <w:rPr>
          <w:rFonts w:hint="eastAsia" w:ascii="仿宋_GB2312" w:hAnsi="仿宋_GB2312" w:eastAsia="仿宋_GB2312" w:cs="仿宋_GB2312"/>
          <w:b w:val="0"/>
          <w:bCs w:val="0"/>
          <w:color w:val="000000"/>
          <w:sz w:val="32"/>
          <w:szCs w:val="32"/>
          <w:lang w:val="en-US" w:eastAsia="zh-CN"/>
        </w:rPr>
        <w:t>举办全市参保扩面启动仪式、医疗保障专题文艺汇演、“五进”</w:t>
      </w:r>
      <w:r>
        <w:rPr>
          <w:rFonts w:hint="default" w:ascii="仿宋_GB2312" w:hAnsi="仿宋_GB2312" w:eastAsia="仿宋_GB2312" w:cs="仿宋_GB2312"/>
          <w:b w:val="0"/>
          <w:bCs w:val="0"/>
          <w:color w:val="000000"/>
          <w:sz w:val="32"/>
          <w:szCs w:val="32"/>
          <w:lang w:val="en-US" w:eastAsia="zh-CN"/>
        </w:rPr>
        <w:t>”</w:t>
      </w:r>
      <w:r>
        <w:rPr>
          <w:rFonts w:hint="eastAsia" w:ascii="仿宋_GB2312" w:hAnsi="仿宋_GB2312" w:eastAsia="仿宋_GB2312" w:cs="仿宋_GB2312"/>
          <w:b w:val="0"/>
          <w:bCs w:val="0"/>
          <w:color w:val="000000"/>
          <w:sz w:val="32"/>
          <w:szCs w:val="32"/>
          <w:lang w:val="en-US" w:eastAsia="zh-CN"/>
        </w:rPr>
        <w:t>“信用+直播”等活动</w:t>
      </w:r>
      <w:r>
        <w:rPr>
          <w:rFonts w:hint="eastAsia" w:ascii="仿宋_GB2312" w:hAnsi="仿宋_GB2312" w:eastAsia="仿宋_GB2312" w:cs="仿宋_GB2312"/>
          <w:b w:val="0"/>
          <w:bCs w:val="0"/>
          <w:color w:val="000000"/>
          <w:sz w:val="32"/>
          <w:szCs w:val="32"/>
        </w:rPr>
        <w:t>，“线上+线下”宣传双管齐下</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拓宽宣传覆盖面</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最威海是环翠</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政企号增设“医保快递”栏目，定期更新医保政策问答，现已更新门诊统筹、长期护理保险、药品集中带量采购、医保基金监管、医保经办流程等近百篇信息。</w:t>
      </w:r>
    </w:p>
    <w:p w14:paraId="2F813258">
      <w:pPr>
        <w:pStyle w:val="9"/>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sz w:val="32"/>
          <w:szCs w:val="32"/>
        </w:rPr>
      </w:pPr>
    </w:p>
    <w:p w14:paraId="75A51F43"/>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95F3E">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59EADE">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659EADE">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ea6e411e-7fa1-413e-9944-4725c5626182"/>
  </w:docVars>
  <w:rsids>
    <w:rsidRoot w:val="51E92AD9"/>
    <w:rsid w:val="04BA64C7"/>
    <w:rsid w:val="16953140"/>
    <w:rsid w:val="1B870828"/>
    <w:rsid w:val="28AF339E"/>
    <w:rsid w:val="33067842"/>
    <w:rsid w:val="39191898"/>
    <w:rsid w:val="51876EC7"/>
    <w:rsid w:val="51E92AD9"/>
    <w:rsid w:val="5C101108"/>
    <w:rsid w:val="65B71508"/>
    <w:rsid w:val="6985191D"/>
    <w:rsid w:val="7A0677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00" w:beforeLines="100" w:after="100" w:afterLines="100" w:line="560" w:lineRule="exact"/>
      <w:jc w:val="center"/>
      <w:outlineLvl w:val="0"/>
    </w:pPr>
    <w:rPr>
      <w:rFonts w:ascii="Times New Roman" w:hAnsi="Times New Roman" w:eastAsia="黑体"/>
      <w:kern w:val="44"/>
      <w:sz w:val="32"/>
      <w:szCs w:val="20"/>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2656</Words>
  <Characters>2786</Characters>
  <Lines>0</Lines>
  <Paragraphs>0</Paragraphs>
  <TotalTime>1</TotalTime>
  <ScaleCrop>false</ScaleCrop>
  <LinksUpToDate>false</LinksUpToDate>
  <CharactersWithSpaces>2789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2025-01-09T05:39:00Z</dcterms:created>
  <dc:creator>奶油泡芙</dc:creator>
  <cp:lastModifiedBy>环翠医保</cp:lastModifiedBy>
  <cp:lastPrinted>2025-01-09T07:26:00Z</cp:lastPrinted>
  <dcterms:modified xsi:type="dcterms:W3CDTF">2025-12-11T07:19:36Z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380EBDE5BC3A486398A9F0BAED59EF0B_11</vt:lpwstr>
  </property>
  <property fmtid="{D5CDD505-2E9C-101B-9397-08002B2CF9AE}" pid="4" name="KSOTemplateDocerSaveRecord">
    <vt:lpwstr>eyJoZGlkIjoiZjU1YzY3YzkxZThjMjg0MmFhY2Y3ZTIyNGMxOGEwY2YiLCJ1c2VySWQiOiIyODk0NjQ4MTQifQ==</vt:lpwstr>
  </property>
</Properties>
</file>