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0"/>
        <w:jc w:val="both"/>
        <w:textAlignment w:val="auto"/>
        <w:outlineLvl w:val="9"/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auto"/>
          <w:spacing w:val="0"/>
          <w:sz w:val="44"/>
          <w:szCs w:val="44"/>
          <w:shd w:val="clear" w:fill="FFFFFF"/>
          <w:lang w:eastAsia="zh-CN"/>
        </w:rPr>
      </w:pP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/>
        <w:jc w:val="center"/>
        <w:textAlignment w:val="auto"/>
        <w:outlineLvl w:val="9"/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</w:pPr>
      <w:r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  <w:t>威海市环翠区行政审批服务局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/>
        <w:jc w:val="center"/>
        <w:textAlignment w:val="auto"/>
        <w:outlineLvl w:val="9"/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</w:pPr>
      <w:r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  <w:t>2023年政府信息公开工作年度报告</w:t>
      </w:r>
    </w:p>
    <w:p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600" w:lineRule="exact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</w:p>
    <w:p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60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根据《中华人民共和国政府信息公开条例》（国务院令第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711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号，以下简称《条例》）和《中华人民共和国政府信息公开工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作年度报告格式》（国办公开办函〔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〕30号）要求，结合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年威海市环翠区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行政审批服务局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政府信息公开工作实际，编制发布本报告。</w:t>
      </w:r>
    </w:p>
    <w:p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60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本报告内容包括：总体情况、主动公开政府信息情况、收到和处理政府信息公开申请情况、政府信息公开行政复议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及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行政诉讼情况、存在的主要问题及改进情况、其他事项，以及相关指标统计附表等。报告中所列数据统计期限从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日到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31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日止。报告电子版可从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威海市环翠区人民政府网站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（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网址：http://www.huancui.gov.cn/col/col151316/index.html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）查阅或下载。公众如需进一步咨询了解相关信息，请与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威海市环翠区行政审批服务局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联系（地址：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威海市环翠区文化中路59号，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</w:rPr>
        <w:t>电话：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0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</w:rPr>
        <w:t>631-5229038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）。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</w:rPr>
        <w:t>一、总体情况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2023年，区行政审批服务局严格执行政务公开工作各项规定，不断加强理论学习，创新公开形式，丰富公开内容，紧跟当前政务公开工作形势，立足行政审批服务领域，着力打造群众身边的阳光办事大厅。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1.</w:t>
      </w: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主动公开</w:t>
      </w:r>
      <w:r>
        <w:rPr>
          <w:rFonts w:hint="eastAsia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政府信息情况</w:t>
      </w:r>
    </w:p>
    <w:p>
      <w:pPr>
        <w:pStyle w:val="2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区行政审批服务局严格执行政府信息公开制度，对照政府信息主动公开基本目录，压实公开责任，在政府网站发布本领域主动公开信息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  <w:t>640余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条。其中，更新行政审批领域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业务动态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43条、通知公告405条，面向建设项目，更新建筑工程施工综合许可、建设工程消防设计审查等项目服务指南5条，面向市场主体和群众，发布营商要闻和相关政策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  <w:t>170余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条。</w:t>
      </w:r>
    </w:p>
    <w:p>
      <w:pPr>
        <w:pStyle w:val="2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2.</w:t>
      </w: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依申请公开</w:t>
      </w:r>
      <w:r>
        <w:rPr>
          <w:rFonts w:hint="eastAsia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政府信息情况</w:t>
      </w:r>
    </w:p>
    <w:p>
      <w:pPr>
        <w:pStyle w:val="2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cs="Times New Roman"/>
          <w:color w:val="auto"/>
          <w:lang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20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年，受理政府信息公开申请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17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件，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相比上一年度增加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16件，增幅94.1%，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其中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16件均与海康—北海文化艺术产业园项目信息有关，均在法定时限内完成答复。从办理结果看，予以公开3件，无法提供10件，不予公开4件。本年度我局依申请公开工作未收取任何费用，没有引起行政复议纠错和行政诉讼败诉的情形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</w:pP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3.政府信息管理</w:t>
      </w:r>
      <w:r>
        <w:rPr>
          <w:rFonts w:hint="eastAsia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情况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2023年，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结合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行政审批领域工作实际，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全面梳理主动公开事项，细化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具体条目，明确公开时限，更新了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政府信息主动公开目录。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对照目录清单，优化内部管理考核办法，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明确信息来源科室、政务公开工作机构、分管负责人三级内容审核制度，严格执行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“三审三校”信息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保密审查原则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，确保信息公开合法合规，信息管理安全有序。本年度，未制定发布规范性文件。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4.</w:t>
      </w:r>
      <w:r>
        <w:rPr>
          <w:rFonts w:hint="eastAsia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政府信息公开</w:t>
      </w: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平台建设</w:t>
      </w:r>
      <w:r>
        <w:rPr>
          <w:rFonts w:hint="eastAsia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以区政府网站为政务公开主阵地，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严格</w:t>
      </w:r>
      <w:r>
        <w:rPr>
          <w:rFonts w:hint="eastAsia" w:eastAsia="仿宋_GB2312" w:cs="Times New Roman"/>
          <w:color w:val="auto"/>
          <w:sz w:val="32"/>
          <w:szCs w:val="32"/>
          <w:lang w:val="en-US" w:eastAsia="zh-CN"/>
        </w:rPr>
        <w:t>执行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政务公开工作</w:t>
      </w:r>
      <w:r>
        <w:rPr>
          <w:rFonts w:hint="eastAsia" w:eastAsia="仿宋_GB2312" w:cs="Times New Roman"/>
          <w:color w:val="auto"/>
          <w:sz w:val="32"/>
          <w:szCs w:val="32"/>
          <w:lang w:val="en-US" w:eastAsia="zh-CN"/>
        </w:rPr>
        <w:t>各项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要求，</w:t>
      </w:r>
      <w:r>
        <w:rPr>
          <w:rFonts w:hint="eastAsia" w:eastAsia="仿宋_GB2312" w:cs="Times New Roman"/>
          <w:color w:val="auto"/>
          <w:sz w:val="32"/>
          <w:szCs w:val="32"/>
          <w:lang w:val="en-US" w:eastAsia="zh-CN"/>
        </w:rPr>
        <w:t>及时更新职责分工内需主动公开的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信息。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依托我区“最威海是环翠”APP政企号板块，以新闻报道形式宣传推广行政审批</w:t>
      </w:r>
      <w:r>
        <w:rPr>
          <w:rFonts w:hint="eastAsia" w:eastAsia="仿宋_GB2312" w:cs="Times New Roman"/>
          <w:color w:val="auto"/>
          <w:sz w:val="32"/>
          <w:szCs w:val="32"/>
          <w:lang w:val="en-US" w:eastAsia="zh-CN"/>
        </w:rPr>
        <w:t>创新举措。通过新闻发布会的形式，由主要负责人和分管负责人解读最新办事政策，借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力新闻媒体，最大限度拓宽便企利民政策覆盖面，年内共召开3场新</w:t>
      </w:r>
      <w:r>
        <w:rPr>
          <w:rFonts w:hint="eastAsia" w:eastAsia="仿宋_GB2312" w:cs="Times New Roman"/>
          <w:color w:val="auto"/>
          <w:sz w:val="32"/>
          <w:szCs w:val="32"/>
          <w:lang w:val="en-US" w:eastAsia="zh-CN"/>
        </w:rPr>
        <w:t>闻发布会。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firstLine="640" w:firstLineChars="200"/>
        <w:textAlignment w:val="auto"/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5.</w:t>
      </w: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监督保障情况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进一步优化主要领导负总责、分管领导具体抓、工作机构科学干的监督保障机制，明确规定工作机构、人员构成、任务分工、督办考核等要素，积极组织政务公开相关工作人员业务培训，强化理论学习和实操演练，不断提升自查自纠能力，确保政府信息公开工作闭环有序推进。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</w:rPr>
        <w:t>二、主动公开政府信息情况</w:t>
      </w:r>
    </w:p>
    <w:tbl>
      <w:tblPr>
        <w:tblStyle w:val="7"/>
        <w:tblW w:w="8824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06"/>
        <w:gridCol w:w="2206"/>
        <w:gridCol w:w="2206"/>
        <w:gridCol w:w="2206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60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第二十条第（一）项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6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信息内容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6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本年制发件数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6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本年废止件数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6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现行有效件数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600" w:lineRule="exact"/>
              <w:jc w:val="left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规章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6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6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6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600" w:lineRule="exact"/>
              <w:jc w:val="left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行政规范性文件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6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6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6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60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第二十条第（五）项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6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6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本年处理决定数量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600" w:lineRule="exact"/>
              <w:jc w:val="left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行政许可</w:t>
            </w:r>
          </w:p>
        </w:tc>
        <w:tc>
          <w:tcPr>
            <w:tcW w:w="661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6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3</w:t>
            </w: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8082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C6D9F1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60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第二十条第（六）项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6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6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本年处理决定数量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600" w:lineRule="exact"/>
              <w:jc w:val="left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行政处罚</w:t>
            </w:r>
          </w:p>
        </w:tc>
        <w:tc>
          <w:tcPr>
            <w:tcW w:w="661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6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600" w:lineRule="exact"/>
              <w:jc w:val="left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行政强制</w:t>
            </w:r>
          </w:p>
        </w:tc>
        <w:tc>
          <w:tcPr>
            <w:tcW w:w="661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6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C6D9F1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60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第二十条第（八）项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22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6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6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本年收费金额（单位：万元）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600" w:lineRule="exact"/>
              <w:jc w:val="left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行政事业性收费</w:t>
            </w:r>
          </w:p>
        </w:tc>
        <w:tc>
          <w:tcPr>
            <w:tcW w:w="661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6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三、收到和处理政府信息公开申请情况</w:t>
      </w:r>
    </w:p>
    <w:tbl>
      <w:tblPr>
        <w:tblStyle w:val="7"/>
        <w:tblW w:w="9541" w:type="dxa"/>
        <w:jc w:val="center"/>
        <w:tblInd w:w="0" w:type="dxa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16"/>
        <w:gridCol w:w="1701"/>
        <w:gridCol w:w="2976"/>
        <w:gridCol w:w="747"/>
        <w:gridCol w:w="5"/>
        <w:gridCol w:w="9"/>
        <w:gridCol w:w="526"/>
        <w:gridCol w:w="5"/>
        <w:gridCol w:w="8"/>
        <w:gridCol w:w="527"/>
        <w:gridCol w:w="720"/>
        <w:gridCol w:w="675"/>
        <w:gridCol w:w="525"/>
        <w:gridCol w:w="1"/>
        <w:gridCol w:w="700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3" w:hRule="atLeast"/>
          <w:jc w:val="center"/>
        </w:trPr>
        <w:tc>
          <w:tcPr>
            <w:tcW w:w="5093" w:type="dxa"/>
            <w:gridSpan w:val="3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600" w:lineRule="exact"/>
              <w:jc w:val="center"/>
              <w:textAlignment w:val="auto"/>
              <w:rPr>
                <w:rFonts w:hint="default" w:ascii="Times New Roman" w:hAnsi="Times New Roman" w:eastAsia="楷体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楷体_GB2312" w:cs="Times New Roman"/>
                <w:color w:val="auto"/>
                <w:kern w:val="0"/>
                <w:szCs w:val="21"/>
              </w:rPr>
              <w:t>（本列数据的勾稽关系为：第一项加第二项之和，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6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楷体_GB2312" w:cs="Times New Roman"/>
                <w:color w:val="auto"/>
                <w:kern w:val="0"/>
                <w:szCs w:val="21"/>
              </w:rPr>
              <w:t>等于第三项加第四项之和）</w:t>
            </w:r>
          </w:p>
        </w:tc>
        <w:tc>
          <w:tcPr>
            <w:tcW w:w="4448" w:type="dxa"/>
            <w:gridSpan w:val="1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60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申请人情况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6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</w:p>
        </w:tc>
        <w:tc>
          <w:tcPr>
            <w:tcW w:w="747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60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自然人</w:t>
            </w:r>
          </w:p>
        </w:tc>
        <w:tc>
          <w:tcPr>
            <w:tcW w:w="3000" w:type="dxa"/>
            <w:gridSpan w:val="9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60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法人或其他组织</w:t>
            </w:r>
          </w:p>
        </w:tc>
        <w:tc>
          <w:tcPr>
            <w:tcW w:w="701" w:type="dxa"/>
            <w:gridSpan w:val="2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60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总计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6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</w:p>
        </w:tc>
        <w:tc>
          <w:tcPr>
            <w:tcW w:w="747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60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600" w:lineRule="exact"/>
              <w:ind w:left="-106" w:leftChars="-51" w:right="-107" w:rightChars="-51" w:hanging="1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商业企业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600" w:lineRule="exact"/>
              <w:ind w:left="-107" w:leftChars="-51" w:right="-107" w:rightChars="-51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科研机构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600" w:lineRule="exact"/>
              <w:ind w:left="-107" w:leftChars="-51" w:right="-107" w:rightChars="-51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社会公益组织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600" w:lineRule="exact"/>
              <w:ind w:left="-106" w:leftChars="-51" w:right="-107" w:rightChars="-51" w:hanging="1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法律服务机构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600" w:lineRule="exact"/>
              <w:ind w:left="-63" w:leftChars="-30" w:right="-134" w:rightChars="-64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其他</w:t>
            </w:r>
          </w:p>
        </w:tc>
        <w:tc>
          <w:tcPr>
            <w:tcW w:w="701" w:type="dxa"/>
            <w:gridSpan w:val="2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6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600" w:lineRule="exact"/>
              <w:textAlignment w:val="auto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一、</w:t>
            </w:r>
            <w:bookmarkStart w:id="0" w:name="_Hlk66973412"/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本年新收政府信息公开申请数量</w:t>
            </w:r>
            <w:bookmarkEnd w:id="0"/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17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17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600" w:lineRule="exact"/>
              <w:textAlignment w:val="auto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二、上年结转政府信息公开申请数量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三、本年度办理结果</w:t>
            </w: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600" w:lineRule="exact"/>
              <w:textAlignment w:val="auto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（一）予以公开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3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600" w:lineRule="exact"/>
              <w:textAlignment w:val="auto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（二）部分公开（</w:t>
            </w:r>
            <w:bookmarkStart w:id="1" w:name="_Hlk66973981"/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区分处理的，只计这一情形，不计其他情形</w:t>
            </w:r>
            <w:bookmarkEnd w:id="1"/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）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600" w:lineRule="exact"/>
              <w:textAlignment w:val="auto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600" w:lineRule="exact"/>
              <w:ind w:left="-107" w:leftChars="-51"/>
              <w:textAlignment w:val="auto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（三</w:t>
            </w:r>
            <w:bookmarkStart w:id="10" w:name="_GoBack"/>
            <w:bookmarkEnd w:id="10"/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）不予公开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60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1.属于国家秘密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600" w:lineRule="exact"/>
              <w:textAlignment w:val="auto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600" w:lineRule="exact"/>
              <w:textAlignment w:val="auto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60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2.</w:t>
            </w:r>
            <w:bookmarkStart w:id="2" w:name="_Hlk66974104"/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其他法律行政法规禁止公开</w:t>
            </w:r>
            <w:bookmarkEnd w:id="2"/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600" w:lineRule="exact"/>
              <w:textAlignment w:val="auto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600" w:lineRule="exact"/>
              <w:textAlignment w:val="auto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60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3.危及“三安全一稳定”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600" w:lineRule="exact"/>
              <w:textAlignment w:val="auto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600" w:lineRule="exact"/>
              <w:textAlignment w:val="auto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60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4.</w:t>
            </w:r>
            <w:bookmarkStart w:id="3" w:name="_Hlk66974290"/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保护第三方合法权益</w:t>
            </w:r>
            <w:bookmarkEnd w:id="3"/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600" w:lineRule="exact"/>
              <w:textAlignment w:val="auto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600" w:lineRule="exact"/>
              <w:textAlignment w:val="auto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60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5.属于三类内部事务信息</w:t>
            </w:r>
          </w:p>
        </w:tc>
        <w:tc>
          <w:tcPr>
            <w:tcW w:w="761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600" w:lineRule="exact"/>
              <w:textAlignment w:val="auto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600" w:lineRule="exact"/>
              <w:textAlignment w:val="auto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60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6.</w:t>
            </w:r>
            <w:bookmarkStart w:id="4" w:name="_Hlk66974555"/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属于四类过程性信息</w:t>
            </w:r>
            <w:bookmarkEnd w:id="4"/>
          </w:p>
        </w:tc>
        <w:tc>
          <w:tcPr>
            <w:tcW w:w="761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600" w:lineRule="exact"/>
              <w:textAlignment w:val="auto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600" w:lineRule="exact"/>
              <w:textAlignment w:val="auto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600" w:lineRule="exact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7.属于行政执法案卷</w:t>
            </w:r>
          </w:p>
        </w:tc>
        <w:tc>
          <w:tcPr>
            <w:tcW w:w="761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4</w:t>
            </w:r>
          </w:p>
        </w:tc>
        <w:tc>
          <w:tcPr>
            <w:tcW w:w="539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4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600" w:lineRule="exact"/>
              <w:textAlignment w:val="auto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600" w:lineRule="exact"/>
              <w:textAlignment w:val="auto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600" w:lineRule="exact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8.</w:t>
            </w:r>
            <w:bookmarkStart w:id="5" w:name="_Hlk66975211"/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属于行政查询事项</w:t>
            </w:r>
            <w:bookmarkEnd w:id="5"/>
          </w:p>
        </w:tc>
        <w:tc>
          <w:tcPr>
            <w:tcW w:w="761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600" w:lineRule="exact"/>
              <w:textAlignment w:val="auto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600" w:lineRule="exact"/>
              <w:ind w:left="-107" w:leftChars="-51"/>
              <w:textAlignment w:val="auto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（四）无法提供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600" w:lineRule="exact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1.本机关不掌握相关政府信息</w:t>
            </w:r>
          </w:p>
        </w:tc>
        <w:tc>
          <w:tcPr>
            <w:tcW w:w="761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10</w:t>
            </w:r>
          </w:p>
        </w:tc>
        <w:tc>
          <w:tcPr>
            <w:tcW w:w="539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10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600" w:lineRule="exact"/>
              <w:textAlignment w:val="auto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600" w:lineRule="exact"/>
              <w:ind w:left="-107" w:leftChars="-51"/>
              <w:textAlignment w:val="auto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600" w:lineRule="exact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2.</w:t>
            </w:r>
            <w:bookmarkStart w:id="6" w:name="_Hlk66975392"/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没有现成信息需要另行制作</w:t>
            </w:r>
            <w:bookmarkEnd w:id="6"/>
          </w:p>
        </w:tc>
        <w:tc>
          <w:tcPr>
            <w:tcW w:w="761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600" w:lineRule="exact"/>
              <w:textAlignment w:val="auto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600" w:lineRule="exact"/>
              <w:ind w:left="-107" w:leftChars="-51"/>
              <w:textAlignment w:val="auto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600" w:lineRule="exact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3.</w:t>
            </w:r>
            <w:bookmarkStart w:id="7" w:name="_Hlk66975466"/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补正后申请内容仍不明确</w:t>
            </w:r>
            <w:bookmarkEnd w:id="7"/>
          </w:p>
        </w:tc>
        <w:tc>
          <w:tcPr>
            <w:tcW w:w="761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600" w:lineRule="exact"/>
              <w:textAlignment w:val="auto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600" w:lineRule="exact"/>
              <w:ind w:left="-107" w:leftChars="-51"/>
              <w:textAlignment w:val="auto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（五）不予处理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600" w:lineRule="exact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1.</w:t>
            </w:r>
            <w:bookmarkStart w:id="8" w:name="_Hlk66975537"/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信访举报投诉类申请</w:t>
            </w:r>
            <w:bookmarkEnd w:id="8"/>
          </w:p>
        </w:tc>
        <w:tc>
          <w:tcPr>
            <w:tcW w:w="761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600" w:lineRule="exact"/>
              <w:textAlignment w:val="auto"/>
              <w:rPr>
                <w:rFonts w:hint="eastAsia" w:ascii="Times New Roman" w:hAnsi="Times New Roman" w:eastAsia="黑体" w:cs="Times New Roman"/>
                <w:color w:val="auto"/>
                <w:szCs w:val="21"/>
                <w:lang w:eastAsia="zh-CN"/>
              </w:rPr>
            </w:pPr>
            <w:r>
              <w:rPr>
                <w:rFonts w:hint="eastAsia" w:ascii="Times New Roman" w:hAnsi="Times New Roman" w:eastAsia="黑体" w:cs="Times New Roman"/>
                <w:color w:val="auto"/>
                <w:szCs w:val="21"/>
                <w:lang w:eastAsia="zh-CN"/>
              </w:rPr>
              <w:t>0</w:t>
            </w: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600" w:lineRule="exact"/>
              <w:textAlignment w:val="auto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600" w:lineRule="exact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2.重复申请</w:t>
            </w:r>
          </w:p>
        </w:tc>
        <w:tc>
          <w:tcPr>
            <w:tcW w:w="761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600" w:lineRule="exact"/>
              <w:textAlignment w:val="auto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600" w:lineRule="exact"/>
              <w:textAlignment w:val="auto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600" w:lineRule="exact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3.要求提供公开出版物</w:t>
            </w:r>
          </w:p>
        </w:tc>
        <w:tc>
          <w:tcPr>
            <w:tcW w:w="761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600" w:lineRule="exact"/>
              <w:textAlignment w:val="auto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600" w:lineRule="exact"/>
              <w:textAlignment w:val="auto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600" w:lineRule="exact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4.无正当理由大量反复申请</w:t>
            </w:r>
          </w:p>
        </w:tc>
        <w:tc>
          <w:tcPr>
            <w:tcW w:w="761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600" w:lineRule="exact"/>
              <w:textAlignment w:val="auto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600" w:lineRule="exact"/>
              <w:textAlignment w:val="auto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5.要求行政机关确认或重新出具已获取信息</w:t>
            </w:r>
          </w:p>
        </w:tc>
        <w:tc>
          <w:tcPr>
            <w:tcW w:w="761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47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600" w:lineRule="exact"/>
              <w:textAlignment w:val="auto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600" w:lineRule="exact"/>
              <w:textAlignment w:val="auto"/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（六）其他处理</w:t>
            </w: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</w:rPr>
              <w:t>1.申请人无正当理由逾期不补正、行政机关不再处理其政府信息公开申请</w:t>
            </w:r>
          </w:p>
        </w:tc>
        <w:tc>
          <w:tcPr>
            <w:tcW w:w="761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47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600" w:lineRule="exact"/>
              <w:textAlignment w:val="auto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600" w:lineRule="exact"/>
              <w:textAlignment w:val="auto"/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</w:rPr>
              <w:t>2.申请人逾期未按收费通知要求缴纳费用、行政机关不再处理其政府信息公开申请</w:t>
            </w:r>
          </w:p>
        </w:tc>
        <w:tc>
          <w:tcPr>
            <w:tcW w:w="761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600" w:lineRule="exact"/>
              <w:textAlignment w:val="auto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600" w:lineRule="exact"/>
              <w:textAlignment w:val="auto"/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600" w:lineRule="exact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</w:rPr>
              <w:t>3.其他</w:t>
            </w:r>
          </w:p>
        </w:tc>
        <w:tc>
          <w:tcPr>
            <w:tcW w:w="761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600" w:lineRule="exact"/>
              <w:textAlignment w:val="auto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600" w:lineRule="exact"/>
              <w:textAlignment w:val="auto"/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（七）总计</w:t>
            </w:r>
          </w:p>
        </w:tc>
        <w:tc>
          <w:tcPr>
            <w:tcW w:w="761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17</w:t>
            </w:r>
          </w:p>
        </w:tc>
        <w:tc>
          <w:tcPr>
            <w:tcW w:w="539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17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600" w:lineRule="exact"/>
              <w:textAlignment w:val="auto"/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四、结转下年度继续办理</w:t>
            </w:r>
          </w:p>
        </w:tc>
        <w:tc>
          <w:tcPr>
            <w:tcW w:w="761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四、政府信息公开行政复议、行政诉讼情况</w:t>
      </w:r>
    </w:p>
    <w:tbl>
      <w:tblPr>
        <w:tblStyle w:val="7"/>
        <w:tblW w:w="9071" w:type="dxa"/>
        <w:jc w:val="center"/>
        <w:tblInd w:w="0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7" w:hRule="atLeast"/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60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60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7" w:hRule="atLeast"/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-149" w:leftChars="-71" w:right="-170" w:rightChars="-81"/>
              <w:jc w:val="center"/>
              <w:textAlignment w:val="auto"/>
              <w:outlineLvl w:val="9"/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结果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-149" w:leftChars="-71" w:right="-170" w:rightChars="-81"/>
              <w:jc w:val="center"/>
              <w:textAlignment w:val="auto"/>
              <w:outlineLvl w:val="9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-43" w:leftChars="-21" w:right="-132" w:rightChars="-63" w:hanging="1"/>
              <w:jc w:val="center"/>
              <w:textAlignment w:val="auto"/>
              <w:outlineLvl w:val="9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-82" w:leftChars="-39" w:right="-97" w:rightChars="-46"/>
              <w:jc w:val="center"/>
              <w:textAlignment w:val="auto"/>
              <w:outlineLvl w:val="9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-118" w:leftChars="-56" w:right="-118" w:rightChars="-56"/>
              <w:jc w:val="center"/>
              <w:textAlignment w:val="auto"/>
              <w:outlineLvl w:val="9"/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尚未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-118" w:leftChars="-56" w:right="-118" w:rightChars="-56"/>
              <w:jc w:val="center"/>
              <w:textAlignment w:val="auto"/>
              <w:outlineLvl w:val="9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总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default" w:ascii="Times New Roman" w:hAnsi="Times New Roman" w:eastAsia="黑体" w:cs="Times New Roman"/>
                <w:color w:val="auto"/>
              </w:rPr>
            </w:pPr>
            <w:bookmarkStart w:id="9" w:name="_Hlk67039688"/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复议后起诉</w:t>
            </w:r>
            <w:bookmarkEnd w:id="9"/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6" w:hRule="atLeast"/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outlineLvl w:val="9"/>
              <w:rPr>
                <w:rFonts w:hint="default" w:ascii="Times New Roman" w:hAnsi="Times New Roman" w:eastAsia="黑体" w:cs="Times New Roman"/>
                <w:color w:val="auto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outlineLvl w:val="9"/>
              <w:rPr>
                <w:rFonts w:hint="default" w:ascii="Times New Roman" w:hAnsi="Times New Roman" w:eastAsia="黑体" w:cs="Times New Roman"/>
                <w:color w:val="auto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outlineLvl w:val="9"/>
              <w:rPr>
                <w:rFonts w:hint="default" w:ascii="Times New Roman" w:hAnsi="Times New Roman" w:eastAsia="黑体" w:cs="Times New Roman"/>
                <w:color w:val="auto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outlineLvl w:val="9"/>
              <w:rPr>
                <w:rFonts w:hint="default" w:ascii="Times New Roman" w:hAnsi="Times New Roman" w:eastAsia="黑体" w:cs="Times New Roman"/>
                <w:color w:val="auto"/>
                <w:sz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outlineLvl w:val="9"/>
              <w:rPr>
                <w:rFonts w:hint="default" w:ascii="Times New Roman" w:hAnsi="Times New Roman" w:eastAsia="黑体" w:cs="Times New Roman"/>
                <w:color w:val="auto"/>
                <w:sz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-105" w:leftChars="-50" w:right="-126" w:rightChars="-60"/>
              <w:jc w:val="center"/>
              <w:textAlignment w:val="auto"/>
              <w:outlineLvl w:val="9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-86" w:leftChars="-41" w:right="-88" w:rightChars="-42"/>
              <w:jc w:val="center"/>
              <w:textAlignment w:val="auto"/>
              <w:outlineLvl w:val="9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-126" w:leftChars="-60" w:right="-136" w:rightChars="-65"/>
              <w:jc w:val="center"/>
              <w:textAlignment w:val="auto"/>
              <w:outlineLvl w:val="9"/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其他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-126" w:leftChars="-60" w:right="-136" w:rightChars="-65"/>
              <w:jc w:val="center"/>
              <w:textAlignment w:val="auto"/>
              <w:outlineLvl w:val="9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-164" w:leftChars="-78" w:right="-153" w:rightChars="-73"/>
              <w:jc w:val="center"/>
              <w:textAlignment w:val="auto"/>
              <w:outlineLvl w:val="9"/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尚未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-164" w:leftChars="-78" w:right="-153" w:rightChars="-73"/>
              <w:jc w:val="center"/>
              <w:textAlignment w:val="auto"/>
              <w:outlineLvl w:val="9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-99" w:leftChars="-47" w:right="-78" w:rightChars="-37"/>
              <w:jc w:val="center"/>
              <w:textAlignment w:val="auto"/>
              <w:outlineLvl w:val="9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-136" w:leftChars="-65" w:right="-124" w:rightChars="-59"/>
              <w:jc w:val="center"/>
              <w:textAlignment w:val="auto"/>
              <w:outlineLvl w:val="9"/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结果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-136" w:leftChars="-65" w:right="-124" w:rightChars="-59"/>
              <w:jc w:val="center"/>
              <w:textAlignment w:val="auto"/>
              <w:outlineLvl w:val="9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-173" w:leftChars="-83" w:right="-134" w:rightChars="-64" w:hanging="1"/>
              <w:jc w:val="center"/>
              <w:textAlignment w:val="auto"/>
              <w:outlineLvl w:val="9"/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其他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-173" w:leftChars="-83" w:right="-134" w:rightChars="-64" w:hanging="1"/>
              <w:jc w:val="center"/>
              <w:textAlignment w:val="auto"/>
              <w:outlineLvl w:val="9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-67" w:leftChars="-33" w:right="-105" w:rightChars="-50" w:hanging="2" w:hangingChars="1"/>
              <w:jc w:val="center"/>
              <w:textAlignment w:val="auto"/>
              <w:outlineLvl w:val="9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600" w:lineRule="exact"/>
              <w:jc w:val="center"/>
              <w:textAlignment w:val="auto"/>
              <w:rPr>
                <w:rFonts w:hint="eastAsia" w:ascii="Times New Roman" w:hAnsi="Times New Roman" w:cs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600" w:lineRule="exact"/>
              <w:jc w:val="center"/>
              <w:textAlignment w:val="auto"/>
              <w:rPr>
                <w:rFonts w:hint="eastAsia" w:ascii="Times New Roman" w:hAnsi="Times New Roman" w:cs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600" w:lineRule="exact"/>
              <w:jc w:val="center"/>
              <w:textAlignment w:val="auto"/>
              <w:rPr>
                <w:rFonts w:hint="eastAsia" w:ascii="Times New Roman" w:hAnsi="Times New Roman" w:cs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600" w:lineRule="exact"/>
              <w:jc w:val="center"/>
              <w:textAlignment w:val="auto"/>
              <w:rPr>
                <w:rFonts w:hint="eastAsia" w:ascii="Times New Roman" w:hAnsi="Times New Roman" w:cs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600" w:lineRule="exact"/>
              <w:jc w:val="center"/>
              <w:textAlignment w:val="auto"/>
              <w:rPr>
                <w:rFonts w:hint="eastAsia" w:ascii="Times New Roman" w:hAnsi="Times New Roman" w:cs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600" w:lineRule="exact"/>
              <w:jc w:val="center"/>
              <w:textAlignment w:val="auto"/>
              <w:rPr>
                <w:rFonts w:hint="eastAsia" w:ascii="Times New Roman" w:hAnsi="Times New Roman" w:cs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600" w:lineRule="exact"/>
              <w:jc w:val="center"/>
              <w:textAlignment w:val="auto"/>
              <w:rPr>
                <w:rFonts w:hint="eastAsia" w:ascii="Times New Roman" w:hAnsi="Times New Roman" w:cs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600" w:lineRule="exact"/>
              <w:jc w:val="center"/>
              <w:textAlignment w:val="auto"/>
              <w:rPr>
                <w:rFonts w:hint="eastAsia" w:ascii="Times New Roman" w:hAnsi="Times New Roman" w:cs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600" w:lineRule="exact"/>
              <w:jc w:val="center"/>
              <w:textAlignment w:val="auto"/>
              <w:rPr>
                <w:rFonts w:hint="eastAsia" w:ascii="Times New Roman" w:hAnsi="Times New Roman" w:cs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600" w:lineRule="exact"/>
              <w:jc w:val="center"/>
              <w:textAlignment w:val="auto"/>
              <w:rPr>
                <w:rFonts w:hint="eastAsia" w:ascii="Times New Roman" w:hAnsi="Times New Roman" w:cs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600" w:lineRule="exact"/>
              <w:textAlignment w:val="auto"/>
              <w:rPr>
                <w:rFonts w:hint="eastAsia" w:ascii="Times New Roman" w:hAnsi="Times New Roman" w:cs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600" w:lineRule="exact"/>
              <w:jc w:val="center"/>
              <w:textAlignment w:val="auto"/>
              <w:rPr>
                <w:rFonts w:hint="eastAsia" w:ascii="Times New Roman" w:hAnsi="Times New Roman" w:cs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600" w:lineRule="exact"/>
              <w:jc w:val="center"/>
              <w:textAlignment w:val="auto"/>
              <w:rPr>
                <w:rFonts w:hint="eastAsia" w:ascii="Times New Roman" w:hAnsi="Times New Roman" w:cs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600" w:lineRule="exact"/>
              <w:jc w:val="center"/>
              <w:textAlignment w:val="auto"/>
              <w:rPr>
                <w:rFonts w:hint="eastAsia" w:ascii="Times New Roman" w:hAnsi="Times New Roman" w:cs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600" w:lineRule="exact"/>
              <w:jc w:val="center"/>
              <w:textAlignment w:val="auto"/>
              <w:rPr>
                <w:rFonts w:hint="eastAsia" w:ascii="Times New Roman" w:hAnsi="Times New Roman" w:cs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color w:val="auto"/>
                <w:lang w:val="en-US" w:eastAsia="zh-CN"/>
              </w:rPr>
              <w:t>0</w:t>
            </w:r>
          </w:p>
        </w:tc>
      </w:tr>
    </w:tbl>
    <w:p>
      <w:pPr>
        <w:pStyle w:val="5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存在的主要问题及改进情况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“最威海是环翠”政企号公开内容缺乏与政府网站的同步性，没有充分发挥移动端覆盖面广、传播速度快的优势，公开各类审批服务政策和服务指南。下一步，政务公开工作机构将积极整改，充分总结理论学习成果和相关工作经验，梳理公开企业开办、项目审批、经济管理、社会事务等审批领域前沿政策，提高移动端平台建设水平，增强政务公开实效。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六、其他需要报告的事项</w:t>
      </w:r>
    </w:p>
    <w:p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5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u w:val="single"/>
          <w:lang w:val="en-US" w:eastAsia="zh-CN"/>
        </w:rPr>
      </w:pP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.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</w:rPr>
        <w:t>政府信息公开收费方面：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威海市环翠区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行政审批服务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未收取政府信息公开信息处理费。</w:t>
      </w:r>
    </w:p>
    <w:p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60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  <w:highlight w:val="none"/>
        </w:rPr>
      </w:pP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</w:rPr>
        <w:t>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.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  <w:highlight w:val="none"/>
        </w:rPr>
        <w:t>人大代表、政协委员提案办理方面：</w:t>
      </w: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</w:rPr>
        <w:t>202</w:t>
      </w: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年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威海市环翠区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行政审批服务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共承办市人大代表建议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none"/>
        </w:rPr>
        <w:t>件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u w:val="none"/>
          <w:lang w:eastAsia="zh-CN"/>
        </w:rPr>
        <w:t>，未承办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none"/>
        </w:rPr>
        <w:t>政协提案。目前，已全部办理完成，办复率</w:t>
      </w: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  <w:u w:val="none"/>
        </w:rPr>
        <w:t>100%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none"/>
        </w:rPr>
        <w:t>，办理结果为</w:t>
      </w: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  <w:u w:val="none"/>
        </w:rPr>
        <w:t>A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none"/>
        </w:rPr>
        <w:t>类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none"/>
        </w:rPr>
        <w:t>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6" w:firstLineChars="202"/>
        <w:textAlignment w:val="auto"/>
        <w:rPr>
          <w:rFonts w:hint="default"/>
          <w:color w:val="auto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</w:rPr>
        <w:t>.</w:t>
      </w:r>
      <w:r>
        <w:rPr>
          <w:rFonts w:hint="eastAsia" w:ascii="Times New Roman" w:hAnsi="Times New Roman" w:eastAsia="楷体_GB2312" w:cs="Times New Roman"/>
          <w:color w:val="auto"/>
          <w:sz w:val="32"/>
          <w:szCs w:val="32"/>
          <w:lang w:eastAsia="zh-CN"/>
        </w:rPr>
        <w:t>落实上级年度政务公开工作要点情况：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highlight w:val="none"/>
          <w:lang w:val="en-US" w:eastAsia="zh-CN" w:bidi="ar"/>
        </w:rPr>
        <w:t>2023年，严格落实省、市、区政务公开工作各项部署，进一步提高线下公开与线上公开的同频性，积极开展政务公开专区现场解读、办事流程演示等活动，提高市场主体和群众满意度。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6" w:firstLineChars="202"/>
        <w:textAlignment w:val="auto"/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highlight w:val="none"/>
          <w:u w:val="none"/>
          <w:lang w:val="en-US" w:eastAsia="zh-CN" w:bidi="ar"/>
        </w:rPr>
      </w:pPr>
      <w:r>
        <w:rPr>
          <w:rFonts w:hint="eastAsia" w:ascii="Times New Roman" w:hAnsi="Times New Roman" w:eastAsia="楷体_GB2312" w:cs="Times New Roman"/>
          <w:color w:val="auto"/>
          <w:sz w:val="32"/>
          <w:szCs w:val="32"/>
          <w:lang w:val="en-US" w:eastAsia="zh-CN"/>
        </w:rPr>
        <w:t>4.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  <w:lang w:val="en-US" w:eastAsia="zh-CN"/>
        </w:rPr>
        <w:t>政府信息公开工作的创新举措</w:t>
      </w:r>
      <w:r>
        <w:rPr>
          <w:rFonts w:hint="default" w:ascii="Times New Roman" w:hAnsi="Times New Roman" w:cs="Times New Roman" w:eastAsiaTheme="minorEastAsia"/>
          <w:color w:val="auto"/>
          <w:kern w:val="0"/>
          <w:sz w:val="32"/>
          <w:szCs w:val="32"/>
          <w:highlight w:val="none"/>
          <w:lang w:val="en-US" w:eastAsia="zh-CN" w:bidi="ar"/>
        </w:rPr>
        <w:t>：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highlight w:val="none"/>
          <w:u w:val="none"/>
          <w:lang w:val="en-US" w:eastAsia="zh-CN" w:bidi="ar"/>
        </w:rPr>
        <w:t>2023年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highlight w:val="none"/>
          <w:u w:val="none"/>
          <w:lang w:val="en-US" w:eastAsia="zh-CN" w:bidi="ar"/>
        </w:rPr>
        <w:t>，区行政审批服务局向社会公开聘请首批11名“政务服务体验员”，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highlight w:val="none"/>
          <w:u w:val="none"/>
          <w:lang w:val="en-US" w:eastAsia="zh-CN" w:bidi="ar"/>
        </w:rPr>
        <w:t>丰富企业群众监督形式，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highlight w:val="none"/>
          <w:u w:val="none"/>
          <w:lang w:val="en-US" w:eastAsia="zh-CN" w:bidi="ar"/>
        </w:rPr>
        <w:t>充分利用社会监督力量，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highlight w:val="none"/>
          <w:u w:val="none"/>
          <w:lang w:val="en-US" w:eastAsia="zh-CN" w:bidi="ar"/>
        </w:rPr>
        <w:t>通过现场体验窗口办事、集中开展交流座谈等活动，倾听群众意见建议，台账式跟进整改，推动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highlight w:val="none"/>
          <w:u w:val="none"/>
          <w:lang w:val="en-US" w:eastAsia="zh-CN" w:bidi="ar"/>
        </w:rPr>
        <w:t>政务公开和政务服务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highlight w:val="none"/>
          <w:u w:val="none"/>
          <w:lang w:val="en-US" w:eastAsia="zh-CN" w:bidi="ar"/>
        </w:rPr>
        <w:t>效能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highlight w:val="none"/>
          <w:u w:val="none"/>
          <w:lang w:val="en-US" w:eastAsia="zh-CN" w:bidi="ar"/>
        </w:rPr>
        <w:t>双提升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highlight w:val="none"/>
          <w:u w:val="none"/>
          <w:lang w:val="en-US" w:eastAsia="zh-CN" w:bidi="ar"/>
        </w:rPr>
        <w:t>。</w:t>
      </w:r>
    </w:p>
    <w:sectPr>
      <w:footerReference r:id="rId3" w:type="default"/>
      <w:pgSz w:w="11906" w:h="16838"/>
      <w:pgMar w:top="1928" w:right="1531" w:bottom="1701" w:left="1531" w:header="851" w:footer="992" w:gutter="0"/>
      <w:pgNumType w:fmt="numberInDash"/>
      <w:cols w:space="0" w:num="1"/>
      <w:rtlGutter w:val="0"/>
      <w:docGrid w:type="lines" w:linePitch="314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汉仪书宋二KW">
    <w:altName w:val="宋体"/>
    <w:panose1 w:val="00020600040101010101"/>
    <w:charset w:val="86"/>
    <w:family w:val="auto"/>
    <w:pitch w:val="default"/>
    <w:sig w:usb0="00000000" w:usb1="00000000" w:usb2="00000016" w:usb3="00000000" w:csb0="00040000" w:csb1="00000000"/>
  </w:font>
  <w:font w:name="Kingsoft Confetti">
    <w:altName w:val="Segoe Print"/>
    <w:panose1 w:val="05000100010000000000"/>
    <w:charset w:val="00"/>
    <w:family w:val="auto"/>
    <w:pitch w:val="default"/>
    <w:sig w:usb0="00000000" w:usb1="00000000" w:usb2="00000000" w:usb3="00000000" w:csb0="80000000" w:csb1="00000000"/>
  </w:font>
  <w:font w:name="汉仪中黑KW">
    <w:altName w:val="黑体"/>
    <w:panose1 w:val="00020600040101010101"/>
    <w:charset w:val="86"/>
    <w:family w:val="auto"/>
    <w:pitch w:val="default"/>
    <w:sig w:usb0="00000000" w:usb1="00000000" w:usb2="00000016" w:usb3="00000000" w:csb0="00040000" w:csb1="00000000"/>
  </w:font>
  <w:font w:name="Kingsoft Sign">
    <w:altName w:val="Segoe Print"/>
    <w:panose1 w:val="05050102010706020507"/>
    <w:charset w:val="00"/>
    <w:family w:val="auto"/>
    <w:pitch w:val="default"/>
    <w:sig w:usb0="00000000" w:usb1="00000000" w:usb2="00000000" w:usb3="00000000" w:csb0="8000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汉仪仿宋KW">
    <w:altName w:val="仿宋"/>
    <w:panose1 w:val="00020600040101010101"/>
    <w:charset w:val="86"/>
    <w:family w:val="auto"/>
    <w:pitch w:val="default"/>
    <w:sig w:usb0="00000000" w:usb1="00000000" w:usb2="00000016" w:usb3="00000000" w:csb0="00040000" w:csb1="00000000"/>
  </w:font>
  <w:font w:name="楷体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汉仪楷体KW">
    <w:altName w:val="楷体_GB2312"/>
    <w:panose1 w:val="00020600040101010101"/>
    <w:charset w:val="86"/>
    <w:family w:val="auto"/>
    <w:pitch w:val="default"/>
    <w:sig w:usb0="00000000" w:usb1="00000000" w:usb2="00000016" w:usb3="00000000" w:csb0="0004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snapToGrid w:val="0"/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  <w:lang w:eastAsia="zh-CN"/>
                            </w:rPr>
                          </w:pP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s0lY7tAAAAAFAQAADwAAAAAAAAABACAAAAAi&#10;AAAAZHJzL2Rvd25yZXYueG1sUEsBAhQAFAAAAAgAh07iQErbzf8SAgAAEwQAAA4AAAAAAAAAAQAg&#10;AAAAHwEAAGRycy9lMm9Eb2MueG1sUEsFBgAAAAAGAAYAWQEAAKM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  <w:lang w:eastAsia="zh-CN"/>
                      </w:rPr>
                    </w:pP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  <w:lang w:eastAsia="zh-CN"/>
                      </w:rPr>
                      <w:t>1</w: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BEA31A8"/>
    <w:multiLevelType w:val="singleLevel"/>
    <w:tmpl w:val="2BEA31A8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7"/>
  <w:displayHorizontalDrawingGridEvery w:val="1"/>
  <w:displayVerticalDrawingGridEvery w:val="2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1AF18C8"/>
    <w:rsid w:val="00274A2C"/>
    <w:rsid w:val="006C679C"/>
    <w:rsid w:val="010866AC"/>
    <w:rsid w:val="01F45E12"/>
    <w:rsid w:val="02C22EAE"/>
    <w:rsid w:val="04960395"/>
    <w:rsid w:val="04DF212A"/>
    <w:rsid w:val="07DA31A5"/>
    <w:rsid w:val="08D157AC"/>
    <w:rsid w:val="0B2961CD"/>
    <w:rsid w:val="109A3279"/>
    <w:rsid w:val="10AFA3C6"/>
    <w:rsid w:val="11AF18C8"/>
    <w:rsid w:val="135A279D"/>
    <w:rsid w:val="14056D8E"/>
    <w:rsid w:val="15061164"/>
    <w:rsid w:val="16DF7792"/>
    <w:rsid w:val="1A6A77C7"/>
    <w:rsid w:val="1C1818FF"/>
    <w:rsid w:val="1C5570C6"/>
    <w:rsid w:val="1E696D57"/>
    <w:rsid w:val="2051743C"/>
    <w:rsid w:val="21E9640B"/>
    <w:rsid w:val="22B70523"/>
    <w:rsid w:val="2799646B"/>
    <w:rsid w:val="28715E49"/>
    <w:rsid w:val="2925539D"/>
    <w:rsid w:val="29D10069"/>
    <w:rsid w:val="2B7F5DD2"/>
    <w:rsid w:val="2C3D4A08"/>
    <w:rsid w:val="2CD82796"/>
    <w:rsid w:val="2D413BA0"/>
    <w:rsid w:val="2D4F6340"/>
    <w:rsid w:val="303F30F6"/>
    <w:rsid w:val="356B7396"/>
    <w:rsid w:val="365D0781"/>
    <w:rsid w:val="36D770CC"/>
    <w:rsid w:val="371312FF"/>
    <w:rsid w:val="390F1757"/>
    <w:rsid w:val="3B3D2CD8"/>
    <w:rsid w:val="3B8C1052"/>
    <w:rsid w:val="3CA44CF5"/>
    <w:rsid w:val="3CAD32AA"/>
    <w:rsid w:val="3E266EDA"/>
    <w:rsid w:val="3EBF2790"/>
    <w:rsid w:val="3EF80F92"/>
    <w:rsid w:val="3F7F6D07"/>
    <w:rsid w:val="3FC6455F"/>
    <w:rsid w:val="41041D71"/>
    <w:rsid w:val="41335F31"/>
    <w:rsid w:val="44E93B14"/>
    <w:rsid w:val="454C305D"/>
    <w:rsid w:val="45EF6CE3"/>
    <w:rsid w:val="46265097"/>
    <w:rsid w:val="464F74E8"/>
    <w:rsid w:val="49493C33"/>
    <w:rsid w:val="50E00A07"/>
    <w:rsid w:val="511E6463"/>
    <w:rsid w:val="53A7496A"/>
    <w:rsid w:val="54F23AC6"/>
    <w:rsid w:val="56F25934"/>
    <w:rsid w:val="56F344A5"/>
    <w:rsid w:val="58D83F9E"/>
    <w:rsid w:val="58F77EB8"/>
    <w:rsid w:val="59333D1E"/>
    <w:rsid w:val="5ACE35FE"/>
    <w:rsid w:val="5B2F2252"/>
    <w:rsid w:val="5C6A3414"/>
    <w:rsid w:val="5D9051DF"/>
    <w:rsid w:val="5EF43D4D"/>
    <w:rsid w:val="643C0380"/>
    <w:rsid w:val="65414372"/>
    <w:rsid w:val="657F7FC2"/>
    <w:rsid w:val="67057CCB"/>
    <w:rsid w:val="679C0D53"/>
    <w:rsid w:val="68C9088B"/>
    <w:rsid w:val="697D00F9"/>
    <w:rsid w:val="69823B88"/>
    <w:rsid w:val="6C7C7FF0"/>
    <w:rsid w:val="6E9216FC"/>
    <w:rsid w:val="6F886CBC"/>
    <w:rsid w:val="70D04948"/>
    <w:rsid w:val="71F44D7F"/>
    <w:rsid w:val="729575D2"/>
    <w:rsid w:val="75970312"/>
    <w:rsid w:val="75DF34EB"/>
    <w:rsid w:val="76086075"/>
    <w:rsid w:val="77181135"/>
    <w:rsid w:val="77694A79"/>
    <w:rsid w:val="7BFC1E22"/>
    <w:rsid w:val="7E2277F5"/>
    <w:rsid w:val="7ED1164A"/>
    <w:rsid w:val="7F577AE8"/>
    <w:rsid w:val="7F5D0D7A"/>
    <w:rsid w:val="7FF3217F"/>
    <w:rsid w:val="A2FA30E9"/>
    <w:rsid w:val="CFD98EC0"/>
    <w:rsid w:val="F95F4281"/>
    <w:rsid w:val="FABFFB74"/>
    <w:rsid w:val="FBBB77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4</Pages>
  <Words>1996</Words>
  <Characters>2151</Characters>
  <Lines>0</Lines>
  <Paragraphs>0</Paragraphs>
  <ScaleCrop>false</ScaleCrop>
  <LinksUpToDate>false</LinksUpToDate>
  <CharactersWithSpaces>2190</CharactersWithSpaces>
  <Application>WPS Office_10.8.0.6108_F1E327BC-269C-435d-A152-05C5408002CA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2023-01-16T23:45:00Z</dcterms:created>
  <dc:creator>诗人与熊</dc:creator>
  <cp:lastModifiedBy>Administrator</cp:lastModifiedBy>
  <cp:lastPrinted>2023-01-17T01:08:00Z</cp:lastPrinted>
  <dcterms:modified xsi:type="dcterms:W3CDTF">2024-11-26T02:11:39Z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2052-10.8.0.6108</vt:lpwstr>
  </property>
  <property fmtid="{D5CDD505-2E9C-101B-9397-08002B2CF9AE}" pid="3" name="ICV">
    <vt:lpwstr>E69FC135B6704485BACA57740AE2D712</vt:lpwstr>
  </property>
</Properties>
</file>