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方正小标宋简体" w:hAnsi="方正小标宋简体" w:eastAsia="方正小标宋简体" w:cs="方正小标宋简体"/>
          <w:sz w:val="44"/>
          <w:szCs w:val="44"/>
          <w:lang w:val="en-US" w:eastAsia="zh-CN"/>
        </w:rPr>
        <w:t>审计</w:t>
      </w:r>
      <w:r>
        <w:rPr>
          <w:rFonts w:hint="default" w:ascii="Times New Roman" w:hAnsi="Times New Roman" w:eastAsia="方正小标宋简体" w:cs="Times New Roman"/>
          <w:sz w:val="44"/>
          <w:szCs w:val="44"/>
          <w:lang w:val="en-US" w:eastAsia="zh-CN"/>
        </w:rPr>
        <w:t>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现公布威海市环翠区审计局2022年政府信息公开工作年度报告。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如对本报告有疑问，请与威海市环翠区环翠区审计局办公室联系（地址</w:t>
      </w:r>
      <w:r>
        <w:rPr>
          <w:rFonts w:hint="default" w:ascii="Times New Roman" w:hAnsi="Times New Roman" w:eastAsia="仿宋_GB2312" w:cs="Times New Roman"/>
          <w:sz w:val="32"/>
          <w:szCs w:val="32"/>
          <w:lang w:eastAsia="zh-CN"/>
        </w:rPr>
        <w:t>：威海市和平路8号8楼</w:t>
      </w:r>
      <w:r>
        <w:rPr>
          <w:rFonts w:hint="default" w:ascii="Times New Roman" w:hAnsi="Times New Roman" w:eastAsia="仿宋_GB2312" w:cs="Times New Roman"/>
          <w:sz w:val="32"/>
          <w:szCs w:val="32"/>
        </w:rPr>
        <w:t>；邮编264200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 xml:space="preserve">电话：0631-5222639）。 </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t>2021年，环翠区审计局切实增强新形势下做好政务公开工作的责任感和紧迫感，认真贯彻落实信息公开相关规定，以深化政务公开为主线，立足审计工作实际，及时主动向社会公布预算执行审计工作报告、整改情况报告，民生政策措施落实情况专项审计调查情况及部门工作动态，实现政务公开工作与审计业务工作深度融合、互促互进，切实打造</w:t>
      </w:r>
      <w:r>
        <w:rPr>
          <w:rFonts w:hint="eastAsia" w:ascii="仿宋_GB2312" w:hAnsi="仿宋_GB2312" w:eastAsia="仿宋_GB2312" w:cs="仿宋_GB2312"/>
          <w:b w:val="0"/>
          <w:bCs w:val="0"/>
          <w:color w:val="auto"/>
          <w:sz w:val="32"/>
          <w:szCs w:val="32"/>
          <w:lang w:eastAsia="zh-CN"/>
        </w:rPr>
        <w:t>“阳光审计”品牌。</w:t>
      </w:r>
    </w:p>
    <w:p>
      <w:pPr>
        <w:keepNext w:val="0"/>
        <w:keepLines w:val="0"/>
        <w:pageBreakBefore w:val="0"/>
        <w:widowControl w:val="0"/>
        <w:numPr>
          <w:numId w:val="0"/>
        </w:numPr>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r>
        <w:rPr>
          <w:rFonts w:hint="eastAsia" w:ascii="Times New Roman" w:hAnsi="Times New Roman" w:eastAsia="仿宋_GB2312" w:cs="Times New Roman"/>
          <w:b w:val="0"/>
          <w:bCs w:val="0"/>
          <w:color w:val="auto"/>
          <w:sz w:val="32"/>
          <w:szCs w:val="32"/>
          <w:lang w:eastAsia="zh-CN"/>
        </w:rPr>
        <w:t>环翠区审计局</w:t>
      </w:r>
      <w:r>
        <w:rPr>
          <w:rFonts w:hint="default" w:ascii="Times New Roman" w:hAnsi="Times New Roman" w:eastAsia="仿宋_GB2312" w:cs="Times New Roman"/>
          <w:b w:val="0"/>
          <w:bCs w:val="0"/>
          <w:color w:val="auto"/>
          <w:sz w:val="32"/>
          <w:szCs w:val="32"/>
          <w:lang w:eastAsia="zh-CN"/>
        </w:rPr>
        <w:t>全年共发布各类信息83条，其中机构职能3条，人事信息2条，部门办公会议1条，规划计划3条，重点领域公开14条，预决算公开4条，部门工作公开56条</w:t>
      </w:r>
      <w:r>
        <w:rPr>
          <w:rFonts w:hint="eastAsia" w:ascii="Times New Roman" w:hAnsi="Times New Roman" w:eastAsia="仿宋_GB2312" w:cs="Times New Roman"/>
          <w:b w:val="0"/>
          <w:bCs w:val="0"/>
          <w:color w:val="auto"/>
          <w:sz w:val="32"/>
          <w:szCs w:val="32"/>
          <w:lang w:eastAsia="zh-CN"/>
        </w:rPr>
        <w:t>。坚持做好</w:t>
      </w:r>
      <w:r>
        <w:rPr>
          <w:rFonts w:hint="eastAsia" w:ascii="仿宋_GB2312" w:hAnsi="仿宋_GB2312" w:eastAsia="仿宋_GB2312" w:cs="仿宋_GB2312"/>
          <w:sz w:val="32"/>
          <w:szCs w:val="32"/>
          <w:lang w:eastAsia="zh-CN"/>
        </w:rPr>
        <w:t>审计结果公开，及时</w:t>
      </w:r>
      <w:r>
        <w:rPr>
          <w:rFonts w:hint="eastAsia" w:ascii="仿宋_GB2312" w:hAnsi="仿宋_GB2312" w:eastAsia="仿宋_GB2312" w:cs="仿宋_GB2312"/>
          <w:sz w:val="32"/>
          <w:szCs w:val="32"/>
        </w:rPr>
        <w:t>公开</w:t>
      </w:r>
      <w:r>
        <w:rPr>
          <w:rFonts w:hint="eastAsia" w:ascii="仿宋_GB2312" w:hAnsi="仿宋_GB2312" w:eastAsia="仿宋_GB2312" w:cs="仿宋_GB2312"/>
          <w:sz w:val="32"/>
          <w:szCs w:val="32"/>
          <w:lang w:eastAsia="zh-CN"/>
        </w:rPr>
        <w:t>了</w:t>
      </w: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年度</w:t>
      </w:r>
      <w:r>
        <w:rPr>
          <w:rFonts w:hint="eastAsia" w:ascii="仿宋_GB2312" w:hAnsi="仿宋_GB2312" w:eastAsia="仿宋_GB2312" w:cs="仿宋_GB2312"/>
          <w:sz w:val="32"/>
          <w:szCs w:val="32"/>
        </w:rPr>
        <w:t>区级预算执行和其他财政收支审计工作报告和</w:t>
      </w:r>
      <w:r>
        <w:rPr>
          <w:rFonts w:hint="eastAsia" w:ascii="仿宋_GB2312" w:hAnsi="仿宋_GB2312" w:eastAsia="仿宋_GB2312" w:cs="仿宋_GB2312"/>
          <w:sz w:val="32"/>
          <w:szCs w:val="32"/>
          <w:lang w:eastAsia="zh-CN"/>
        </w:rPr>
        <w:t>民生政策措施落实专项审计调查情况，公开内容包含了区级预算管理和决算草案审计情况，部门预算执行审计情况，社区食堂建设运营、生活垃圾分类、基本公共卫生服务等民生政策措施落实情况专项审计调查情况重大投资项目审计情况以及国有资产审计情况，提出切实可行的审计建议并将被审计单位整改</w:t>
      </w:r>
      <w:r>
        <w:rPr>
          <w:rFonts w:hint="eastAsia" w:ascii="仿宋_GB2312" w:eastAsia="仿宋_GB2312"/>
          <w:sz w:val="32"/>
          <w:szCs w:val="32"/>
          <w:lang w:eastAsia="zh-CN"/>
        </w:rPr>
        <w:t>情况一并公开，全面展示审计工作。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420" w:firstLineChars="200"/>
        <w:jc w:val="left"/>
        <w:textAlignment w:val="auto"/>
        <w:rPr>
          <w:rFonts w:hint="default" w:ascii="Times New Roman" w:hAnsi="Times New Roman" w:eastAsia="楷体_GB2312" w:cs="Times New Roman"/>
          <w:b/>
          <w:bCs/>
          <w:sz w:val="32"/>
          <w:szCs w:val="32"/>
          <w:highlight w:val="none"/>
        </w:rPr>
      </w:pPr>
      <w:r>
        <w:drawing>
          <wp:anchor distT="0" distB="0" distL="114300" distR="114300" simplePos="0" relativeHeight="251659264" behindDoc="0" locked="0" layoutInCell="1" allowOverlap="1">
            <wp:simplePos x="0" y="0"/>
            <wp:positionH relativeFrom="column">
              <wp:posOffset>91440</wp:posOffset>
            </wp:positionH>
            <wp:positionV relativeFrom="paragraph">
              <wp:posOffset>20955</wp:posOffset>
            </wp:positionV>
            <wp:extent cx="5534025" cy="1381760"/>
            <wp:effectExtent l="0" t="0" r="9525" b="8890"/>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
                    <a:srcRect l="31031" t="18772" r="14868" b="57219"/>
                    <a:stretch>
                      <a:fillRect/>
                    </a:stretch>
                  </pic:blipFill>
                  <pic:spPr>
                    <a:xfrm>
                      <a:off x="0" y="0"/>
                      <a:ext cx="5534025" cy="1381760"/>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pStyle w:val="2"/>
        <w:rPr>
          <w:rFonts w:hint="default" w:ascii="Times New Roman" w:hAnsi="Times New Roman" w:eastAsia="楷体_GB2312" w:cs="Times New Roman"/>
          <w:b/>
          <w:bCs/>
          <w:sz w:val="32"/>
          <w:szCs w:val="32"/>
          <w:highlight w:val="none"/>
        </w:rPr>
      </w:pPr>
    </w:p>
    <w:p>
      <w:pPr>
        <w:pStyle w:val="3"/>
        <w:ind w:left="0" w:leftChars="0" w:firstLine="0" w:firstLineChars="0"/>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r>
        <w:rPr>
          <w:rFonts w:hint="default" w:ascii="Times New Roman" w:hAnsi="Times New Roman" w:eastAsia="仿宋_GB2312" w:cs="Times New Roman"/>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bCs/>
          <w:sz w:val="32"/>
          <w:szCs w:val="32"/>
          <w:highlight w:val="none"/>
        </w:rPr>
        <w:t>3.政府信息管理情况。</w:t>
      </w:r>
      <w:r>
        <w:rPr>
          <w:rFonts w:hint="eastAsia" w:ascii="仿宋_GB2312" w:eastAsia="仿宋_GB2312"/>
          <w:sz w:val="32"/>
          <w:szCs w:val="32"/>
          <w:lang w:eastAsia="zh-CN"/>
        </w:rPr>
        <w:t>积极</w:t>
      </w:r>
      <w:r>
        <w:rPr>
          <w:rFonts w:hint="default" w:ascii="仿宋_GB2312" w:eastAsia="仿宋_GB2312"/>
          <w:sz w:val="32"/>
          <w:szCs w:val="32"/>
          <w:lang w:eastAsia="zh-CN"/>
        </w:rPr>
        <w:t>完善政务公开审查程序，</w:t>
      </w:r>
      <w:r>
        <w:rPr>
          <w:rFonts w:hint="eastAsia" w:ascii="仿宋_GB2312" w:eastAsia="仿宋_GB2312"/>
          <w:sz w:val="32"/>
          <w:szCs w:val="32"/>
          <w:lang w:eastAsia="zh-CN"/>
        </w:rPr>
        <w:t>严格执行信息公开审批制度及保密审查制度，</w:t>
      </w:r>
      <w:r>
        <w:rPr>
          <w:rFonts w:hint="default" w:ascii="仿宋_GB2312" w:eastAsia="仿宋_GB2312"/>
          <w:sz w:val="32"/>
          <w:szCs w:val="32"/>
          <w:lang w:eastAsia="zh-CN"/>
        </w:rPr>
        <w:t>将公开审查与信息</w:t>
      </w:r>
      <w:r>
        <w:rPr>
          <w:rFonts w:hint="eastAsia" w:ascii="仿宋_GB2312" w:eastAsia="仿宋_GB2312"/>
          <w:sz w:val="32"/>
          <w:szCs w:val="32"/>
          <w:lang w:eastAsia="zh-CN"/>
        </w:rPr>
        <w:t>宣传</w:t>
      </w:r>
      <w:r>
        <w:rPr>
          <w:rFonts w:hint="default" w:ascii="仿宋_GB2312" w:eastAsia="仿宋_GB2312"/>
          <w:sz w:val="32"/>
          <w:szCs w:val="32"/>
          <w:lang w:eastAsia="zh-CN"/>
        </w:rPr>
        <w:t>发布程序融合，</w:t>
      </w:r>
      <w:r>
        <w:rPr>
          <w:rFonts w:hint="eastAsia" w:ascii="仿宋_GB2312" w:eastAsia="仿宋_GB2312"/>
          <w:sz w:val="32"/>
          <w:szCs w:val="32"/>
          <w:lang w:eastAsia="zh-CN"/>
        </w:rPr>
        <w:t>逐级审核校稿，</w:t>
      </w:r>
      <w:r>
        <w:rPr>
          <w:rFonts w:hint="default" w:ascii="仿宋_GB2312" w:eastAsia="仿宋_GB2312"/>
          <w:sz w:val="32"/>
          <w:szCs w:val="32"/>
          <w:lang w:eastAsia="zh-CN"/>
        </w:rPr>
        <w:t>严把源头审查关</w:t>
      </w:r>
      <w:r>
        <w:rPr>
          <w:rFonts w:hint="eastAsia" w:ascii="仿宋_GB2312" w:eastAsia="仿宋_GB2312"/>
          <w:sz w:val="32"/>
          <w:szCs w:val="32"/>
          <w:lang w:eastAsia="zh-CN"/>
        </w:rPr>
        <w:t>，</w:t>
      </w:r>
      <w:r>
        <w:rPr>
          <w:rFonts w:hint="eastAsia" w:ascii="仿宋_GB2312" w:hAnsi="仿宋_GB2312" w:eastAsia="仿宋_GB2312" w:cs="仿宋_GB2312"/>
          <w:sz w:val="32"/>
          <w:szCs w:val="32"/>
          <w:lang w:eastAsia="zh-CN"/>
        </w:rPr>
        <w:t>坚持“先审查后公开”“一事一审”</w:t>
      </w:r>
      <w:r>
        <w:rPr>
          <w:rFonts w:hint="default" w:ascii="仿宋_GB2312" w:eastAsia="仿宋_GB2312"/>
          <w:sz w:val="32"/>
          <w:szCs w:val="32"/>
          <w:lang w:eastAsia="zh-CN"/>
        </w:rPr>
        <w:t>，严格执行审查流程，</w:t>
      </w:r>
      <w:r>
        <w:rPr>
          <w:rFonts w:hint="eastAsia" w:ascii="仿宋_GB2312" w:eastAsia="仿宋_GB2312"/>
          <w:sz w:val="32"/>
          <w:szCs w:val="32"/>
          <w:lang w:eastAsia="zh-CN"/>
        </w:rPr>
        <w:t>把准把牢</w:t>
      </w:r>
      <w:r>
        <w:rPr>
          <w:rFonts w:hint="default" w:ascii="仿宋_GB2312" w:eastAsia="仿宋_GB2312"/>
          <w:sz w:val="32"/>
          <w:szCs w:val="32"/>
          <w:lang w:eastAsia="zh-CN"/>
        </w:rPr>
        <w:t>过程审查关</w:t>
      </w:r>
      <w:r>
        <w:rPr>
          <w:rFonts w:hint="eastAsia" w:ascii="仿宋_GB2312" w:eastAsia="仿宋_GB2312"/>
          <w:sz w:val="32"/>
          <w:szCs w:val="32"/>
          <w:lang w:eastAsia="zh-CN"/>
        </w:rPr>
        <w:t>，强化政府信息管理。</w:t>
      </w:r>
      <w:r>
        <w:rPr>
          <w:rFonts w:hint="default" w:ascii="Times New Roman" w:hAnsi="Times New Roman" w:eastAsia="仿宋_GB2312" w:cs="Times New Roman"/>
          <w:sz w:val="32"/>
          <w:szCs w:val="32"/>
          <w:lang w:val="en-US" w:eastAsia="zh-CN"/>
        </w:rPr>
        <w:t>2022年度以来，</w:t>
      </w:r>
      <w:r>
        <w:rPr>
          <w:rFonts w:hint="eastAsia" w:ascii="Times New Roman" w:hAnsi="Times New Roman" w:eastAsia="仿宋_GB2312" w:cs="Times New Roman"/>
          <w:sz w:val="32"/>
          <w:szCs w:val="32"/>
          <w:lang w:val="en-US" w:eastAsia="zh-CN"/>
        </w:rPr>
        <w:t>本单位</w:t>
      </w:r>
      <w:r>
        <w:rPr>
          <w:rFonts w:hint="default" w:ascii="Times New Roman" w:hAnsi="Times New Roman" w:eastAsia="仿宋_GB2312" w:cs="Times New Roman"/>
          <w:sz w:val="32"/>
          <w:szCs w:val="32"/>
          <w:lang w:val="en-US" w:eastAsia="zh-CN"/>
        </w:rPr>
        <w:t>未</w:t>
      </w:r>
      <w:r>
        <w:rPr>
          <w:rFonts w:hint="eastAsia" w:ascii="Times New Roman" w:hAnsi="Times New Roman" w:eastAsia="仿宋_GB2312" w:cs="Times New Roman"/>
          <w:sz w:val="32"/>
          <w:szCs w:val="32"/>
          <w:lang w:val="en-US" w:eastAsia="zh-CN"/>
        </w:rPr>
        <w:t>制发规范性文件。</w:t>
      </w:r>
    </w:p>
    <w:p>
      <w:pPr>
        <w:pStyle w:val="9"/>
        <w:keepNext w:val="0"/>
        <w:keepLines w:val="0"/>
        <w:widowControl/>
        <w:suppressLineNumbers w:val="0"/>
        <w:spacing w:before="0" w:beforeAutospacing="0" w:after="0" w:afterAutospacing="0" w:line="432" w:lineRule="atLeast"/>
        <w:ind w:right="0" w:firstLine="643" w:firstLineChars="200"/>
        <w:jc w:val="left"/>
        <w:rPr>
          <w:rFonts w:hint="eastAsia" w:ascii="楷体_GB2312" w:hAnsi="楷体_GB2312" w:eastAsia="楷体_GB2312" w:cs="楷体_GB2312"/>
          <w:color w:val="auto"/>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r>
        <w:rPr>
          <w:rFonts w:hint="eastAsia" w:ascii="仿宋_GB2312" w:eastAsia="仿宋_GB2312" w:cs="Times New Roman"/>
          <w:sz w:val="32"/>
          <w:szCs w:val="32"/>
          <w:lang w:eastAsia="zh-CN"/>
        </w:rPr>
        <w:t>积极对照政务公开最新要求，对本单位公开栏目、公开指南等进行修改完善，及时调整和落实法定主动公开内容和要求，确保本单位政府网站、相关信息公开专栏、</w:t>
      </w:r>
      <w:r>
        <w:rPr>
          <w:rFonts w:hint="default" w:ascii="仿宋_GB2312" w:eastAsia="仿宋_GB2312" w:cs="Times New Roman"/>
          <w:sz w:val="32"/>
          <w:szCs w:val="32"/>
          <w:lang w:eastAsia="zh-CN"/>
        </w:rPr>
        <w:t>政府信息公开查阅场所、政务公开专区等政府信息公开</w:t>
      </w:r>
      <w:r>
        <w:rPr>
          <w:rFonts w:hint="eastAsia" w:ascii="仿宋_GB2312" w:eastAsia="仿宋_GB2312" w:cs="Times New Roman"/>
          <w:sz w:val="32"/>
          <w:szCs w:val="32"/>
          <w:lang w:eastAsia="zh-CN"/>
        </w:rPr>
        <w:t>平台建设有序进行。</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2年度以来</w:t>
      </w:r>
      <w:r>
        <w:rPr>
          <w:rFonts w:hint="eastAsia" w:ascii="仿宋_GB2312" w:eastAsia="仿宋_GB2312"/>
          <w:sz w:val="32"/>
          <w:szCs w:val="32"/>
          <w:lang w:eastAsia="zh-CN"/>
        </w:rPr>
        <w:t>，本单位未开设政务新媒体</w:t>
      </w:r>
      <w:r>
        <w:rPr>
          <w:rFonts w:hint="eastAsia" w:ascii="仿宋_GB2312" w:eastAsia="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楷体_GB2312" w:cs="Times New Roman"/>
          <w:b/>
          <w:bCs/>
          <w:sz w:val="32"/>
          <w:szCs w:val="32"/>
          <w:highlight w:val="none"/>
        </w:rPr>
        <w:t>5.监督保障情况。</w:t>
      </w:r>
      <w:r>
        <w:rPr>
          <w:rFonts w:hint="default" w:ascii="仿宋_GB2312" w:eastAsia="仿宋_GB2312" w:cs="Times New Roman" w:hAnsiTheme="minorHAnsi"/>
          <w:kern w:val="0"/>
          <w:sz w:val="32"/>
          <w:szCs w:val="32"/>
          <w:lang w:val="en-US" w:eastAsia="zh-CN" w:bidi="ar"/>
        </w:rPr>
        <w:t>加强</w:t>
      </w:r>
      <w:r>
        <w:rPr>
          <w:rFonts w:hint="eastAsia" w:ascii="仿宋_GB2312" w:eastAsia="仿宋_GB2312" w:cs="Times New Roman"/>
          <w:kern w:val="0"/>
          <w:sz w:val="32"/>
          <w:szCs w:val="32"/>
          <w:lang w:val="en-US" w:eastAsia="zh-CN" w:bidi="ar"/>
        </w:rPr>
        <w:t>与区政府政务公开科和上级审计机关关于信息公开工作的沟通</w:t>
      </w:r>
      <w:r>
        <w:rPr>
          <w:rFonts w:hint="default" w:ascii="仿宋_GB2312" w:eastAsia="仿宋_GB2312" w:cs="Times New Roman" w:hAnsiTheme="minorHAnsi"/>
          <w:kern w:val="0"/>
          <w:sz w:val="32"/>
          <w:szCs w:val="32"/>
          <w:lang w:val="en-US" w:eastAsia="zh-CN" w:bidi="ar"/>
        </w:rPr>
        <w:t>协调，</w:t>
      </w:r>
      <w:r>
        <w:rPr>
          <w:rFonts w:hint="eastAsia" w:ascii="仿宋_GB2312" w:eastAsia="仿宋_GB2312" w:cs="Times New Roman"/>
          <w:kern w:val="0"/>
          <w:sz w:val="32"/>
          <w:szCs w:val="32"/>
          <w:lang w:val="en-US" w:eastAsia="zh-CN" w:bidi="ar"/>
        </w:rPr>
        <w:t>就较为</w:t>
      </w:r>
      <w:r>
        <w:rPr>
          <w:rFonts w:hint="default" w:ascii="仿宋_GB2312" w:eastAsia="仿宋_GB2312" w:cs="Times New Roman" w:hAnsiTheme="minorHAnsi"/>
          <w:kern w:val="0"/>
          <w:sz w:val="32"/>
          <w:szCs w:val="32"/>
          <w:lang w:val="en-US" w:eastAsia="zh-CN" w:bidi="ar"/>
        </w:rPr>
        <w:t>敏感的审计结果信息</w:t>
      </w:r>
      <w:r>
        <w:rPr>
          <w:rFonts w:hint="eastAsia" w:ascii="仿宋_GB2312" w:eastAsia="仿宋_GB2312" w:cs="Times New Roman"/>
          <w:kern w:val="0"/>
          <w:sz w:val="32"/>
          <w:szCs w:val="32"/>
          <w:lang w:val="en-US" w:eastAsia="zh-CN" w:bidi="ar"/>
        </w:rPr>
        <w:t>的公开</w:t>
      </w:r>
      <w:r>
        <w:rPr>
          <w:rFonts w:hint="default" w:ascii="仿宋_GB2312" w:eastAsia="仿宋_GB2312" w:cs="Times New Roman" w:hAnsiTheme="minorHAnsi"/>
          <w:kern w:val="0"/>
          <w:sz w:val="32"/>
          <w:szCs w:val="32"/>
          <w:lang w:val="en-US" w:eastAsia="zh-CN" w:bidi="ar"/>
        </w:rPr>
        <w:t>进行</w:t>
      </w:r>
      <w:r>
        <w:rPr>
          <w:rFonts w:hint="eastAsia" w:ascii="仿宋_GB2312" w:eastAsia="仿宋_GB2312" w:cs="Times New Roman"/>
          <w:kern w:val="0"/>
          <w:sz w:val="32"/>
          <w:szCs w:val="32"/>
          <w:lang w:val="en-US" w:eastAsia="zh-CN" w:bidi="ar"/>
        </w:rPr>
        <w:t>积极地</w:t>
      </w:r>
      <w:r>
        <w:rPr>
          <w:rFonts w:hint="default" w:ascii="仿宋_GB2312" w:eastAsia="仿宋_GB2312" w:cs="Times New Roman" w:hAnsiTheme="minorHAnsi"/>
          <w:kern w:val="0"/>
          <w:sz w:val="32"/>
          <w:szCs w:val="32"/>
          <w:lang w:val="en-US" w:eastAsia="zh-CN" w:bidi="ar"/>
        </w:rPr>
        <w:t>沟通协商，</w:t>
      </w:r>
      <w:r>
        <w:rPr>
          <w:rFonts w:hint="eastAsia" w:ascii="仿宋_GB2312" w:eastAsia="仿宋_GB2312" w:cs="Times New Roman"/>
          <w:kern w:val="0"/>
          <w:sz w:val="32"/>
          <w:szCs w:val="32"/>
          <w:lang w:val="en-US" w:eastAsia="zh-CN" w:bidi="ar"/>
        </w:rPr>
        <w:t>保证公开内容真实合规</w:t>
      </w:r>
      <w:r>
        <w:rPr>
          <w:rFonts w:hint="default" w:ascii="仿宋_GB2312" w:eastAsia="仿宋_GB2312" w:cs="Times New Roman" w:hAnsiTheme="minorHAnsi"/>
          <w:kern w:val="0"/>
          <w:sz w:val="32"/>
          <w:szCs w:val="32"/>
          <w:lang w:val="en-US" w:eastAsia="zh-CN" w:bidi="ar"/>
        </w:rPr>
        <w:t>。</w:t>
      </w:r>
      <w:r>
        <w:rPr>
          <w:rFonts w:hint="eastAsia" w:ascii="仿宋_GB2312" w:eastAsia="仿宋_GB2312" w:cs="Times New Roman"/>
          <w:kern w:val="0"/>
          <w:sz w:val="32"/>
          <w:szCs w:val="32"/>
          <w:lang w:val="en-US" w:eastAsia="zh-CN" w:bidi="ar"/>
        </w:rPr>
        <w:t>指定专人专门负责政务公开工作，</w:t>
      </w:r>
      <w:r>
        <w:rPr>
          <w:rFonts w:hint="eastAsia" w:ascii="仿宋_GB2312" w:eastAsia="仿宋_GB2312" w:cs="Times New Roman"/>
          <w:kern w:val="0"/>
          <w:sz w:val="32"/>
          <w:szCs w:val="32"/>
          <w:lang w:val="en-US" w:eastAsia="zh-CN" w:bidi="ar"/>
        </w:rPr>
        <w:t>避免人员频繁变动造成工作不便，加强</w:t>
      </w:r>
      <w:r>
        <w:rPr>
          <w:rFonts w:hint="eastAsia" w:ascii="仿宋_GB2312" w:eastAsia="仿宋_GB2312" w:cs="Times New Roman"/>
          <w:kern w:val="0"/>
          <w:sz w:val="32"/>
          <w:szCs w:val="32"/>
          <w:lang w:val="en-US" w:eastAsia="zh-CN" w:bidi="ar"/>
        </w:rPr>
        <w:t>对各业务科室的培训指导，确保审计人员明确公开审核流程，</w:t>
      </w:r>
      <w:r>
        <w:rPr>
          <w:rFonts w:hint="eastAsia" w:ascii="仿宋_GB2312" w:eastAsia="仿宋_GB2312" w:cs="Times New Roman"/>
          <w:sz w:val="32"/>
          <w:szCs w:val="32"/>
          <w:lang w:eastAsia="zh-CN"/>
        </w:rPr>
        <w:t>保证应该公开的全部公开，不应公开的绝不公开，提升公开质效。</w:t>
      </w:r>
    </w:p>
    <w:p>
      <w:pPr>
        <w:pStyle w:val="12"/>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10"/>
        <w:tblW w:w="8722" w:type="dxa"/>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W w:w="1474"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13"/>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3"/>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12"/>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10"/>
        <w:tblW w:w="8721" w:type="dxa"/>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tcW w:w="624"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tcW w:w="2822" w:type="dxa"/>
            <w:gridSpan w:val="5"/>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W w:w="566"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W w:w="566"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tcW w:w="634" w:type="dxa"/>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rPr>
            </w:pP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pPr>
              <w:pStyle w:val="14"/>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tcW w:w="4123" w:type="dxa"/>
            <w:gridSpan w:val="2"/>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W w:w="2592"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13"/>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12"/>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10"/>
        <w:tblW w:w="8737" w:type="dxa"/>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629"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624"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14"/>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2827" w:type="dxa"/>
            <w:gridSpan w:val="5"/>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13"/>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6" w:type="dxa"/>
            <w:tcBorders>
              <w:top w:val="single" w:color="auto" w:sz="4" w:space="0"/>
              <w:left w:val="single" w:color="auto" w:sz="4" w:space="0"/>
            </w:tcBorders>
            <w:shd w:val="clear" w:color="auto" w:fill="FFFFFF"/>
            <w:textDirection w:val="tbRlV"/>
            <w:vAlign w:val="center"/>
          </w:tcPr>
          <w:p>
            <w:pPr>
              <w:pStyle w:val="14"/>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13"/>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pPr>
              <w:pStyle w:val="14"/>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spacing w:line="600" w:lineRule="exact"/>
        <w:ind w:firstLine="640" w:firstLineChars="200"/>
        <w:rPr>
          <w:rFonts w:hint="eastAsia" w:ascii="仿宋_GB2312" w:eastAsia="仿宋_GB2312"/>
          <w:sz w:val="32"/>
          <w:szCs w:val="32"/>
          <w:lang w:eastAsia="zh-CN"/>
        </w:rPr>
      </w:pPr>
      <w:r>
        <w:rPr>
          <w:rFonts w:hint="default" w:ascii="Times New Roman" w:hAnsi="Times New Roman" w:eastAsia="仿宋_GB2312" w:cs="Times New Roman"/>
          <w:sz w:val="32"/>
          <w:szCs w:val="32"/>
          <w:highlight w:val="none"/>
        </w:rPr>
        <w:t>20</w:t>
      </w:r>
      <w:r>
        <w:rPr>
          <w:rFonts w:hint="default" w:ascii="Times New Roman" w:hAns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年</w:t>
      </w:r>
      <w:r>
        <w:rPr>
          <w:rFonts w:hint="eastAsia" w:ascii="仿宋_GB2312" w:eastAsia="仿宋_GB2312"/>
          <w:sz w:val="32"/>
          <w:szCs w:val="32"/>
          <w:highlight w:val="none"/>
        </w:rPr>
        <w:t>，</w:t>
      </w:r>
      <w:r>
        <w:rPr>
          <w:rFonts w:hint="eastAsia" w:ascii="仿宋_GB2312" w:eastAsia="仿宋_GB2312"/>
          <w:sz w:val="32"/>
          <w:szCs w:val="32"/>
          <w:lang w:eastAsia="zh-CN"/>
        </w:rPr>
        <w:t>环翠区审计局积极落实政府信息公开工作各项通知要求，认真完成规定动作，但是仍然存在信息发布存在错敏信息、政务公开工作积极性主动性有待加强等问题。</w:t>
      </w:r>
    </w:p>
    <w:p>
      <w:pPr>
        <w:spacing w:line="600" w:lineRule="exact"/>
        <w:ind w:firstLine="640" w:firstLineChars="200"/>
        <w:rPr>
          <w:rFonts w:hint="default"/>
          <w:lang w:eastAsia="zh-CN"/>
        </w:rPr>
      </w:pPr>
      <w:r>
        <w:rPr>
          <w:rFonts w:hint="eastAsia" w:ascii="仿宋_GB2312" w:eastAsia="仿宋_GB2312"/>
          <w:sz w:val="32"/>
          <w:szCs w:val="32"/>
          <w:lang w:val="en-US" w:eastAsia="zh-CN"/>
        </w:rPr>
        <w:t>下一步，环翠区审计局将持续强化政府信息</w:t>
      </w:r>
      <w:r>
        <w:rPr>
          <w:rFonts w:hint="default" w:ascii="仿宋_GB2312" w:eastAsia="仿宋_GB2312"/>
          <w:sz w:val="32"/>
          <w:szCs w:val="32"/>
          <w:lang w:eastAsia="zh-CN"/>
        </w:rPr>
        <w:t>公开审查程序</w:t>
      </w:r>
      <w:r>
        <w:rPr>
          <w:rFonts w:hint="eastAsia" w:ascii="仿宋_GB2312" w:eastAsia="仿宋_GB2312"/>
          <w:sz w:val="32"/>
          <w:szCs w:val="32"/>
          <w:lang w:eastAsia="zh-CN"/>
        </w:rPr>
        <w:t>，进一步提升相关审核人员公文素养水平，避免错敏信息产生，提升审计公开水平，打造“阳光审计”政务公开品牌</w:t>
      </w:r>
      <w:r>
        <w:rPr>
          <w:rFonts w:hint="eastAsia" w:ascii="仿宋_GB2312" w:eastAsia="仿宋_GB2312"/>
          <w:sz w:val="32"/>
          <w:szCs w:val="32"/>
          <w:lang w:val="en-US" w:eastAsia="zh-CN"/>
        </w:rPr>
        <w:t>。</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spacing w:line="600" w:lineRule="exact"/>
        <w:ind w:firstLine="640" w:firstLineChars="200"/>
        <w:rPr>
          <w:rFonts w:hint="eastAsia" w:ascii="仿宋_GB2312" w:eastAsia="仿宋_GB2312"/>
          <w:sz w:val="32"/>
          <w:szCs w:val="32"/>
          <w:lang w:val="en-US" w:eastAsia="zh-CN"/>
        </w:rPr>
      </w:pPr>
      <w:r>
        <w:rPr>
          <w:rFonts w:hint="eastAsia" w:ascii="Times New Roman" w:hAnsi="Times New Roman" w:eastAsia="仿宋_GB2312" w:cs="Times New Roman"/>
          <w:sz w:val="32"/>
          <w:szCs w:val="32"/>
          <w:highlight w:val="none"/>
          <w:lang w:eastAsia="zh-CN"/>
        </w:rPr>
        <w:t>积极落实上级关于政务公开工作的通知要求，进行公开栏目增设、相关内容更新</w:t>
      </w:r>
      <w:r>
        <w:rPr>
          <w:rFonts w:hint="eastAsia" w:ascii="Times New Roman" w:hAnsi="Times New Roman" w:eastAsia="仿宋_GB2312" w:cs="Times New Roman"/>
          <w:sz w:val="32"/>
          <w:szCs w:val="32"/>
          <w:highlight w:val="none"/>
          <w:lang w:val="en-US" w:eastAsia="zh-CN"/>
        </w:rPr>
        <w:t>，及时公开审计重点工作情况，回应群众关心关切。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本年度我单位</w:t>
      </w:r>
      <w:r>
        <w:rPr>
          <w:rFonts w:hint="default" w:ascii="Times New Roman" w:hAnsi="Times New Roman" w:eastAsia="仿宋_GB2312" w:cs="Times New Roman"/>
          <w:sz w:val="32"/>
          <w:szCs w:val="32"/>
        </w:rPr>
        <w:t>未收到人大代表建议、政协委员提案</w:t>
      </w:r>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以政府开放日为契机，邀请建设单位、施工单位、社会审计中介机构代表等参加审计公开交流座谈，政务公开分管领导就审计主要职能、审计项目实施流程、审计关注的重点领域等进行了讲解，使民众和企业加深对审计工作的了解和支持，增进机关与群众的沟通联系，有效提高社会满意度。</w:t>
      </w:r>
      <w:bookmarkStart w:id="1" w:name="_GoBack"/>
      <w:bookmarkEnd w:id="1"/>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Times New Roman" w:hAnsi="Times New Roman" w:eastAsia="楷体_GB2312" w:cs="Times New Roman"/>
          <w:b/>
          <w:bCs/>
          <w:sz w:val="32"/>
          <w:szCs w:val="32"/>
          <w:lang w:val="en-US" w:eastAsia="zh-CN"/>
        </w:rPr>
      </w:pPr>
      <w:r>
        <w:rPr>
          <w:rFonts w:hint="eastAsia"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eastAsia" w:ascii="Times New Roman" w:hAnsi="Times New Roman" w:eastAsia="楷体_GB2312" w:cs="Times New Roman"/>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及时公开所属环翠区经济责任审计中心、环翠区政府投资审计中心2个事业单位财政预决算情况，随机关工作同步公开事业单位相关工作情况，确保公开内容全面、准确。</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BD246D43-5969-4F9D-838A-A5341920D56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7C61781-78FD-451E-B1FA-8EF8B4CEB87B}"/>
  </w:font>
  <w:font w:name="方正小标宋简体">
    <w:panose1 w:val="03000509000000000000"/>
    <w:charset w:val="86"/>
    <w:family w:val="auto"/>
    <w:pitch w:val="default"/>
    <w:sig w:usb0="00000001" w:usb1="080E0000" w:usb2="00000000" w:usb3="00000000" w:csb0="00040000" w:csb1="00000000"/>
    <w:embedRegular r:id="rId3" w:fontKey="{3D445F6B-7B2B-4F76-8C33-D4148C2676F9}"/>
  </w:font>
  <w:font w:name="仿宋_GB2312">
    <w:panose1 w:val="02010609030101010101"/>
    <w:charset w:val="86"/>
    <w:family w:val="auto"/>
    <w:pitch w:val="default"/>
    <w:sig w:usb0="00000001" w:usb1="080E0000" w:usb2="00000000" w:usb3="00000000" w:csb0="00040000" w:csb1="00000000"/>
    <w:embedRegular r:id="rId4" w:fontKey="{51B57736-4D23-4639-8ED2-FEE5810A6083}"/>
  </w:font>
  <w:font w:name="楷体_GB2312">
    <w:panose1 w:val="02010609030101010101"/>
    <w:charset w:val="86"/>
    <w:family w:val="auto"/>
    <w:pitch w:val="default"/>
    <w:sig w:usb0="00000001" w:usb1="080E0000" w:usb2="00000000" w:usb3="00000000" w:csb0="00040000" w:csb1="00000000"/>
    <w:embedRegular r:id="rId5" w:fontKey="{DB80BC98-D8B3-4019-8BDF-7C561B497D9B}"/>
  </w:font>
  <w:font w:name="方正楷体_GB2312">
    <w:panose1 w:val="02000000000000000000"/>
    <w:charset w:val="86"/>
    <w:family w:val="auto"/>
    <w:pitch w:val="default"/>
    <w:sig w:usb0="00000000" w:usb1="00000000" w:usb2="00000000" w:usb3="00000000" w:csb0="00000000" w:csb1="00000000"/>
    <w:embedRegular r:id="rId6" w:fontKey="{D371F1C4-4472-4F98-B04F-60987A412712}"/>
  </w:font>
  <w:font w:name="Calibri Light">
    <w:panose1 w:val="020F0302020204030204"/>
    <w:charset w:val="00"/>
    <w:family w:val="auto"/>
    <w:pitch w:val="default"/>
    <w:sig w:usb0="A00002EF" w:usb1="4000207B" w:usb2="00000000" w:usb3="00000000" w:csb0="2000019F"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长城大标宋体">
    <w:panose1 w:val="02010609010101010101"/>
    <w:charset w:val="00"/>
    <w:family w:val="auto"/>
    <w:pitch w:val="default"/>
    <w:sig w:usb0="00000000" w:usb1="00000000" w:usb2="00000000" w:usb3="00000000" w:csb0="00000000" w:csb1="00000000"/>
  </w:font>
  <w:font w:name="方正仿宋简体">
    <w:altName w:val="微软雅黑"/>
    <w:panose1 w:val="02000000000000000000"/>
    <w:charset w:val="00"/>
    <w:family w:val="auto"/>
    <w:pitch w:val="default"/>
    <w:sig w:usb0="00000000" w:usb1="00000000" w:usb2="00000012" w:usb3="00000000" w:csb0="00040001" w:csb1="00000000"/>
  </w:font>
  <w:font w:name="长城小标宋体">
    <w:panose1 w:val="0201060901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5072425"/>
    <w:rsid w:val="169A6998"/>
    <w:rsid w:val="19334076"/>
    <w:rsid w:val="199D5F29"/>
    <w:rsid w:val="1A91517D"/>
    <w:rsid w:val="1ABC2A04"/>
    <w:rsid w:val="1BCE4B75"/>
    <w:rsid w:val="1DAF0231"/>
    <w:rsid w:val="1EE135F3"/>
    <w:rsid w:val="1FC77D4B"/>
    <w:rsid w:val="21A50B34"/>
    <w:rsid w:val="22587648"/>
    <w:rsid w:val="22975CF6"/>
    <w:rsid w:val="241D650E"/>
    <w:rsid w:val="242C1780"/>
    <w:rsid w:val="261D0FA9"/>
    <w:rsid w:val="2784713D"/>
    <w:rsid w:val="278A3680"/>
    <w:rsid w:val="27AF470B"/>
    <w:rsid w:val="290B5AAB"/>
    <w:rsid w:val="295B49DC"/>
    <w:rsid w:val="295E4994"/>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41195BFF"/>
    <w:rsid w:val="413279EE"/>
    <w:rsid w:val="42CA37F1"/>
    <w:rsid w:val="43FC3E73"/>
    <w:rsid w:val="454E44B9"/>
    <w:rsid w:val="45AE06B3"/>
    <w:rsid w:val="4A487FDE"/>
    <w:rsid w:val="4B456772"/>
    <w:rsid w:val="4B6650BF"/>
    <w:rsid w:val="4C246A68"/>
    <w:rsid w:val="4CA2306E"/>
    <w:rsid w:val="4DC04BAC"/>
    <w:rsid w:val="4E4D546F"/>
    <w:rsid w:val="4F231DB6"/>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B856C99"/>
    <w:rsid w:val="6BF055A8"/>
    <w:rsid w:val="6EBB79A1"/>
    <w:rsid w:val="70330580"/>
    <w:rsid w:val="711B17F7"/>
    <w:rsid w:val="734D3842"/>
    <w:rsid w:val="75066E2C"/>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footnote text"/>
    <w:basedOn w:val="1"/>
    <w:next w:val="3"/>
    <w:qFormat/>
    <w:uiPriority w:val="0"/>
    <w:pPr>
      <w:snapToGrid w:val="0"/>
      <w:jc w:val="left"/>
    </w:pPr>
    <w:rPr>
      <w:sz w:val="18"/>
      <w:szCs w:val="18"/>
    </w:rPr>
  </w:style>
  <w:style w:type="paragraph" w:styleId="3">
    <w:name w:val="Body Text First Indent 2"/>
    <w:basedOn w:val="4"/>
    <w:next w:val="1"/>
    <w:qFormat/>
    <w:uiPriority w:val="0"/>
    <w:pPr>
      <w:ind w:firstLine="420" w:firstLineChars="200"/>
    </w:pPr>
  </w:style>
  <w:style w:type="paragraph" w:styleId="4">
    <w:name w:val="Body Text Indent"/>
    <w:basedOn w:val="1"/>
    <w:next w:val="5"/>
    <w:qFormat/>
    <w:uiPriority w:val="0"/>
    <w:pPr>
      <w:spacing w:line="600" w:lineRule="exact"/>
      <w:ind w:firstLine="645"/>
    </w:pPr>
    <w:rPr>
      <w:rFonts w:ascii="仿宋_GB2312" w:hAnsi="宋体" w:eastAsia="仿宋_GB2312"/>
      <w:sz w:val="32"/>
      <w:szCs w:val="32"/>
    </w:rPr>
  </w:style>
  <w:style w:type="paragraph" w:styleId="5">
    <w:name w:val="Normal Indent"/>
    <w:basedOn w:val="1"/>
    <w:next w:val="1"/>
    <w:qFormat/>
    <w:uiPriority w:val="0"/>
    <w:pPr>
      <w:ind w:firstLine="420" w:firstLineChars="200"/>
    </w:pPr>
    <w:rPr>
      <w:rFonts w:ascii="Times New Roman" w:hAnsi="Times New Roman"/>
    </w:rPr>
  </w:style>
  <w:style w:type="paragraph" w:styleId="6">
    <w:name w:val="Body Text"/>
    <w:basedOn w:val="1"/>
    <w:next w:val="3"/>
    <w:uiPriority w:val="0"/>
    <w:pPr>
      <w:ind w:right="214"/>
    </w:pPr>
    <w:rPr>
      <w:rFonts w:ascii="仿宋_GB2312" w:eastAsia="仿宋_GB2312"/>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uiPriority w:val="0"/>
    <w:pPr>
      <w:spacing w:before="100" w:beforeAutospacing="1" w:after="100" w:afterAutospacing="1"/>
      <w:ind w:left="0" w:right="0"/>
      <w:jc w:val="left"/>
    </w:pPr>
    <w:rPr>
      <w:kern w:val="0"/>
      <w:sz w:val="24"/>
      <w:lang w:val="en-US" w:eastAsia="zh-CN" w:bidi="ar"/>
    </w:rPr>
  </w:style>
  <w:style w:type="paragraph" w:customStyle="1" w:styleId="12">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3">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4">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1899</Words>
  <Characters>2015</Characters>
  <Lines>0</Lines>
  <Paragraphs>0</Paragraphs>
  <TotalTime>6</TotalTime>
  <ScaleCrop>false</ScaleCrop>
  <LinksUpToDate>false</LinksUpToDate>
  <CharactersWithSpaces>2037</CharactersWithSpaces>
  <Application>WPS Office_11.8.2.8999_F1E327BC-269C-435d-A152-05C5408002CA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于晨</cp:lastModifiedBy>
  <dcterms:modified xsi:type="dcterms:W3CDTF">2023-01-04T08:25:06Z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2052-11.8.2.8999</vt:lpwstr>
  </property>
  <property fmtid="{D5CDD505-2E9C-101B-9397-08002B2CF9AE}" pid="3" name="ICV">
    <vt:lpwstr>C572666A6F1B4635A951FB1178BB458E</vt:lpwstr>
  </property>
</Properties>
</file>