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HCDR-2</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0</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25-0030002</w:t>
      </w:r>
    </w:p>
    <w:p>
      <w:pPr>
        <w:pStyle w:val="2"/>
        <w:keepNext w:val="0"/>
        <w:keepLines w:val="0"/>
        <w:pageBreakBefore w:val="0"/>
        <w:widowControl w:val="0"/>
        <w:kinsoku/>
        <w:wordWrap/>
        <w:overflowPunct/>
        <w:topLinePunct w:val="0"/>
        <w:autoSpaceDE/>
        <w:autoSpaceDN/>
        <w:bidi w:val="0"/>
        <w:snapToGrid/>
        <w:spacing w:line="560" w:lineRule="exact"/>
        <w:ind w:right="0" w:rightChars="0"/>
        <w:jc w:val="center"/>
        <w:textAlignment w:val="auto"/>
        <w:outlineLvl w:val="9"/>
        <w:rPr>
          <w:rFonts w:hint="eastAsia" w:ascii="文星简小标宋" w:hAnsi="文星简小标宋" w:eastAsia="文星简小标宋" w:cs="文星简小标宋"/>
          <w:b w:val="0"/>
          <w:bCs w:val="0"/>
          <w:color w:val="000000" w:themeColor="text1"/>
          <w:sz w:val="44"/>
          <w:szCs w:val="44"/>
          <w:highlight w:val="none"/>
          <w14:textFill>
            <w14:solidFill>
              <w14:schemeClr w14:val="tx1"/>
            </w14:solidFill>
          </w14:textFill>
        </w:rPr>
      </w:pPr>
    </w:p>
    <w:p>
      <w:pPr>
        <w:pStyle w:val="2"/>
        <w:keepNext w:val="0"/>
        <w:keepLines w:val="0"/>
        <w:pageBreakBefore w:val="0"/>
        <w:widowControl w:val="0"/>
        <w:kinsoku/>
        <w:wordWrap/>
        <w:overflowPunct/>
        <w:topLinePunct w:val="0"/>
        <w:autoSpaceDE/>
        <w:autoSpaceDN/>
        <w:bidi w:val="0"/>
        <w:snapToGrid/>
        <w:spacing w:line="560" w:lineRule="exact"/>
        <w:ind w:right="0" w:rightChars="0"/>
        <w:jc w:val="center"/>
        <w:textAlignment w:val="auto"/>
        <w:outlineLvl w:val="9"/>
        <w:rPr>
          <w:rFonts w:hint="eastAsia" w:ascii="文星简小标宋" w:hAnsi="文星简小标宋" w:eastAsia="文星简小标宋" w:cs="文星简小标宋"/>
          <w:b w:val="0"/>
          <w:bCs w:val="0"/>
          <w:color w:val="000000" w:themeColor="text1"/>
          <w:sz w:val="44"/>
          <w:szCs w:val="44"/>
          <w:highlight w:val="none"/>
          <w14:textFill>
            <w14:solidFill>
              <w14:schemeClr w14:val="tx1"/>
            </w14:solidFill>
          </w14:textFill>
        </w:rPr>
      </w:pPr>
      <w:r>
        <w:rPr>
          <w:rFonts w:hint="eastAsia" w:ascii="文星简小标宋" w:hAnsi="文星简小标宋" w:eastAsia="文星简小标宋" w:cs="文星简小标宋"/>
          <w:b w:val="0"/>
          <w:bCs w:val="0"/>
          <w:color w:val="000000" w:themeColor="text1"/>
          <w:sz w:val="44"/>
          <w:szCs w:val="44"/>
          <w:highlight w:val="none"/>
          <w14:textFill>
            <w14:solidFill>
              <w14:schemeClr w14:val="tx1"/>
            </w14:solidFill>
          </w14:textFill>
        </w:rPr>
        <w:t>关于农业水价综合改革项目区实行</w:t>
      </w:r>
    </w:p>
    <w:p>
      <w:pPr>
        <w:jc w:val="center"/>
        <w:rPr>
          <w:rFonts w:hint="eastAsia" w:ascii="文星简小标宋" w:hAnsi="文星简小标宋" w:eastAsia="文星简小标宋" w:cs="文星简小标宋"/>
          <w:b w:val="0"/>
          <w:bCs w:val="0"/>
          <w:color w:val="000000" w:themeColor="text1"/>
          <w:sz w:val="44"/>
          <w:szCs w:val="44"/>
          <w:highlight w:val="none"/>
          <w14:textFill>
            <w14:solidFill>
              <w14:schemeClr w14:val="tx1"/>
            </w14:solidFill>
          </w14:textFill>
        </w:rPr>
      </w:pPr>
      <w:r>
        <w:rPr>
          <w:rFonts w:hint="eastAsia" w:ascii="文星简小标宋" w:hAnsi="文星简小标宋" w:eastAsia="文星简小标宋" w:cs="文星简小标宋"/>
          <w:b w:val="0"/>
          <w:bCs w:val="0"/>
          <w:color w:val="000000" w:themeColor="text1"/>
          <w:sz w:val="44"/>
          <w:szCs w:val="44"/>
          <w:highlight w:val="none"/>
          <w14:textFill>
            <w14:solidFill>
              <w14:schemeClr w14:val="tx1"/>
            </w14:solidFill>
          </w14:textFill>
        </w:rPr>
        <w:t>农业用水终端水价的通知</w:t>
      </w:r>
    </w:p>
    <w:p>
      <w:pPr>
        <w:keepNext w:val="0"/>
        <w:keepLines w:val="0"/>
        <w:pageBreakBefore w:val="0"/>
        <w:widowControl w:val="0"/>
        <w:kinsoku/>
        <w:wordWrap/>
        <w:overflowPunct/>
        <w:topLinePunct w:val="0"/>
        <w:autoSpaceDE/>
        <w:autoSpaceDN/>
        <w:bidi w:val="0"/>
        <w:snapToGrid/>
        <w:spacing w:line="560" w:lineRule="exact"/>
        <w:ind w:left="0" w:leftChars="0" w:right="0" w:rightChars="0"/>
        <w:jc w:val="center"/>
        <w:textAlignment w:val="auto"/>
        <w:outlineLvl w:val="9"/>
        <w:rPr>
          <w:rFonts w:hint="eastAsia" w:ascii="Times New Roman" w:hAnsi="Times New Roman"/>
          <w:color w:val="000000" w:themeColor="text1"/>
          <w:highlight w:val="none"/>
          <w14:textFill>
            <w14:solidFill>
              <w14:schemeClr w14:val="tx1"/>
            </w14:solidFill>
          </w14:textFill>
        </w:rPr>
      </w:pPr>
      <w:r>
        <w:rPr>
          <w:rFonts w:ascii="Times New Roman" w:hAnsi="Times New Roman" w:eastAsia="仿宋_GB2312"/>
          <w:color w:val="000000" w:themeColor="text1"/>
          <w:sz w:val="32"/>
          <w:highlight w:val="none"/>
          <w14:textFill>
            <w14:solidFill>
              <w14:schemeClr w14:val="tx1"/>
            </w14:solidFill>
          </w14:textFill>
        </w:rPr>
        <w:t>威环</w:t>
      </w:r>
      <w:r>
        <w:rPr>
          <w:rFonts w:hint="eastAsia" w:ascii="Times New Roman" w:hAnsi="Times New Roman" w:eastAsia="仿宋_GB2312"/>
          <w:color w:val="000000" w:themeColor="text1"/>
          <w:sz w:val="32"/>
          <w:highlight w:val="none"/>
          <w14:textFill>
            <w14:solidFill>
              <w14:schemeClr w14:val="tx1"/>
            </w14:solidFill>
          </w14:textFill>
        </w:rPr>
        <w:t>发改字</w:t>
      </w:r>
      <w:r>
        <w:rPr>
          <w:rFonts w:hint="eastAsia" w:ascii="Times New Roman" w:hAnsi="Times New Roman" w:eastAsia="仿宋_GB2312"/>
          <w:color w:val="000000" w:themeColor="text1"/>
          <w:sz w:val="32"/>
          <w:szCs w:val="32"/>
          <w:highlight w:val="none"/>
          <w14:textFill>
            <w14:solidFill>
              <w14:schemeClr w14:val="tx1"/>
            </w14:solidFill>
          </w14:textFill>
        </w:rPr>
        <w:t>〔</w:t>
      </w:r>
      <w:r>
        <w:rPr>
          <w:rFonts w:ascii="Times New Roman" w:hAnsi="Times New Roman" w:eastAsia="仿宋_GB2312"/>
          <w:color w:val="000000" w:themeColor="text1"/>
          <w:sz w:val="32"/>
          <w:szCs w:val="32"/>
          <w:highlight w:val="none"/>
          <w14:textFill>
            <w14:solidFill>
              <w14:schemeClr w14:val="tx1"/>
            </w14:solidFill>
          </w14:textFill>
        </w:rPr>
        <w:t>20</w:t>
      </w:r>
      <w:r>
        <w:rPr>
          <w:rFonts w:hint="eastAsia" w:ascii="Times New Roman" w:hAnsi="Times New Roman" w:eastAsia="仿宋_GB2312"/>
          <w:color w:val="000000" w:themeColor="text1"/>
          <w:sz w:val="32"/>
          <w:szCs w:val="32"/>
          <w:highlight w:val="none"/>
          <w:lang w:val="en-US" w:eastAsia="zh-CN"/>
          <w14:textFill>
            <w14:solidFill>
              <w14:schemeClr w14:val="tx1"/>
            </w14:solidFill>
          </w14:textFill>
        </w:rPr>
        <w:t>25</w:t>
      </w:r>
      <w:r>
        <w:rPr>
          <w:rFonts w:hint="eastAsia" w:ascii="Times New Roman" w:hAnsi="Times New Roman" w:eastAsia="仿宋_GB2312"/>
          <w:color w:val="000000" w:themeColor="text1"/>
          <w:sz w:val="32"/>
          <w:szCs w:val="32"/>
          <w:highlight w:val="none"/>
          <w14:textFill>
            <w14:solidFill>
              <w14:schemeClr w14:val="tx1"/>
            </w14:solidFill>
          </w14:textFill>
        </w:rPr>
        <w:t>〕</w:t>
      </w:r>
      <w:r>
        <w:rPr>
          <w:rFonts w:hint="eastAsia" w:ascii="Times New Roman" w:hAnsi="Times New Roman" w:eastAsia="仿宋_GB2312"/>
          <w:color w:val="000000" w:themeColor="text1"/>
          <w:sz w:val="32"/>
          <w:highlight w:val="none"/>
          <w:lang w:val="en-US" w:eastAsia="zh-CN"/>
          <w14:textFill>
            <w14:solidFill>
              <w14:schemeClr w14:val="tx1"/>
            </w14:solidFill>
          </w14:textFill>
        </w:rPr>
        <w:t>34</w:t>
      </w:r>
      <w:r>
        <w:rPr>
          <w:rFonts w:ascii="Times New Roman" w:hAnsi="Times New Roman" w:eastAsia="仿宋_GB2312"/>
          <w:color w:val="000000" w:themeColor="text1"/>
          <w:sz w:val="32"/>
          <w:highlight w:val="none"/>
          <w14:textFill>
            <w14:solidFill>
              <w14:schemeClr w14:val="tx1"/>
            </w14:solidFill>
          </w14:textFill>
        </w:rPr>
        <w:t>号</w:t>
      </w:r>
    </w:p>
    <w:p>
      <w:pPr>
        <w:jc w:val="center"/>
        <w:rPr>
          <w:rFonts w:ascii="Times New Roman" w:hAnsi="Times New Roman" w:cs="Times New Roman" w:eastAsiaTheme="majorEastAsia"/>
          <w:color w:val="000000" w:themeColor="text1"/>
          <w:sz w:val="44"/>
          <w:szCs w:val="44"/>
          <w:highlight w:val="none"/>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ascii="Times New Roman" w:hAnsi="Times New Roman" w:eastAsia="仿宋_GB2312" w:cs="Times New Roman"/>
          <w:color w:val="000000" w:themeColor="text1"/>
          <w:sz w:val="32"/>
          <w:szCs w:val="32"/>
          <w:highlight w:val="none"/>
          <w14:textFill>
            <w14:solidFill>
              <w14:schemeClr w14:val="tx1"/>
            </w14:solidFill>
          </w14:textFill>
        </w:rPr>
      </w:pPr>
      <w:r>
        <w:rPr>
          <w:rFonts w:ascii="Times New Roman" w:hAnsi="Times New Roman" w:eastAsia="仿宋_GB2312" w:cs="Times New Roman"/>
          <w:color w:val="000000" w:themeColor="text1"/>
          <w:sz w:val="32"/>
          <w:szCs w:val="32"/>
          <w:highlight w:val="none"/>
          <w14:textFill>
            <w14:solidFill>
              <w14:schemeClr w14:val="tx1"/>
            </w14:solidFill>
          </w14:textFill>
        </w:rPr>
        <w:t>各相关镇街</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、区直有关部门</w:t>
      </w:r>
      <w:r>
        <w:rPr>
          <w:rFonts w:ascii="Times New Roman" w:hAnsi="Times New Roman" w:eastAsia="仿宋_GB2312"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ascii="Times New Roman" w:hAnsi="Times New Roman" w:eastAsia="仿宋_GB2312" w:cs="Times New Roman"/>
          <w:color w:val="000000" w:themeColor="text1"/>
          <w:sz w:val="32"/>
          <w:szCs w:val="32"/>
          <w:highlight w:val="none"/>
          <w14:textFill>
            <w14:solidFill>
              <w14:schemeClr w14:val="tx1"/>
            </w14:solidFill>
          </w14:textFill>
        </w:rPr>
      </w:pPr>
      <w:r>
        <w:rPr>
          <w:rFonts w:ascii="Times New Roman" w:hAnsi="Times New Roman" w:eastAsia="仿宋_GB2312" w:cs="Times New Roman"/>
          <w:color w:val="000000" w:themeColor="text1"/>
          <w:sz w:val="32"/>
          <w:szCs w:val="32"/>
          <w:highlight w:val="none"/>
          <w14:textFill>
            <w14:solidFill>
              <w14:schemeClr w14:val="tx1"/>
            </w14:solidFill>
          </w14:textFill>
        </w:rPr>
        <w:t>为健全农业水价形成机制，规范灌溉水费征收、使用和管理，根据</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关于全面推行农业用水计量水价有关事项的通知</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鲁发改价格〔2022〕909号</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关于完善农业用水超定额累进加价制度的通知</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》（鲁发改价格〔202</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5</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887</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号）、《关于深入开展“十四五”时期农业水价综合改革工作的通知》（威水农发</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〔20</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22</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1</w:t>
      </w:r>
      <w:r>
        <w:rPr>
          <w:rFonts w:ascii="Times New Roman" w:hAnsi="Times New Roman" w:eastAsia="仿宋_GB2312" w:cs="Times New Roman"/>
          <w:color w:val="000000" w:themeColor="text1"/>
          <w:sz w:val="32"/>
          <w:szCs w:val="32"/>
          <w:highlight w:val="none"/>
          <w14:textFill>
            <w14:solidFill>
              <w14:schemeClr w14:val="tx1"/>
            </w14:solidFill>
          </w14:textFill>
        </w:rPr>
        <w:t>号</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）要求，</w:t>
      </w:r>
      <w:r>
        <w:rPr>
          <w:rFonts w:ascii="Times New Roman" w:hAnsi="Times New Roman" w:eastAsia="仿宋_GB2312" w:cs="Times New Roman"/>
          <w:color w:val="000000" w:themeColor="text1"/>
          <w:sz w:val="32"/>
          <w:szCs w:val="32"/>
          <w:highlight w:val="none"/>
          <w14:textFill>
            <w14:solidFill>
              <w14:schemeClr w14:val="tx1"/>
            </w14:solidFill>
          </w14:textFill>
        </w:rPr>
        <w:t>在农业水价综合改革项目区实行农业终端水价，</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现将有关事项通知如下</w:t>
      </w:r>
      <w:r>
        <w:rPr>
          <w:rFonts w:ascii="Times New Roman" w:hAnsi="Times New Roman" w:eastAsia="仿宋_GB2312"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ascii="Times New Roman" w:hAnsi="Times New Roman" w:eastAsia="黑体" w:cs="Times New Roman"/>
          <w:color w:val="000000" w:themeColor="text1"/>
          <w:sz w:val="32"/>
          <w:szCs w:val="32"/>
          <w:highlight w:val="none"/>
          <w14:textFill>
            <w14:solidFill>
              <w14:schemeClr w14:val="tx1"/>
            </w14:solidFill>
          </w14:textFill>
        </w:rPr>
      </w:pPr>
      <w:r>
        <w:rPr>
          <w:rFonts w:ascii="Times New Roman" w:hAnsi="Times New Roman" w:eastAsia="黑体" w:cs="Times New Roman"/>
          <w:color w:val="000000" w:themeColor="text1"/>
          <w:sz w:val="32"/>
          <w:szCs w:val="32"/>
          <w:highlight w:val="none"/>
          <w14:textFill>
            <w14:solidFill>
              <w14:schemeClr w14:val="tx1"/>
            </w14:solidFill>
          </w14:textFill>
        </w:rPr>
        <w:t>一、基本水价</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Times New Roman"/>
          <w:color w:val="000000" w:themeColor="text1"/>
          <w:sz w:val="32"/>
          <w:szCs w:val="32"/>
          <w:highlight w:val="none"/>
          <w14:textFill>
            <w14:solidFill>
              <w14:schemeClr w14:val="tx1"/>
            </w14:solidFill>
          </w14:textFill>
        </w:rPr>
      </w:pPr>
      <w:r>
        <w:rPr>
          <w:rFonts w:ascii="Times New Roman" w:hAnsi="Times New Roman" w:eastAsia="楷体_GB2312" w:cs="Times New Roman"/>
          <w:color w:val="000000" w:themeColor="text1"/>
          <w:sz w:val="32"/>
          <w:szCs w:val="32"/>
          <w:highlight w:val="none"/>
          <w14:textFill>
            <w14:solidFill>
              <w14:schemeClr w14:val="tx1"/>
            </w14:solidFill>
          </w14:textFill>
        </w:rPr>
        <w:t>1、定价原则：</w:t>
      </w:r>
      <w:r>
        <w:rPr>
          <w:rFonts w:ascii="Times New Roman" w:hAnsi="Times New Roman" w:eastAsia="仿宋_GB2312" w:cs="Times New Roman"/>
          <w:color w:val="000000" w:themeColor="text1"/>
          <w:sz w:val="32"/>
          <w:szCs w:val="32"/>
          <w:highlight w:val="none"/>
          <w14:textFill>
            <w14:solidFill>
              <w14:schemeClr w14:val="tx1"/>
            </w14:solidFill>
          </w14:textFill>
        </w:rPr>
        <w:t>农业水价按照“保障运行、促进节水、减轻负担”的原则，经</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发改</w:t>
      </w:r>
      <w:r>
        <w:rPr>
          <w:rFonts w:ascii="Times New Roman" w:hAnsi="Times New Roman" w:eastAsia="仿宋_GB2312" w:cs="Times New Roman"/>
          <w:color w:val="000000" w:themeColor="text1"/>
          <w:sz w:val="32"/>
          <w:szCs w:val="32"/>
          <w:highlight w:val="none"/>
          <w14:textFill>
            <w14:solidFill>
              <w14:schemeClr w14:val="tx1"/>
            </w14:solidFill>
          </w14:textFill>
        </w:rPr>
        <w:t>、水利部门会同合作社等管水组织对改革项目区农业终端水价进行成本测算，决定实行计量收费，执行农业用水终端水价制度。</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Times New Roman"/>
          <w:color w:val="000000" w:themeColor="text1"/>
          <w:sz w:val="32"/>
          <w:szCs w:val="32"/>
          <w:highlight w:val="none"/>
          <w14:textFill>
            <w14:solidFill>
              <w14:schemeClr w14:val="tx1"/>
            </w14:solidFill>
          </w14:textFill>
        </w:rPr>
      </w:pPr>
      <w:r>
        <w:rPr>
          <w:rFonts w:ascii="Times New Roman" w:hAnsi="Times New Roman" w:eastAsia="楷体_GB2312" w:cs="Times New Roman"/>
          <w:color w:val="000000" w:themeColor="text1"/>
          <w:sz w:val="32"/>
          <w:szCs w:val="32"/>
          <w:highlight w:val="none"/>
          <w14:textFill>
            <w14:solidFill>
              <w14:schemeClr w14:val="tx1"/>
            </w14:solidFill>
          </w14:textFill>
        </w:rPr>
        <w:t>2、成本价格：</w:t>
      </w:r>
      <w:r>
        <w:rPr>
          <w:rFonts w:ascii="Times New Roman" w:hAnsi="Times New Roman" w:eastAsia="仿宋_GB2312" w:cs="Times New Roman"/>
          <w:color w:val="000000" w:themeColor="text1"/>
          <w:sz w:val="32"/>
          <w:szCs w:val="32"/>
          <w:highlight w:val="none"/>
          <w14:textFill>
            <w14:solidFill>
              <w14:schemeClr w14:val="tx1"/>
            </w14:solidFill>
          </w14:textFill>
        </w:rPr>
        <w:t>选取典型项目区进行水价测算。自</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流</w:t>
      </w:r>
      <w:r>
        <w:rPr>
          <w:rFonts w:ascii="Times New Roman" w:hAnsi="Times New Roman" w:eastAsia="仿宋_GB2312" w:cs="Times New Roman"/>
          <w:color w:val="000000" w:themeColor="text1"/>
          <w:sz w:val="32"/>
          <w:szCs w:val="32"/>
          <w:highlight w:val="none"/>
          <w14:textFill>
            <w14:solidFill>
              <w14:schemeClr w14:val="tx1"/>
            </w14:solidFill>
          </w14:textFill>
        </w:rPr>
        <w:t>灌区全成本水价0.59元/m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，运行维护成本水价0.25元/m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；提水灌区全成本水价0.97元/m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，运行维护成本水价0.60元/m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color w:val="000000" w:themeColor="text1"/>
          <w:sz w:val="32"/>
          <w:szCs w:val="32"/>
          <w:highlight w:val="none"/>
          <w14:textFill>
            <w14:solidFill>
              <w14:schemeClr w14:val="tx1"/>
            </w14:solidFill>
          </w14:textFill>
        </w:rPr>
      </w:pPr>
      <w:r>
        <w:rPr>
          <w:rFonts w:ascii="Times New Roman" w:hAnsi="Times New Roman" w:eastAsia="楷体_GB2312" w:cs="Times New Roman"/>
          <w:color w:val="000000" w:themeColor="text1"/>
          <w:sz w:val="32"/>
          <w:szCs w:val="32"/>
          <w:highlight w:val="none"/>
          <w14:textFill>
            <w14:solidFill>
              <w14:schemeClr w14:val="tx1"/>
            </w14:solidFill>
          </w14:textFill>
        </w:rPr>
        <w:t>3、执行价格：</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粮食作物用水价格</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应达到供水工程运行维护成本水平</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ascii="Times New Roman" w:hAnsi="Times New Roman" w:eastAsia="仿宋_GB2312" w:cs="Times New Roman"/>
          <w:color w:val="000000" w:themeColor="text1"/>
          <w:sz w:val="32"/>
          <w:szCs w:val="32"/>
          <w:highlight w:val="none"/>
          <w14:textFill>
            <w14:solidFill>
              <w14:schemeClr w14:val="tx1"/>
            </w14:solidFill>
          </w14:textFill>
        </w:rPr>
        <w:t>自</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流</w:t>
      </w:r>
      <w:r>
        <w:rPr>
          <w:rFonts w:ascii="Times New Roman" w:hAnsi="Times New Roman" w:eastAsia="仿宋_GB2312" w:cs="Times New Roman"/>
          <w:color w:val="000000" w:themeColor="text1"/>
          <w:sz w:val="32"/>
          <w:szCs w:val="32"/>
          <w:highlight w:val="none"/>
          <w14:textFill>
            <w14:solidFill>
              <w14:schemeClr w14:val="tx1"/>
            </w14:solidFill>
          </w14:textFill>
        </w:rPr>
        <w:t>灌区为0.25元/m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ascii="Times New Roman" w:hAnsi="Times New Roman" w:eastAsia="仿宋_GB2312" w:cs="Times New Roman"/>
          <w:color w:val="000000" w:themeColor="text1"/>
          <w:sz w:val="32"/>
          <w:szCs w:val="32"/>
          <w:highlight w:val="none"/>
          <w14:textFill>
            <w14:solidFill>
              <w14:schemeClr w14:val="tx1"/>
            </w14:solidFill>
          </w14:textFill>
        </w:rPr>
        <w:t>提水灌区为0.6元/m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，经济作物用水价格要达到全成本水平，</w:t>
      </w:r>
      <w:r>
        <w:rPr>
          <w:rFonts w:ascii="Times New Roman" w:hAnsi="Times New Roman" w:eastAsia="仿宋_GB2312" w:cs="Times New Roman"/>
          <w:color w:val="000000" w:themeColor="text1"/>
          <w:sz w:val="32"/>
          <w:szCs w:val="32"/>
          <w:highlight w:val="none"/>
          <w14:textFill>
            <w14:solidFill>
              <w14:schemeClr w14:val="tx1"/>
            </w14:solidFill>
          </w14:textFill>
        </w:rPr>
        <w:t>自</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流</w:t>
      </w:r>
      <w:r>
        <w:rPr>
          <w:rFonts w:ascii="Times New Roman" w:hAnsi="Times New Roman" w:eastAsia="仿宋_GB2312" w:cs="Times New Roman"/>
          <w:color w:val="000000" w:themeColor="text1"/>
          <w:sz w:val="32"/>
          <w:szCs w:val="32"/>
          <w:highlight w:val="none"/>
          <w14:textFill>
            <w14:solidFill>
              <w14:schemeClr w14:val="tx1"/>
            </w14:solidFill>
          </w14:textFill>
        </w:rPr>
        <w:t>灌区为</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0.59</w:t>
      </w:r>
      <w:r>
        <w:rPr>
          <w:rFonts w:ascii="Times New Roman" w:hAnsi="Times New Roman" w:eastAsia="仿宋_GB2312" w:cs="Times New Roman"/>
          <w:color w:val="000000" w:themeColor="text1"/>
          <w:sz w:val="32"/>
          <w:szCs w:val="32"/>
          <w:highlight w:val="none"/>
          <w14:textFill>
            <w14:solidFill>
              <w14:schemeClr w14:val="tx1"/>
            </w14:solidFill>
          </w14:textFill>
        </w:rPr>
        <w:t>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ascii="Times New Roman" w:hAnsi="Times New Roman" w:eastAsia="仿宋_GB2312" w:cs="Times New Roman"/>
          <w:color w:val="000000" w:themeColor="text1"/>
          <w:sz w:val="32"/>
          <w:szCs w:val="32"/>
          <w:highlight w:val="none"/>
          <w14:textFill>
            <w14:solidFill>
              <w14:schemeClr w14:val="tx1"/>
            </w14:solidFill>
          </w14:textFill>
        </w:rPr>
        <w:t>提水灌区为0.</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97</w:t>
      </w:r>
      <w:r>
        <w:rPr>
          <w:rFonts w:ascii="Times New Roman" w:hAnsi="Times New Roman" w:eastAsia="仿宋_GB2312" w:cs="Times New Roman"/>
          <w:color w:val="000000" w:themeColor="text1"/>
          <w:sz w:val="32"/>
          <w:szCs w:val="32"/>
          <w:highlight w:val="none"/>
          <w14:textFill>
            <w14:solidFill>
              <w14:schemeClr w14:val="tx1"/>
            </w14:solidFill>
          </w14:textFill>
        </w:rPr>
        <w:t>元/m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；具体执行水价</w:t>
      </w:r>
      <w:r>
        <w:rPr>
          <w:rFonts w:ascii="Times New Roman" w:hAnsi="Times New Roman" w:eastAsia="仿宋_GB2312" w:cs="Times New Roman"/>
          <w:color w:val="000000" w:themeColor="text1"/>
          <w:sz w:val="32"/>
          <w:szCs w:val="32"/>
          <w:highlight w:val="none"/>
          <w14:textFill>
            <w14:solidFill>
              <w14:schemeClr w14:val="tx1"/>
            </w14:solidFill>
          </w14:textFill>
        </w:rPr>
        <w:t>由各管水组织与用水户协商制定</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，上浮不超过</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20%。</w:t>
      </w:r>
    </w:p>
    <w:p>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ascii="Times New Roman" w:hAnsi="Times New Roman" w:eastAsia="黑体" w:cs="Times New Roman"/>
          <w:color w:val="000000" w:themeColor="text1"/>
          <w:sz w:val="32"/>
          <w:szCs w:val="32"/>
          <w:highlight w:val="none"/>
          <w14:textFill>
            <w14:solidFill>
              <w14:schemeClr w14:val="tx1"/>
            </w14:solidFill>
          </w14:textFill>
        </w:rPr>
      </w:pPr>
      <w:r>
        <w:rPr>
          <w:rFonts w:hint="eastAsia" w:ascii="Times New Roman" w:hAnsi="Times New Roman" w:eastAsia="黑体" w:cs="Times New Roman"/>
          <w:color w:val="000000" w:themeColor="text1"/>
          <w:sz w:val="32"/>
          <w:szCs w:val="32"/>
          <w:highlight w:val="none"/>
          <w:lang w:val="en-US" w:eastAsia="zh-CN"/>
          <w14:textFill>
            <w14:solidFill>
              <w14:schemeClr w14:val="tx1"/>
            </w14:solidFill>
          </w14:textFill>
        </w:rPr>
        <w:t>二</w:t>
      </w:r>
      <w:r>
        <w:rPr>
          <w:rFonts w:ascii="Times New Roman" w:hAnsi="Times New Roman" w:eastAsia="黑体" w:cs="Times New Roman"/>
          <w:color w:val="000000" w:themeColor="text1"/>
          <w:sz w:val="32"/>
          <w:szCs w:val="32"/>
          <w:highlight w:val="none"/>
          <w14:textFill>
            <w14:solidFill>
              <w14:schemeClr w14:val="tx1"/>
            </w14:solidFill>
          </w14:textFill>
        </w:rPr>
        <w:t>、超定额累进加价</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Times New Roman"/>
          <w:color w:val="000000" w:themeColor="text1"/>
          <w:sz w:val="32"/>
          <w:szCs w:val="32"/>
          <w:highlight w:val="none"/>
          <w14:textFill>
            <w14:solidFill>
              <w14:schemeClr w14:val="tx1"/>
            </w14:solidFill>
          </w14:textFill>
        </w:rPr>
      </w:pPr>
      <w:r>
        <w:rPr>
          <w:rFonts w:ascii="Times New Roman" w:hAnsi="Times New Roman" w:eastAsia="仿宋_GB2312" w:cs="Times New Roman"/>
          <w:color w:val="000000" w:themeColor="text1"/>
          <w:sz w:val="32"/>
          <w:szCs w:val="32"/>
          <w:highlight w:val="none"/>
          <w14:textFill>
            <w14:solidFill>
              <w14:schemeClr w14:val="tx1"/>
            </w14:solidFill>
          </w14:textFill>
        </w:rPr>
        <w:t>依据《山东省水资源综合规划》、《</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山东省农业用水定额</w:t>
      </w:r>
      <w:r>
        <w:rPr>
          <w:rFonts w:ascii="Times New Roman" w:hAnsi="Times New Roman" w:eastAsia="仿宋_GB2312" w:cs="Times New Roman"/>
          <w:color w:val="000000" w:themeColor="text1"/>
          <w:sz w:val="32"/>
          <w:szCs w:val="32"/>
          <w:highlight w:val="none"/>
          <w14:textFill>
            <w14:solidFill>
              <w14:schemeClr w14:val="tx1"/>
            </w14:solidFill>
          </w14:textFill>
        </w:rPr>
        <w:t>（DB37/T</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 xml:space="preserve"> 3772</w:t>
      </w:r>
      <w:r>
        <w:rPr>
          <w:rFonts w:ascii="Times New Roman" w:hAnsi="Times New Roman" w:eastAsia="仿宋_GB2312" w:cs="Times New Roman"/>
          <w:color w:val="000000" w:themeColor="text1"/>
          <w:sz w:val="32"/>
          <w:szCs w:val="32"/>
          <w:highlight w:val="none"/>
          <w14:textFill>
            <w14:solidFill>
              <w14:schemeClr w14:val="tx1"/>
            </w14:solidFill>
          </w14:textFill>
        </w:rPr>
        <w:t>-201</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9</w:t>
      </w:r>
      <w:r>
        <w:rPr>
          <w:rFonts w:ascii="Times New Roman" w:hAnsi="Times New Roman" w:eastAsia="仿宋_GB2312" w:cs="Times New Roman"/>
          <w:color w:val="000000" w:themeColor="text1"/>
          <w:sz w:val="32"/>
          <w:szCs w:val="32"/>
          <w:highlight w:val="none"/>
          <w14:textFill>
            <w14:solidFill>
              <w14:schemeClr w14:val="tx1"/>
            </w14:solidFill>
          </w14:textFill>
        </w:rPr>
        <w:t>）》等</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文件规定</w:t>
      </w:r>
      <w:r>
        <w:rPr>
          <w:rFonts w:ascii="Times New Roman" w:hAnsi="Times New Roman" w:eastAsia="仿宋_GB2312" w:cs="Times New Roman"/>
          <w:color w:val="000000" w:themeColor="text1"/>
          <w:sz w:val="32"/>
          <w:szCs w:val="32"/>
          <w:highlight w:val="none"/>
          <w14:textFill>
            <w14:solidFill>
              <w14:schemeClr w14:val="tx1"/>
            </w14:solidFill>
          </w14:textFill>
        </w:rPr>
        <w:t>，统一确定全区农田灌溉定额。种植种类按小麦+花生套种核定为</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153</w:t>
      </w:r>
      <w:r>
        <w:rPr>
          <w:rFonts w:ascii="Times New Roman" w:hAnsi="Times New Roman" w:eastAsia="仿宋_GB2312" w:cs="Times New Roman"/>
          <w:color w:val="000000" w:themeColor="text1"/>
          <w:sz w:val="32"/>
          <w:szCs w:val="32"/>
          <w:highlight w:val="none"/>
          <w14:textFill>
            <w14:solidFill>
              <w14:schemeClr w14:val="tx1"/>
            </w14:solidFill>
          </w14:textFill>
        </w:rPr>
        <w:t>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/亩</w:t>
      </w:r>
      <w:r>
        <w:rPr>
          <w:rFonts w:hint="eastAsia" w:ascii="Times New Roman" w:hAnsi="Times New Roman" w:eastAsia="仿宋_GB2312" w:cs="Times New Roman"/>
          <w:color w:val="000000" w:themeColor="text1"/>
          <w:sz w:val="32"/>
          <w:szCs w:val="32"/>
          <w:highlight w:val="none"/>
          <w14:textFill>
            <w14:solidFill>
              <w14:schemeClr w14:val="tx1"/>
            </w14:solidFill>
          </w14:textFill>
        </w:rPr>
        <w:t>；</w:t>
      </w:r>
      <w:r>
        <w:rPr>
          <w:rFonts w:ascii="Times New Roman" w:hAnsi="Times New Roman" w:eastAsia="仿宋_GB2312" w:cs="Times New Roman"/>
          <w:color w:val="000000" w:themeColor="text1"/>
          <w:sz w:val="32"/>
          <w:szCs w:val="32"/>
          <w:highlight w:val="none"/>
          <w14:textFill>
            <w14:solidFill>
              <w14:schemeClr w14:val="tx1"/>
            </w14:solidFill>
          </w14:textFill>
        </w:rPr>
        <w:t>种植种类按苹果、梨单做核定，分别为</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161</w:t>
      </w:r>
      <w:r>
        <w:rPr>
          <w:rFonts w:ascii="Times New Roman" w:hAnsi="Times New Roman" w:eastAsia="仿宋_GB2312" w:cs="Times New Roman"/>
          <w:color w:val="000000" w:themeColor="text1"/>
          <w:sz w:val="32"/>
          <w:szCs w:val="32"/>
          <w:highlight w:val="none"/>
          <w14:textFill>
            <w14:solidFill>
              <w14:schemeClr w14:val="tx1"/>
            </w14:solidFill>
          </w14:textFill>
        </w:rPr>
        <w:t>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/亩、</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145</w:t>
      </w:r>
      <w:r>
        <w:rPr>
          <w:rFonts w:ascii="Times New Roman" w:hAnsi="Times New Roman" w:eastAsia="仿宋_GB2312" w:cs="Times New Roman"/>
          <w:color w:val="000000" w:themeColor="text1"/>
          <w:sz w:val="32"/>
          <w:szCs w:val="32"/>
          <w:highlight w:val="none"/>
          <w14:textFill>
            <w14:solidFill>
              <w14:schemeClr w14:val="tx1"/>
            </w14:solidFill>
          </w14:textFill>
        </w:rPr>
        <w:t>m</w:t>
      </w:r>
      <w:r>
        <w:rPr>
          <w:rFonts w:ascii="Times New Roman" w:hAnsi="Times New Roman" w:eastAsia="仿宋_GB2312" w:cs="Times New Roman"/>
          <w:color w:val="000000" w:themeColor="text1"/>
          <w:sz w:val="32"/>
          <w:szCs w:val="32"/>
          <w:highlight w:val="none"/>
          <w:vertAlign w:val="superscript"/>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/亩。</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Times New Roman"/>
          <w:color w:val="000000" w:themeColor="text1"/>
          <w:sz w:val="32"/>
          <w:szCs w:val="32"/>
          <w:highlight w:val="none"/>
          <w14:textFill>
            <w14:solidFill>
              <w14:schemeClr w14:val="tx1"/>
            </w14:solidFill>
          </w14:textFill>
        </w:rPr>
      </w:pP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定额内农业用水，按正常水价收取水费；超过</w:t>
      </w:r>
      <w:bookmarkStart w:id="0" w:name="OLE_LINK1"/>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定额50%（含）以内</w:t>
      </w:r>
      <w:bookmarkEnd w:id="0"/>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的水量，按1.5倍水价收取水费；超过定额50%以上的水量，按2倍水价收取水费。农业用水超定额累进加价仅为水价加价，不包含税费和附加。</w:t>
      </w:r>
    </w:p>
    <w:p>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ascii="Times New Roman" w:hAnsi="Times New Roman" w:eastAsia="黑体" w:cs="Times New Roman"/>
          <w:color w:val="000000" w:themeColor="text1"/>
          <w:sz w:val="32"/>
          <w:szCs w:val="32"/>
          <w:highlight w:val="none"/>
          <w14:textFill>
            <w14:solidFill>
              <w14:schemeClr w14:val="tx1"/>
            </w14:solidFill>
          </w14:textFill>
        </w:rPr>
      </w:pPr>
      <w:r>
        <w:rPr>
          <w:rFonts w:hint="eastAsia" w:ascii="Times New Roman" w:hAnsi="Times New Roman" w:eastAsia="黑体" w:cs="Times New Roman"/>
          <w:color w:val="000000" w:themeColor="text1"/>
          <w:sz w:val="32"/>
          <w:szCs w:val="32"/>
          <w:highlight w:val="none"/>
          <w:lang w:val="en-US" w:eastAsia="zh-CN"/>
          <w14:textFill>
            <w14:solidFill>
              <w14:schemeClr w14:val="tx1"/>
            </w14:solidFill>
          </w14:textFill>
        </w:rPr>
        <w:t>三</w:t>
      </w:r>
      <w:r>
        <w:rPr>
          <w:rFonts w:ascii="Times New Roman" w:hAnsi="Times New Roman" w:eastAsia="黑体" w:cs="Times New Roman"/>
          <w:color w:val="000000" w:themeColor="text1"/>
          <w:sz w:val="32"/>
          <w:szCs w:val="32"/>
          <w:highlight w:val="none"/>
          <w14:textFill>
            <w14:solidFill>
              <w14:schemeClr w14:val="tx1"/>
            </w14:solidFill>
          </w14:textFill>
        </w:rPr>
        <w:t>、其它规定</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Times New Roman"/>
          <w:color w:val="000000" w:themeColor="text1"/>
          <w:sz w:val="32"/>
          <w:szCs w:val="32"/>
          <w:highlight w:val="none"/>
          <w14:textFill>
            <w14:solidFill>
              <w14:schemeClr w14:val="tx1"/>
            </w14:solidFill>
          </w14:textFill>
        </w:rPr>
      </w:pPr>
      <w:r>
        <w:rPr>
          <w:rFonts w:ascii="Times New Roman" w:hAnsi="Times New Roman" w:eastAsia="仿宋_GB2312" w:cs="Times New Roman"/>
          <w:color w:val="000000" w:themeColor="text1"/>
          <w:sz w:val="32"/>
          <w:szCs w:val="32"/>
          <w:highlight w:val="none"/>
          <w14:textFill>
            <w14:solidFill>
              <w14:schemeClr w14:val="tx1"/>
            </w14:solidFill>
          </w14:textFill>
        </w:rPr>
        <w:t>1、加强计量水价价格公示制度，要充分利用公示栏等向用水户公示用水量及水价情况，增加农业水价征收的透明度，接受用水户的监督。</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ascii="Times New Roman" w:hAnsi="Times New Roman" w:eastAsia="仿宋_GB2312" w:cs="Times New Roman"/>
          <w:color w:val="000000" w:themeColor="text1"/>
          <w:sz w:val="32"/>
          <w:szCs w:val="32"/>
          <w:highlight w:val="none"/>
          <w14:textFill>
            <w14:solidFill>
              <w14:schemeClr w14:val="tx1"/>
            </w14:solidFill>
          </w14:textFill>
        </w:rPr>
        <w:t>2、</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超定额用水累进加价收入原则上由供水单位收取，并单列会计科目核算。该项收入主要用于农业水价综合改革精准补贴和节水奖励；也可提取一定比例，用于农业灌溉设施维护、计量设施完善、节水技术提升和节水设施改造等。</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3</w:t>
      </w:r>
      <w:r>
        <w:rPr>
          <w:rFonts w:ascii="Times New Roman" w:hAnsi="Times New Roman" w:eastAsia="仿宋_GB2312" w:cs="Times New Roman"/>
          <w:color w:val="000000" w:themeColor="text1"/>
          <w:sz w:val="32"/>
          <w:szCs w:val="32"/>
          <w:highlight w:val="none"/>
          <w14:textFill>
            <w14:solidFill>
              <w14:schemeClr w14:val="tx1"/>
            </w14:solidFill>
          </w14:textFill>
        </w:rPr>
        <w:t>、本通知自</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2026年1月1日</w:t>
      </w:r>
      <w:r>
        <w:rPr>
          <w:rFonts w:ascii="Times New Roman" w:hAnsi="Times New Roman" w:eastAsia="仿宋_GB2312" w:cs="Times New Roman"/>
          <w:color w:val="000000" w:themeColor="text1"/>
          <w:sz w:val="32"/>
          <w:szCs w:val="32"/>
          <w:highlight w:val="none"/>
          <w14:textFill>
            <w14:solidFill>
              <w14:schemeClr w14:val="tx1"/>
            </w14:solidFill>
          </w14:textFill>
        </w:rPr>
        <w:t>起</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施行。在施行过程中，如上级出台其他新文件或规定，按上级文件和规定执行。</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威海市环翠区发展和改革局 威海市环翠区水利局</w:t>
      </w:r>
    </w:p>
    <w:p>
      <w:pPr>
        <w:keepNext w:val="0"/>
        <w:keepLines w:val="0"/>
        <w:pageBreakBefore w:val="0"/>
        <w:widowControl w:val="0"/>
        <w:kinsoku/>
        <w:wordWrap/>
        <w:overflowPunct/>
        <w:topLinePunct w:val="0"/>
        <w:autoSpaceDE/>
        <w:autoSpaceDN/>
        <w:bidi w:val="0"/>
        <w:adjustRightInd/>
        <w:snapToGrid/>
        <w:spacing w:line="540" w:lineRule="exact"/>
        <w:ind w:firstLine="5760" w:firstLineChars="1800"/>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 xml:space="preserve">2025年12月30日  </w:t>
      </w:r>
      <w:bookmarkStart w:id="1" w:name="_GoBack"/>
      <w:bookmarkEnd w:id="1"/>
    </w:p>
    <w:sectPr>
      <w:pgSz w:w="11906" w:h="16838"/>
      <w:pgMar w:top="1417" w:right="1701" w:bottom="1417"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简小标宋">
    <w:altName w:val="宋体"/>
    <w:panose1 w:val="02010609000101010101"/>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6BE6"/>
    <w:rsid w:val="00041C37"/>
    <w:rsid w:val="00055F3A"/>
    <w:rsid w:val="000F7896"/>
    <w:rsid w:val="001148CA"/>
    <w:rsid w:val="001257DE"/>
    <w:rsid w:val="00186034"/>
    <w:rsid w:val="00193440"/>
    <w:rsid w:val="001D2B5C"/>
    <w:rsid w:val="002A48C9"/>
    <w:rsid w:val="00344D01"/>
    <w:rsid w:val="00352E71"/>
    <w:rsid w:val="00384470"/>
    <w:rsid w:val="003F34F8"/>
    <w:rsid w:val="00454FBD"/>
    <w:rsid w:val="004B55B1"/>
    <w:rsid w:val="004D5A3B"/>
    <w:rsid w:val="00506BE6"/>
    <w:rsid w:val="00522A86"/>
    <w:rsid w:val="00543C13"/>
    <w:rsid w:val="00581130"/>
    <w:rsid w:val="005B54AF"/>
    <w:rsid w:val="005F1D75"/>
    <w:rsid w:val="00642BB8"/>
    <w:rsid w:val="00680C8A"/>
    <w:rsid w:val="0074073C"/>
    <w:rsid w:val="0082091A"/>
    <w:rsid w:val="00852917"/>
    <w:rsid w:val="00853406"/>
    <w:rsid w:val="009D7A37"/>
    <w:rsid w:val="009E772C"/>
    <w:rsid w:val="00A151BE"/>
    <w:rsid w:val="00A26839"/>
    <w:rsid w:val="00A446E2"/>
    <w:rsid w:val="00A90768"/>
    <w:rsid w:val="00A93518"/>
    <w:rsid w:val="00A97CA7"/>
    <w:rsid w:val="00AB634F"/>
    <w:rsid w:val="00AE59CF"/>
    <w:rsid w:val="00B306B9"/>
    <w:rsid w:val="00B47A29"/>
    <w:rsid w:val="00BB0E90"/>
    <w:rsid w:val="00C219B6"/>
    <w:rsid w:val="00C515C0"/>
    <w:rsid w:val="00CC6701"/>
    <w:rsid w:val="00CF56A2"/>
    <w:rsid w:val="00D03AFA"/>
    <w:rsid w:val="00D150BD"/>
    <w:rsid w:val="00D32E04"/>
    <w:rsid w:val="00E04E00"/>
    <w:rsid w:val="00FE1DF2"/>
    <w:rsid w:val="00FE27D3"/>
    <w:rsid w:val="00FE4DE2"/>
    <w:rsid w:val="023A7079"/>
    <w:rsid w:val="054345A5"/>
    <w:rsid w:val="07BE731A"/>
    <w:rsid w:val="09D94B18"/>
    <w:rsid w:val="0A8235E4"/>
    <w:rsid w:val="0BA41E19"/>
    <w:rsid w:val="0C6F5ED0"/>
    <w:rsid w:val="0CF30D83"/>
    <w:rsid w:val="11C40045"/>
    <w:rsid w:val="12DF383C"/>
    <w:rsid w:val="14FC3F92"/>
    <w:rsid w:val="15997834"/>
    <w:rsid w:val="161261DB"/>
    <w:rsid w:val="230939B0"/>
    <w:rsid w:val="236146BC"/>
    <w:rsid w:val="23F72A7D"/>
    <w:rsid w:val="26195506"/>
    <w:rsid w:val="27504C1F"/>
    <w:rsid w:val="28F75364"/>
    <w:rsid w:val="2B6B2F3B"/>
    <w:rsid w:val="2B78320D"/>
    <w:rsid w:val="34026F96"/>
    <w:rsid w:val="35E97B9E"/>
    <w:rsid w:val="37B532DD"/>
    <w:rsid w:val="3C635FFD"/>
    <w:rsid w:val="3C827D1B"/>
    <w:rsid w:val="3CE15AFC"/>
    <w:rsid w:val="40B00922"/>
    <w:rsid w:val="41E245EA"/>
    <w:rsid w:val="44130012"/>
    <w:rsid w:val="46736AAA"/>
    <w:rsid w:val="473A797D"/>
    <w:rsid w:val="491E42FF"/>
    <w:rsid w:val="493E6CC6"/>
    <w:rsid w:val="49635A75"/>
    <w:rsid w:val="4D4E003D"/>
    <w:rsid w:val="4E4A532D"/>
    <w:rsid w:val="4FB404DA"/>
    <w:rsid w:val="542A21A3"/>
    <w:rsid w:val="556B6660"/>
    <w:rsid w:val="5844390F"/>
    <w:rsid w:val="5A092F04"/>
    <w:rsid w:val="5A972D16"/>
    <w:rsid w:val="5B441473"/>
    <w:rsid w:val="5B7D6C7E"/>
    <w:rsid w:val="5BE43902"/>
    <w:rsid w:val="5CF95ACD"/>
    <w:rsid w:val="5E325BBF"/>
    <w:rsid w:val="614F09EE"/>
    <w:rsid w:val="619725DE"/>
    <w:rsid w:val="687B1DB5"/>
    <w:rsid w:val="6DB5069C"/>
    <w:rsid w:val="6F4B6B24"/>
    <w:rsid w:val="6FCA4C3C"/>
    <w:rsid w:val="700A0B5C"/>
    <w:rsid w:val="70FA43CE"/>
    <w:rsid w:val="72355467"/>
    <w:rsid w:val="724F0F35"/>
    <w:rsid w:val="77A214A8"/>
    <w:rsid w:val="7A610EEE"/>
    <w:rsid w:val="7D255C0F"/>
    <w:rsid w:val="7FD475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qFormat/>
    <w:uiPriority w:val="0"/>
    <w:pPr>
      <w:adjustRightInd w:val="0"/>
      <w:spacing w:line="312" w:lineRule="atLeast"/>
    </w:pPr>
    <w:rPr>
      <w:rFonts w:hint="eastAsia" w:ascii="宋体" w:hAnsi="Courier New"/>
      <w:kern w:val="0"/>
      <w:szCs w:val="20"/>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5"/>
    <w:link w:val="4"/>
    <w:qFormat/>
    <w:uiPriority w:val="0"/>
    <w:rPr>
      <w:kern w:val="2"/>
      <w:sz w:val="18"/>
      <w:szCs w:val="18"/>
    </w:rPr>
  </w:style>
  <w:style w:type="character" w:customStyle="1" w:styleId="8">
    <w:name w:val="页脚 Char"/>
    <w:basedOn w:val="5"/>
    <w:link w:val="3"/>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EA3D5B-FCEC-4933-A9F6-9FF9F4692703}">
  <ds:schemaRefs/>
</ds:datastoreItem>
</file>

<file path=docProps/app.xml><?xml version="1.0" encoding="utf-8"?>
<Properties xmlns="http://schemas.openxmlformats.org/officeDocument/2006/extended-properties" xmlns:vt="http://schemas.openxmlformats.org/officeDocument/2006/docPropsVTypes">
  <Template>Normal</Template>
  <Pages>3</Pages>
  <Words>967</Words>
  <Characters>1088</Characters>
  <Lines>7</Lines>
  <Paragraphs>2</Paragraphs>
  <TotalTime>0</TotalTime>
  <ScaleCrop>false</ScaleCrop>
  <LinksUpToDate>false</LinksUpToDate>
  <CharactersWithSpaces>1163</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2019-01-03T07:45:00Z</dcterms:created>
  <dc:creator>Administrator</dc:creator>
  <cp:lastModifiedBy>Administrator</cp:lastModifiedBy>
  <cp:lastPrinted>2025-12-30T07:02:00Z</cp:lastPrinted>
  <dcterms:modified xsi:type="dcterms:W3CDTF">2026-02-04T09:19:21Z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KSOTemplateDocerSaveRecord">
    <vt:lpwstr>eyJoZGlkIjoiYWJlNjdiOTU1NWQ0NWYyNTZjMDVlMGNhNmZmZWJjMjciLCJ1c2VySWQiOiIxMTMyMjczMjIxIn0=</vt:lpwstr>
  </property>
  <property fmtid="{D5CDD505-2E9C-101B-9397-08002B2CF9AE}" pid="4" name="ICV">
    <vt:lpwstr>38F348A245044E879EB422C7B844463E_13</vt:lpwstr>
  </property>
</Properties>
</file>