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ind w:left="0" w:firstLine="420"/>
        <w:jc w:val="center"/>
        <w:rPr>
          <w:rFonts w:hint="eastAsia" w:ascii="仿宋_GB2312" w:hAnsi="仿宋_GB2312" w:eastAsia="仿宋_GB2312" w:cs="仿宋_GB2312"/>
        </w:rPr>
      </w:pPr>
      <w:bookmarkStart w:id="0" w:name="_GoBack"/>
      <w:r>
        <w:rPr>
          <w:rFonts w:hint="eastAsia" w:ascii="文星简小标宋" w:hAnsi="文星简小标宋" w:eastAsia="文星简小标宋" w:cs="文星简小标宋"/>
          <w:sz w:val="44"/>
          <w:szCs w:val="44"/>
        </w:rPr>
        <w:t>威海市环翠区卫生健康局2022年政府信息公开工作年度报告</w:t>
      </w:r>
    </w:p>
    <w:bookmarkEnd w:id="0"/>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根据新修订的《中华人民共和国政府信息公开条例》，现公布威海市环翠区卫生健康局2022年政府信息公开工作年度报告。</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本报告中所列数据的统计期限自2022年1月1日起至2022年12月31日止。本报告的电子版可在威海市环翠区人民政府门户网站（http://www.huancui.gov.cn/col/col82465/index.html）下载。 如对本报告有疑问，请与威海市环翠区环翠区卫生健康局办公室联系（地址：山东省威海市环翠区鲸园街道海港路76号卫生健康局；邮编264200；电话：0631-5322030）。</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一、总体情况</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2022年，环翠区卫生健康局认真贯彻落实《中华人民共和国政府信息公开条例》等文件有关文件精神，为确保政府信息公开工作的顺利实施和工作任务的圆满完成，明确了办公室为牵头负责科室，各业务科室密切配合，明确公开重点，以满足公众对政府信息的需求为导向，健全完善政府信息公开审查制度、公开审批制度、保密工作制度等，不断促进信息公开工作向制度化、规范化发展。同时，落实专人定期发布和更新信息，重点公开了工作动态等群众普遍关心、社会普遍关注的内容，切实保障了公众的知情权、参与权和监督权。还积极组织相关工作人员参加各种学习培训活动，不断提升工作人员政府信息公开工作的能力和水平。</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1.主动公开政府信息情况。</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进一步深化政府信息公开内容，公开机构职能、政策文件、规划计划、财政预决算、医疗卫生、建议提案、业务动态等相关内容。2022年，通过环翠区政务网政府信息公开平台主动公开政府信息628条，同比增长140%；累计通过微信公众号主动公开信息564条。发布了《环翠区关于促进3岁以下婴幼儿照护服务发展的实施方案》政策解读。</w:t>
      </w:r>
    </w:p>
    <w:p>
      <w:pPr>
        <w:pStyle w:val="3"/>
        <w:keepNext w:val="0"/>
        <w:keepLines w:val="0"/>
        <w:widowControl/>
        <w:suppressLineNumbers w:val="0"/>
        <w:ind w:left="0" w:firstLine="420"/>
        <w:jc w:val="center"/>
        <w:rPr>
          <w:rFonts w:hint="eastAsia" w:ascii="仿宋_GB2312" w:hAnsi="仿宋_GB2312" w:eastAsia="仿宋_GB2312" w:cs="仿宋_GB2312"/>
        </w:rPr>
      </w:pPr>
      <w:r>
        <w:rPr>
          <w:rFonts w:hint="eastAsia" w:ascii="仿宋_GB2312" w:hAnsi="仿宋_GB2312" w:eastAsia="仿宋_GB2312" w:cs="仿宋_GB2312"/>
        </w:rPr>
        <w:drawing>
          <wp:inline distT="0" distB="0" distL="114300" distR="114300">
            <wp:extent cx="3638550" cy="2276475"/>
            <wp:effectExtent l="0" t="0" r="0" b="9525"/>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4"/>
                    <a:stretch>
                      <a:fillRect/>
                    </a:stretch>
                  </pic:blipFill>
                  <pic:spPr>
                    <a:xfrm>
                      <a:off x="0" y="0"/>
                      <a:ext cx="3638550" cy="2276475"/>
                    </a:xfrm>
                    <a:prstGeom prst="rect">
                      <a:avLst/>
                    </a:prstGeom>
                    <a:noFill/>
                    <a:ln w="9525">
                      <a:noFill/>
                    </a:ln>
                  </pic:spPr>
                </pic:pic>
              </a:graphicData>
            </a:graphic>
          </wp:inline>
        </w:drawing>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2.依申请公开政府信息情况。</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2022年度以来，本单位未收到政府信息公开申请。</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3.政府信息管理情况。</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卫生健康局信息公开坚持一把手负总责，以局长为组长的政府信息公开工作领导小组全面部署调度，领导小组办公室具体推进，确定专人负责卫生健康系统政府信息资源整合和公开工作，建立健全了政府信息共享制度和信息公开制度。区卫生健康局高度重视政府信息公开保密审查工作，制发文件的同时确定文件的公开属性，所有公开发布的信息经具体负责人员审查后报经分管领导审阅并同意后方可发布公开，有效地保证了保密文件不公开，公开文件不涉密，未出现违反保密规定方面的重大问题。</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4.政府信息公开平台建设情况。</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在平台建设上，2022年不断完善局政府信息公开专栏建设，新建了卫生健康领域公共企事业单位信息公开专栏，全面、准确地发布权威政府信息，特别是有关卫生健康工作等方面的信息，进一步巩固完善我局信息公开网上渠道，确保信息公开的时效性和有效性。开通“健康环翠”公众微信号，及时更新、发布卫生健康工作中的新工作、新进展，及时答复、回应公众关注热点或提出的疑问。</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5.监督保障情况。</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卫生健康局设立了监督电话（5306322），公开接受和处理公众对卫生健康局政府信息公开工作的投诉。本单位严格按照《中华人民共和国政府信息公开条例》要求开展政府信息公开工作，未收到政府信息公开有关的投诉、举报，也无其他责任追究的情形。环翠区卫生健康局设立了政府信息公开领导小组，形成了办公室牵头、各科室相互配合的工作机制，以线上结合线下的方式开展了政府信息公开培训5次。</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二、主动公开政府信息情况</w:t>
      </w:r>
    </w:p>
    <w:tbl>
      <w:tblPr>
        <w:tblStyle w:val="4"/>
        <w:tblW w:w="0" w:type="auto"/>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3022"/>
        <w:gridCol w:w="2041"/>
        <w:gridCol w:w="1403"/>
        <w:gridCol w:w="19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85" w:hRule="atLeast"/>
          <w:tblCellSpacing w:w="0" w:type="dxa"/>
          <w:jc w:val="center"/>
        </w:trPr>
        <w:tc>
          <w:tcPr>
            <w:tcW w:w="8715" w:type="dxa"/>
            <w:gridSpan w:val="4"/>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22"/>
                <w:szCs w:val="22"/>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tblCellSpacing w:w="0" w:type="dxa"/>
          <w:jc w:val="center"/>
        </w:trPr>
        <w:tc>
          <w:tcPr>
            <w:tcW w:w="312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1065" w:right="0" w:firstLine="0"/>
              <w:rPr>
                <w:rFonts w:hint="eastAsia" w:ascii="仿宋_GB2312" w:hAnsi="仿宋_GB2312" w:eastAsia="仿宋_GB2312" w:cs="仿宋_GB2312"/>
              </w:rPr>
            </w:pPr>
            <w:r>
              <w:rPr>
                <w:rFonts w:hint="eastAsia" w:ascii="仿宋_GB2312" w:hAnsi="仿宋_GB2312" w:eastAsia="仿宋_GB2312" w:cs="仿宋_GB2312"/>
                <w:spacing w:val="0"/>
                <w:sz w:val="22"/>
                <w:szCs w:val="22"/>
              </w:rPr>
              <w:t>信息内容</w:t>
            </w:r>
          </w:p>
        </w:tc>
        <w:tc>
          <w:tcPr>
            <w:tcW w:w="214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22"/>
                <w:szCs w:val="22"/>
              </w:rPr>
              <w:t>本年制发件数</w:t>
            </w:r>
          </w:p>
        </w:tc>
        <w:tc>
          <w:tcPr>
            <w:tcW w:w="14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300" w:lineRule="atLeast"/>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22"/>
                <w:szCs w:val="22"/>
              </w:rPr>
              <w:t>本年废止件数</w:t>
            </w:r>
          </w:p>
        </w:tc>
        <w:tc>
          <w:tcPr>
            <w:tcW w:w="198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300" w:lineRule="atLeast"/>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22"/>
                <w:szCs w:val="22"/>
              </w:rPr>
              <w:t>现行有效件数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blCellSpacing w:w="0" w:type="dxa"/>
          <w:jc w:val="center"/>
        </w:trPr>
        <w:tc>
          <w:tcPr>
            <w:tcW w:w="3120" w:type="dxa"/>
            <w:tcBorders>
              <w:top w:val="single" w:color="auto" w:sz="6" w:space="0"/>
              <w:left w:val="single" w:color="auto" w:sz="6" w:space="0"/>
              <w:bottom w:val="nil"/>
              <w:right w:val="nil"/>
            </w:tcBorders>
            <w:shd w:val="clear" w:color="auto" w:fill="FFFFFF"/>
            <w:tcMar>
              <w:top w:w="0" w:type="dxa"/>
              <w:bottom w:w="0" w:type="dxa"/>
            </w:tcMar>
            <w:vAlign w:val="top"/>
          </w:tcPr>
          <w:p>
            <w:pPr>
              <w:pStyle w:val="3"/>
              <w:keepNext w:val="0"/>
              <w:keepLines w:val="0"/>
              <w:widowControl/>
              <w:suppressLineNumbers w:val="0"/>
              <w:spacing w:before="105"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22"/>
                <w:szCs w:val="22"/>
              </w:rPr>
              <w:t>规章</w:t>
            </w:r>
          </w:p>
        </w:tc>
        <w:tc>
          <w:tcPr>
            <w:tcW w:w="214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14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198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blCellSpacing w:w="0" w:type="dxa"/>
          <w:jc w:val="center"/>
        </w:trPr>
        <w:tc>
          <w:tcPr>
            <w:tcW w:w="3120" w:type="dxa"/>
            <w:tcBorders>
              <w:top w:val="single" w:color="auto" w:sz="6" w:space="0"/>
              <w:left w:val="single" w:color="auto" w:sz="6" w:space="0"/>
              <w:bottom w:val="nil"/>
              <w:right w:val="nil"/>
            </w:tcBorders>
            <w:shd w:val="clear" w:color="auto" w:fill="FFFFFF"/>
            <w:tcMar>
              <w:top w:w="0" w:type="dxa"/>
              <w:bottom w:w="0" w:type="dxa"/>
            </w:tcMar>
            <w:vAlign w:val="bottom"/>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22"/>
                <w:szCs w:val="22"/>
              </w:rPr>
              <w:t>规范性文件</w:t>
            </w:r>
          </w:p>
        </w:tc>
        <w:tc>
          <w:tcPr>
            <w:tcW w:w="2145"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1470"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1980" w:type="dxa"/>
            <w:tcBorders>
              <w:top w:val="single" w:color="auto" w:sz="6" w:space="0"/>
              <w:left w:val="single" w:color="auto" w:sz="6" w:space="0"/>
              <w:bottom w:val="single" w:color="auto" w:sz="6" w:space="0"/>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blCellSpacing w:w="0" w:type="dxa"/>
          <w:jc w:val="center"/>
        </w:trPr>
        <w:tc>
          <w:tcPr>
            <w:tcW w:w="8715" w:type="dxa"/>
            <w:gridSpan w:val="4"/>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spacing w:before="75"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22"/>
                <w:szCs w:val="22"/>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5" w:hRule="atLeast"/>
          <w:tblCellSpacing w:w="0" w:type="dxa"/>
          <w:jc w:val="center"/>
        </w:trPr>
        <w:tc>
          <w:tcPr>
            <w:tcW w:w="312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1065" w:right="0" w:firstLine="0"/>
              <w:rPr>
                <w:rFonts w:hint="eastAsia" w:ascii="仿宋_GB2312" w:hAnsi="仿宋_GB2312" w:eastAsia="仿宋_GB2312" w:cs="仿宋_GB2312"/>
              </w:rPr>
            </w:pPr>
            <w:r>
              <w:rPr>
                <w:rFonts w:hint="eastAsia" w:ascii="仿宋_GB2312" w:hAnsi="仿宋_GB2312" w:eastAsia="仿宋_GB2312" w:cs="仿宋_GB2312"/>
                <w:spacing w:val="0"/>
                <w:sz w:val="22"/>
                <w:szCs w:val="22"/>
              </w:rPr>
              <w:t>信息内容</w:t>
            </w:r>
          </w:p>
        </w:tc>
        <w:tc>
          <w:tcPr>
            <w:tcW w:w="5610" w:type="dxa"/>
            <w:gridSpan w:val="3"/>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z w:val="22"/>
                <w:szCs w:val="22"/>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65" w:hRule="atLeast"/>
          <w:tblCellSpacing w:w="0" w:type="dxa"/>
          <w:jc w:val="center"/>
        </w:trPr>
        <w:tc>
          <w:tcPr>
            <w:tcW w:w="3120" w:type="dxa"/>
            <w:tcBorders>
              <w:top w:val="single" w:color="auto" w:sz="6" w:space="0"/>
              <w:left w:val="single" w:color="auto" w:sz="6" w:space="0"/>
              <w:bottom w:val="nil"/>
              <w:right w:val="nil"/>
            </w:tcBorders>
            <w:shd w:val="clear" w:color="auto" w:fill="FFFFFF"/>
            <w:tcMar>
              <w:top w:w="0" w:type="dxa"/>
              <w:bottom w:w="0" w:type="dxa"/>
            </w:tcMar>
            <w:vAlign w:val="top"/>
          </w:tcPr>
          <w:p>
            <w:pPr>
              <w:pStyle w:val="3"/>
              <w:keepNext w:val="0"/>
              <w:keepLines w:val="0"/>
              <w:widowControl/>
              <w:suppressLineNumbers w:val="0"/>
              <w:spacing w:before="105"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22"/>
                <w:szCs w:val="22"/>
              </w:rPr>
              <w:t>行政许可</w:t>
            </w:r>
          </w:p>
        </w:tc>
        <w:tc>
          <w:tcPr>
            <w:tcW w:w="5610" w:type="dxa"/>
            <w:gridSpan w:val="3"/>
            <w:tcBorders>
              <w:top w:val="single" w:color="auto" w:sz="6" w:space="0"/>
              <w:left w:val="single" w:color="auto" w:sz="6" w:space="0"/>
              <w:bottom w:val="single" w:color="auto" w:sz="6" w:space="0"/>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blCellSpacing w:w="0" w:type="dxa"/>
          <w:jc w:val="center"/>
        </w:trPr>
        <w:tc>
          <w:tcPr>
            <w:tcW w:w="8715" w:type="dxa"/>
            <w:gridSpan w:val="4"/>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22"/>
                <w:szCs w:val="22"/>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blCellSpacing w:w="0" w:type="dxa"/>
          <w:jc w:val="center"/>
        </w:trPr>
        <w:tc>
          <w:tcPr>
            <w:tcW w:w="3120" w:type="dxa"/>
            <w:tcBorders>
              <w:top w:val="single" w:color="auto" w:sz="6" w:space="0"/>
              <w:left w:val="single" w:color="auto" w:sz="6" w:space="0"/>
              <w:bottom w:val="nil"/>
              <w:right w:val="nil"/>
            </w:tcBorders>
            <w:shd w:val="clear" w:color="auto" w:fill="FFFFFF"/>
            <w:tcMar>
              <w:top w:w="0" w:type="dxa"/>
              <w:bottom w:w="0" w:type="dxa"/>
            </w:tcMar>
            <w:vAlign w:val="top"/>
          </w:tcPr>
          <w:p>
            <w:pPr>
              <w:pStyle w:val="3"/>
              <w:keepNext w:val="0"/>
              <w:keepLines w:val="0"/>
              <w:widowControl/>
              <w:suppressLineNumbers w:val="0"/>
              <w:spacing w:before="105" w:beforeAutospacing="0" w:after="0" w:afterAutospacing="0"/>
              <w:ind w:left="1065" w:right="0" w:firstLine="0"/>
              <w:rPr>
                <w:rFonts w:hint="eastAsia" w:ascii="仿宋_GB2312" w:hAnsi="仿宋_GB2312" w:eastAsia="仿宋_GB2312" w:cs="仿宋_GB2312"/>
              </w:rPr>
            </w:pPr>
            <w:r>
              <w:rPr>
                <w:rFonts w:hint="eastAsia" w:ascii="仿宋_GB2312" w:hAnsi="仿宋_GB2312" w:eastAsia="仿宋_GB2312" w:cs="仿宋_GB2312"/>
                <w:spacing w:val="0"/>
                <w:sz w:val="22"/>
                <w:szCs w:val="22"/>
              </w:rPr>
              <w:t>信息内容</w:t>
            </w:r>
          </w:p>
        </w:tc>
        <w:tc>
          <w:tcPr>
            <w:tcW w:w="5610" w:type="dxa"/>
            <w:gridSpan w:val="3"/>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spacing w:before="105"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z w:val="22"/>
                <w:szCs w:val="22"/>
              </w:rPr>
              <w:t>本年处理决定数量</w:t>
            </w:r>
          </w:p>
          <w:p>
            <w:pPr>
              <w:pStyle w:val="3"/>
              <w:keepNext w:val="0"/>
              <w:keepLines w:val="0"/>
              <w:widowControl/>
              <w:suppressLineNumbers w:val="0"/>
              <w:spacing w:before="105"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22"/>
                <w:szCs w:val="22"/>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blCellSpacing w:w="0" w:type="dxa"/>
          <w:jc w:val="center"/>
        </w:trPr>
        <w:tc>
          <w:tcPr>
            <w:tcW w:w="3120" w:type="dxa"/>
            <w:tcBorders>
              <w:top w:val="single" w:color="auto" w:sz="6" w:space="0"/>
              <w:left w:val="single" w:color="auto" w:sz="6" w:space="0"/>
              <w:bottom w:val="nil"/>
              <w:right w:val="nil"/>
            </w:tcBorders>
            <w:shd w:val="clear" w:color="auto" w:fill="FFFFFF"/>
            <w:tcMar>
              <w:top w:w="0" w:type="dxa"/>
              <w:bottom w:w="0" w:type="dxa"/>
            </w:tcMar>
            <w:vAlign w:val="top"/>
          </w:tcPr>
          <w:p>
            <w:pPr>
              <w:pStyle w:val="3"/>
              <w:keepNext w:val="0"/>
              <w:keepLines w:val="0"/>
              <w:widowControl/>
              <w:suppressLineNumbers w:val="0"/>
              <w:spacing w:before="105"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22"/>
                <w:szCs w:val="22"/>
              </w:rPr>
              <w:t>行政处罚</w:t>
            </w:r>
          </w:p>
        </w:tc>
        <w:tc>
          <w:tcPr>
            <w:tcW w:w="5610" w:type="dxa"/>
            <w:gridSpan w:val="3"/>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blCellSpacing w:w="0" w:type="dxa"/>
          <w:jc w:val="center"/>
        </w:trPr>
        <w:tc>
          <w:tcPr>
            <w:tcW w:w="3120" w:type="dxa"/>
            <w:tcBorders>
              <w:top w:val="single" w:color="auto" w:sz="6" w:space="0"/>
              <w:left w:val="single" w:color="auto" w:sz="6" w:space="0"/>
              <w:bottom w:val="nil"/>
              <w:right w:val="nil"/>
            </w:tcBorders>
            <w:shd w:val="clear" w:color="auto" w:fill="FFFFFF"/>
            <w:tcMar>
              <w:top w:w="0" w:type="dxa"/>
              <w:bottom w:w="0" w:type="dxa"/>
            </w:tcMar>
            <w:vAlign w:val="bottom"/>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22"/>
                <w:szCs w:val="22"/>
              </w:rPr>
              <w:t>行政强制</w:t>
            </w:r>
          </w:p>
        </w:tc>
        <w:tc>
          <w:tcPr>
            <w:tcW w:w="5610" w:type="dxa"/>
            <w:gridSpan w:val="3"/>
            <w:tcBorders>
              <w:top w:val="single" w:color="auto" w:sz="6" w:space="0"/>
              <w:left w:val="single" w:color="auto" w:sz="6" w:space="0"/>
              <w:bottom w:val="single" w:color="auto" w:sz="6" w:space="0"/>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blCellSpacing w:w="0" w:type="dxa"/>
          <w:jc w:val="center"/>
        </w:trPr>
        <w:tc>
          <w:tcPr>
            <w:tcW w:w="8715" w:type="dxa"/>
            <w:gridSpan w:val="4"/>
            <w:tcBorders>
              <w:top w:val="single" w:color="auto" w:sz="6" w:space="0"/>
              <w:left w:val="single" w:color="auto" w:sz="6" w:space="0"/>
              <w:bottom w:val="single" w:color="auto" w:sz="6" w:space="0"/>
              <w:right w:val="single" w:color="auto" w:sz="6" w:space="0"/>
            </w:tcBorders>
            <w:shd w:val="clear" w:color="auto" w:fill="FFFFFF"/>
            <w:tcMar>
              <w:top w:w="0" w:type="dxa"/>
              <w:bottom w:w="0" w:type="dxa"/>
            </w:tcMar>
            <w:vAlign w:val="center"/>
          </w:tcPr>
          <w:p>
            <w:pPr>
              <w:pStyle w:val="3"/>
              <w:keepNext w:val="0"/>
              <w:keepLines w:val="0"/>
              <w:widowControl/>
              <w:suppressLineNumbers w:val="0"/>
              <w:spacing w:before="75"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22"/>
                <w:szCs w:val="22"/>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blCellSpacing w:w="0" w:type="dxa"/>
          <w:jc w:val="center"/>
        </w:trPr>
        <w:tc>
          <w:tcPr>
            <w:tcW w:w="3120" w:type="dxa"/>
            <w:tcBorders>
              <w:top w:val="nil"/>
              <w:left w:val="single" w:color="auto" w:sz="6" w:space="0"/>
              <w:bottom w:val="single" w:color="auto" w:sz="6" w:space="0"/>
              <w:right w:val="single" w:color="auto" w:sz="6" w:space="0"/>
            </w:tcBorders>
            <w:shd w:val="clear" w:color="auto" w:fill="FFFFFF"/>
            <w:tcMar>
              <w:top w:w="0" w:type="dxa"/>
              <w:bottom w:w="0" w:type="dxa"/>
            </w:tcMar>
            <w:vAlign w:val="top"/>
          </w:tcPr>
          <w:p>
            <w:pPr>
              <w:pStyle w:val="3"/>
              <w:keepNext w:val="0"/>
              <w:keepLines w:val="0"/>
              <w:widowControl/>
              <w:suppressLineNumbers w:val="0"/>
              <w:spacing w:before="105" w:beforeAutospacing="0" w:after="0" w:afterAutospacing="0"/>
              <w:ind w:left="1065" w:right="0" w:firstLine="0"/>
              <w:rPr>
                <w:rFonts w:hint="eastAsia" w:ascii="仿宋_GB2312" w:hAnsi="仿宋_GB2312" w:eastAsia="仿宋_GB2312" w:cs="仿宋_GB2312"/>
              </w:rPr>
            </w:pPr>
            <w:r>
              <w:rPr>
                <w:rFonts w:hint="eastAsia" w:ascii="仿宋_GB2312" w:hAnsi="仿宋_GB2312" w:eastAsia="仿宋_GB2312" w:cs="仿宋_GB2312"/>
                <w:spacing w:val="0"/>
                <w:sz w:val="22"/>
                <w:szCs w:val="22"/>
              </w:rPr>
              <w:t>信息内容</w:t>
            </w:r>
          </w:p>
        </w:tc>
        <w:tc>
          <w:tcPr>
            <w:tcW w:w="5610" w:type="dxa"/>
            <w:gridSpan w:val="3"/>
            <w:tcBorders>
              <w:top w:val="single" w:color="auto" w:sz="6" w:space="0"/>
              <w:left w:val="nil"/>
              <w:bottom w:val="single" w:color="auto" w:sz="6" w:space="0"/>
              <w:right w:val="single" w:color="auto" w:sz="6" w:space="0"/>
            </w:tcBorders>
            <w:shd w:val="clear" w:color="auto" w:fill="FFFFFF"/>
            <w:tcMar>
              <w:top w:w="0" w:type="dxa"/>
              <w:bottom w:w="0" w:type="dxa"/>
            </w:tcMar>
            <w:vAlign w:val="center"/>
          </w:tcPr>
          <w:p>
            <w:pPr>
              <w:pStyle w:val="3"/>
              <w:keepNext w:val="0"/>
              <w:keepLines w:val="0"/>
              <w:widowControl/>
              <w:suppressLineNumbers w:val="0"/>
              <w:spacing w:before="105"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22"/>
                <w:szCs w:val="22"/>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blCellSpacing w:w="0" w:type="dxa"/>
          <w:jc w:val="center"/>
        </w:trPr>
        <w:tc>
          <w:tcPr>
            <w:tcW w:w="3120" w:type="dxa"/>
            <w:tcBorders>
              <w:top w:val="nil"/>
              <w:left w:val="single" w:color="auto" w:sz="6" w:space="0"/>
              <w:bottom w:val="single" w:color="auto" w:sz="6" w:space="0"/>
              <w:right w:val="single" w:color="auto" w:sz="6" w:space="0"/>
            </w:tcBorders>
            <w:shd w:val="clear" w:color="auto" w:fill="FFFFFF"/>
            <w:tcMar>
              <w:top w:w="0" w:type="dxa"/>
              <w:bottom w:w="0" w:type="dxa"/>
            </w:tcMar>
            <w:vAlign w:val="top"/>
          </w:tcPr>
          <w:p>
            <w:pPr>
              <w:pStyle w:val="3"/>
              <w:keepNext w:val="0"/>
              <w:keepLines w:val="0"/>
              <w:widowControl/>
              <w:suppressLineNumbers w:val="0"/>
              <w:spacing w:before="105"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22"/>
                <w:szCs w:val="22"/>
              </w:rPr>
              <w:t>行政事业性收费</w:t>
            </w:r>
          </w:p>
        </w:tc>
        <w:tc>
          <w:tcPr>
            <w:tcW w:w="5610" w:type="dxa"/>
            <w:gridSpan w:val="3"/>
            <w:tcBorders>
              <w:top w:val="nil"/>
              <w:left w:val="nil"/>
              <w:bottom w:val="single" w:color="auto" w:sz="6" w:space="0"/>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bl>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三、收到和处理政府信息公开申请情况</w:t>
      </w:r>
    </w:p>
    <w:tbl>
      <w:tblPr>
        <w:tblStyle w:val="4"/>
        <w:tblW w:w="0" w:type="auto"/>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517"/>
        <w:gridCol w:w="1466"/>
        <w:gridCol w:w="2464"/>
        <w:gridCol w:w="603"/>
        <w:gridCol w:w="534"/>
        <w:gridCol w:w="534"/>
        <w:gridCol w:w="548"/>
        <w:gridCol w:w="548"/>
        <w:gridCol w:w="548"/>
        <w:gridCol w:w="6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70" w:hRule="atLeast"/>
          <w:tblCellSpacing w:w="0" w:type="dxa"/>
          <w:jc w:val="center"/>
        </w:trPr>
        <w:tc>
          <w:tcPr>
            <w:tcW w:w="4635" w:type="dxa"/>
            <w:gridSpan w:val="3"/>
            <w:vMerge w:val="restart"/>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255" w:lineRule="atLeast"/>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9"/>
                <w:szCs w:val="19"/>
              </w:rPr>
              <w:t>（本列数据的勾稽关系为：第一项加第二项之和，</w:t>
            </w:r>
            <w:r>
              <w:rPr>
                <w:rFonts w:hint="eastAsia" w:ascii="仿宋_GB2312" w:hAnsi="仿宋_GB2312" w:eastAsia="仿宋_GB2312" w:cs="仿宋_GB2312"/>
                <w:spacing w:val="0"/>
                <w:sz w:val="19"/>
                <w:szCs w:val="19"/>
              </w:rPr>
              <w:t xml:space="preserve"> </w:t>
            </w:r>
            <w:r>
              <w:rPr>
                <w:rFonts w:hint="eastAsia" w:ascii="仿宋_GB2312" w:hAnsi="仿宋_GB2312" w:eastAsia="仿宋_GB2312" w:cs="仿宋_GB2312"/>
                <w:spacing w:val="0"/>
                <w:sz w:val="19"/>
                <w:szCs w:val="19"/>
              </w:rPr>
              <w:t>等于第三项加第四项之和）</w:t>
            </w:r>
          </w:p>
        </w:tc>
        <w:tc>
          <w:tcPr>
            <w:tcW w:w="4080" w:type="dxa"/>
            <w:gridSpan w:val="7"/>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申请人情况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tblCellSpacing w:w="0" w:type="dxa"/>
          <w:jc w:val="center"/>
        </w:trPr>
        <w:tc>
          <w:tcPr>
            <w:tcW w:w="4635" w:type="dxa"/>
            <w:gridSpan w:val="3"/>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630" w:type="dxa"/>
            <w:vMerge w:val="restart"/>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9"/>
                <w:szCs w:val="19"/>
              </w:rPr>
              <w:t>自然人</w:t>
            </w:r>
          </w:p>
        </w:tc>
        <w:tc>
          <w:tcPr>
            <w:tcW w:w="2820" w:type="dxa"/>
            <w:gridSpan w:val="5"/>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法人或其他组织</w:t>
            </w:r>
          </w:p>
        </w:tc>
        <w:tc>
          <w:tcPr>
            <w:tcW w:w="630" w:type="dxa"/>
            <w:vMerge w:val="restart"/>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right"/>
              <w:rPr>
                <w:rFonts w:hint="eastAsia" w:ascii="仿宋_GB2312" w:hAnsi="仿宋_GB2312" w:eastAsia="仿宋_GB2312" w:cs="仿宋_GB2312"/>
              </w:rPr>
            </w:pPr>
            <w:r>
              <w:rPr>
                <w:rFonts w:hint="eastAsia" w:ascii="仿宋_GB2312" w:hAnsi="仿宋_GB2312" w:eastAsia="仿宋_GB2312" w:cs="仿宋_GB2312"/>
                <w:spacing w:val="0"/>
                <w:sz w:val="19"/>
                <w:szCs w:val="19"/>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140" w:hRule="atLeast"/>
          <w:tblCellSpacing w:w="0" w:type="dxa"/>
          <w:jc w:val="center"/>
        </w:trPr>
        <w:tc>
          <w:tcPr>
            <w:tcW w:w="4635" w:type="dxa"/>
            <w:gridSpan w:val="3"/>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6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255" w:lineRule="atLeast"/>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9"/>
                <w:szCs w:val="19"/>
              </w:rPr>
              <w:t>商业</w:t>
            </w:r>
            <w:r>
              <w:rPr>
                <w:rFonts w:hint="eastAsia" w:ascii="仿宋_GB2312" w:hAnsi="仿宋_GB2312" w:eastAsia="仿宋_GB2312" w:cs="仿宋_GB2312"/>
                <w:spacing w:val="0"/>
                <w:sz w:val="19"/>
                <w:szCs w:val="19"/>
              </w:rPr>
              <w:t xml:space="preserve"> </w:t>
            </w:r>
            <w:r>
              <w:rPr>
                <w:rFonts w:hint="eastAsia" w:ascii="仿宋_GB2312" w:hAnsi="仿宋_GB2312" w:eastAsia="仿宋_GB2312" w:cs="仿宋_GB2312"/>
                <w:spacing w:val="0"/>
                <w:sz w:val="19"/>
                <w:szCs w:val="19"/>
              </w:rPr>
              <w:t>企业</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255" w:lineRule="atLeast"/>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9"/>
                <w:szCs w:val="19"/>
              </w:rPr>
              <w:t>科研</w:t>
            </w:r>
            <w:r>
              <w:rPr>
                <w:rFonts w:hint="eastAsia" w:ascii="仿宋_GB2312" w:hAnsi="仿宋_GB2312" w:eastAsia="仿宋_GB2312" w:cs="仿宋_GB2312"/>
                <w:spacing w:val="0"/>
                <w:sz w:val="19"/>
                <w:szCs w:val="19"/>
              </w:rPr>
              <w:t xml:space="preserve"> </w:t>
            </w:r>
            <w:r>
              <w:rPr>
                <w:rFonts w:hint="eastAsia" w:ascii="仿宋_GB2312" w:hAnsi="仿宋_GB2312" w:eastAsia="仿宋_GB2312" w:cs="仿宋_GB2312"/>
                <w:spacing w:val="0"/>
                <w:sz w:val="19"/>
                <w:szCs w:val="19"/>
              </w:rPr>
              <w:t>机构</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top"/>
          </w:tcPr>
          <w:p>
            <w:pPr>
              <w:pStyle w:val="3"/>
              <w:keepNext w:val="0"/>
              <w:keepLines w:val="0"/>
              <w:widowControl/>
              <w:suppressLineNumbers w:val="0"/>
              <w:ind w:left="0" w:firstLine="0"/>
              <w:rPr>
                <w:rFonts w:hint="eastAsia" w:ascii="仿宋_GB2312" w:hAnsi="仿宋_GB2312" w:eastAsia="仿宋_GB2312" w:cs="仿宋_GB2312"/>
                <w:sz w:val="21"/>
                <w:szCs w:val="21"/>
              </w:rPr>
            </w:pPr>
            <w:r>
              <w:rPr>
                <w:rFonts w:hint="eastAsia" w:ascii="仿宋_GB2312" w:hAnsi="仿宋_GB2312" w:eastAsia="仿宋_GB2312" w:cs="仿宋_GB2312"/>
                <w:spacing w:val="0"/>
                <w:sz w:val="15"/>
                <w:szCs w:val="15"/>
              </w:rPr>
              <w:t> </w:t>
            </w:r>
          </w:p>
          <w:p>
            <w:pPr>
              <w:pStyle w:val="3"/>
              <w:keepNext w:val="0"/>
              <w:keepLines w:val="0"/>
              <w:widowControl/>
              <w:suppressLineNumbers w:val="0"/>
              <w:ind w:left="0" w:firstLine="0"/>
              <w:rPr>
                <w:rFonts w:hint="eastAsia" w:ascii="仿宋_GB2312" w:hAnsi="仿宋_GB2312" w:eastAsia="仿宋_GB2312" w:cs="仿宋_GB2312"/>
                <w:sz w:val="21"/>
                <w:szCs w:val="21"/>
              </w:rPr>
            </w:pPr>
            <w:r>
              <w:rPr>
                <w:rFonts w:hint="eastAsia" w:ascii="仿宋_GB2312" w:hAnsi="仿宋_GB2312" w:eastAsia="仿宋_GB2312" w:cs="仿宋_GB2312"/>
                <w:spacing w:val="0"/>
                <w:sz w:val="19"/>
                <w:szCs w:val="19"/>
              </w:rPr>
              <w:t>社会公益组织</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270" w:lineRule="atLeast"/>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9"/>
                <w:szCs w:val="19"/>
              </w:rPr>
              <w:t>法律</w:t>
            </w:r>
            <w:r>
              <w:rPr>
                <w:rFonts w:hint="eastAsia" w:ascii="仿宋_GB2312" w:hAnsi="仿宋_GB2312" w:eastAsia="仿宋_GB2312" w:cs="仿宋_GB2312"/>
                <w:spacing w:val="0"/>
                <w:sz w:val="19"/>
                <w:szCs w:val="19"/>
              </w:rPr>
              <w:t xml:space="preserve"> </w:t>
            </w:r>
            <w:r>
              <w:rPr>
                <w:rFonts w:hint="eastAsia" w:ascii="仿宋_GB2312" w:hAnsi="仿宋_GB2312" w:eastAsia="仿宋_GB2312" w:cs="仿宋_GB2312"/>
                <w:spacing w:val="0"/>
                <w:sz w:val="19"/>
                <w:szCs w:val="19"/>
              </w:rPr>
              <w:t>服务</w:t>
            </w:r>
            <w:r>
              <w:rPr>
                <w:rFonts w:hint="eastAsia" w:ascii="仿宋_GB2312" w:hAnsi="仿宋_GB2312" w:eastAsia="仿宋_GB2312" w:cs="仿宋_GB2312"/>
                <w:spacing w:val="0"/>
                <w:sz w:val="19"/>
                <w:szCs w:val="19"/>
              </w:rPr>
              <w:t xml:space="preserve"> </w:t>
            </w:r>
            <w:r>
              <w:rPr>
                <w:rFonts w:hint="eastAsia" w:ascii="仿宋_GB2312" w:hAnsi="仿宋_GB2312" w:eastAsia="仿宋_GB2312" w:cs="仿宋_GB2312"/>
                <w:spacing w:val="0"/>
                <w:sz w:val="19"/>
                <w:szCs w:val="19"/>
              </w:rPr>
              <w:t>机构</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其他</w:t>
            </w:r>
          </w:p>
        </w:tc>
        <w:tc>
          <w:tcPr>
            <w:tcW w:w="630" w:type="dxa"/>
            <w:vMerge w:val="continue"/>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blCellSpacing w:w="0" w:type="dxa"/>
          <w:jc w:val="center"/>
        </w:trPr>
        <w:tc>
          <w:tcPr>
            <w:tcW w:w="4635" w:type="dxa"/>
            <w:gridSpan w:val="3"/>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9"/>
                <w:szCs w:val="19"/>
              </w:rPr>
              <w:t>一、本年新收政府信息公开申请数量</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blCellSpacing w:w="0" w:type="dxa"/>
          <w:jc w:val="center"/>
        </w:trPr>
        <w:tc>
          <w:tcPr>
            <w:tcW w:w="4635" w:type="dxa"/>
            <w:gridSpan w:val="3"/>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9"/>
                <w:szCs w:val="19"/>
              </w:rPr>
              <w:t>二、上年结转政府信息公开申请数量</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blCellSpacing w:w="0" w:type="dxa"/>
          <w:jc w:val="center"/>
        </w:trPr>
        <w:tc>
          <w:tcPr>
            <w:tcW w:w="525" w:type="dxa"/>
            <w:vMerge w:val="restart"/>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三、本年度办理结果</w:t>
            </w:r>
          </w:p>
        </w:tc>
        <w:tc>
          <w:tcPr>
            <w:tcW w:w="4125" w:type="dxa"/>
            <w:gridSpan w:val="2"/>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8"/>
                <w:szCs w:val="18"/>
              </w:rPr>
              <w:t>（一）予以公开</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4125" w:type="dxa"/>
            <w:gridSpan w:val="2"/>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300" w:lineRule="atLeast"/>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8"/>
                <w:szCs w:val="18"/>
              </w:rPr>
              <w:t>（二）部分公开（区分处理的，只计这一情形，不计其他情形）</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1530" w:type="dxa"/>
            <w:vMerge w:val="restart"/>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8"/>
                <w:szCs w:val="18"/>
              </w:rPr>
              <w:t>（三）不予公开</w:t>
            </w:r>
          </w:p>
        </w:tc>
        <w:tc>
          <w:tcPr>
            <w:tcW w:w="259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9"/>
                <w:szCs w:val="19"/>
              </w:rPr>
              <w:t>1.</w:t>
            </w:r>
            <w:r>
              <w:rPr>
                <w:rFonts w:hint="eastAsia" w:ascii="仿宋_GB2312" w:hAnsi="仿宋_GB2312" w:eastAsia="仿宋_GB2312" w:cs="仿宋_GB2312"/>
                <w:spacing w:val="0"/>
                <w:sz w:val="18"/>
                <w:szCs w:val="18"/>
              </w:rPr>
              <w:t>属于国家秘密</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15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259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both"/>
              <w:rPr>
                <w:rFonts w:hint="eastAsia" w:ascii="仿宋_GB2312" w:hAnsi="仿宋_GB2312" w:eastAsia="仿宋_GB2312" w:cs="仿宋_GB2312"/>
              </w:rPr>
            </w:pPr>
            <w:r>
              <w:rPr>
                <w:rFonts w:hint="eastAsia" w:ascii="仿宋_GB2312" w:hAnsi="仿宋_GB2312" w:eastAsia="仿宋_GB2312" w:cs="仿宋_GB2312"/>
                <w:spacing w:val="0"/>
                <w:sz w:val="19"/>
                <w:szCs w:val="19"/>
              </w:rPr>
              <w:t>2.</w:t>
            </w:r>
            <w:r>
              <w:rPr>
                <w:rFonts w:hint="eastAsia" w:ascii="仿宋_GB2312" w:hAnsi="仿宋_GB2312" w:eastAsia="仿宋_GB2312" w:cs="仿宋_GB2312"/>
                <w:spacing w:val="0"/>
                <w:sz w:val="19"/>
                <w:szCs w:val="19"/>
              </w:rPr>
              <w:t>其他法律行政法规禁止公开</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15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259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9"/>
                <w:szCs w:val="19"/>
              </w:rPr>
              <w:t>3.</w:t>
            </w:r>
            <w:r>
              <w:rPr>
                <w:rFonts w:hint="eastAsia" w:ascii="仿宋_GB2312" w:hAnsi="仿宋_GB2312" w:eastAsia="仿宋_GB2312" w:cs="仿宋_GB2312"/>
                <w:spacing w:val="0"/>
                <w:sz w:val="18"/>
                <w:szCs w:val="18"/>
              </w:rPr>
              <w:t>危及</w:t>
            </w:r>
            <w:r>
              <w:rPr>
                <w:rFonts w:hint="eastAsia" w:ascii="仿宋_GB2312" w:hAnsi="仿宋_GB2312" w:eastAsia="仿宋_GB2312" w:cs="仿宋_GB2312"/>
                <w:spacing w:val="0"/>
                <w:sz w:val="18"/>
                <w:szCs w:val="18"/>
              </w:rPr>
              <w:t>“</w:t>
            </w:r>
            <w:r>
              <w:rPr>
                <w:rFonts w:hint="eastAsia" w:ascii="仿宋_GB2312" w:hAnsi="仿宋_GB2312" w:eastAsia="仿宋_GB2312" w:cs="仿宋_GB2312"/>
                <w:spacing w:val="0"/>
                <w:sz w:val="18"/>
                <w:szCs w:val="18"/>
              </w:rPr>
              <w:t>三安全一稳定</w:t>
            </w:r>
            <w:r>
              <w:rPr>
                <w:rFonts w:hint="eastAsia" w:ascii="仿宋_GB2312" w:hAnsi="仿宋_GB2312" w:eastAsia="仿宋_GB2312" w:cs="仿宋_GB2312"/>
                <w:spacing w:val="0"/>
                <w:sz w:val="18"/>
                <w:szCs w:val="18"/>
              </w:rPr>
              <w:t>”</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15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259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9"/>
                <w:szCs w:val="19"/>
              </w:rPr>
              <w:t>4.</w:t>
            </w:r>
            <w:r>
              <w:rPr>
                <w:rFonts w:hint="eastAsia" w:ascii="仿宋_GB2312" w:hAnsi="仿宋_GB2312" w:eastAsia="仿宋_GB2312" w:cs="仿宋_GB2312"/>
                <w:spacing w:val="0"/>
                <w:sz w:val="18"/>
                <w:szCs w:val="18"/>
              </w:rPr>
              <w:t>保护第三方合法权益</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15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2595" w:type="dxa"/>
            <w:tcBorders>
              <w:top w:val="single" w:color="auto" w:sz="6" w:space="0"/>
              <w:left w:val="single" w:color="auto" w:sz="6" w:space="0"/>
              <w:bottom w:val="nil"/>
              <w:right w:val="nil"/>
            </w:tcBorders>
            <w:shd w:val="clear" w:color="auto" w:fill="FFFFFF"/>
            <w:tcMar>
              <w:top w:w="0" w:type="dxa"/>
              <w:bottom w:w="0" w:type="dxa"/>
            </w:tcMar>
            <w:vAlign w:val="bottom"/>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9"/>
                <w:szCs w:val="19"/>
              </w:rPr>
              <w:t>5.</w:t>
            </w:r>
            <w:r>
              <w:rPr>
                <w:rFonts w:hint="eastAsia" w:ascii="仿宋_GB2312" w:hAnsi="仿宋_GB2312" w:eastAsia="仿宋_GB2312" w:cs="仿宋_GB2312"/>
                <w:spacing w:val="0"/>
                <w:sz w:val="18"/>
                <w:szCs w:val="18"/>
              </w:rPr>
              <w:t>属于三类内部事务信息</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15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259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9"/>
                <w:szCs w:val="19"/>
              </w:rPr>
              <w:t>6.</w:t>
            </w:r>
            <w:r>
              <w:rPr>
                <w:rFonts w:hint="eastAsia" w:ascii="仿宋_GB2312" w:hAnsi="仿宋_GB2312" w:eastAsia="仿宋_GB2312" w:cs="仿宋_GB2312"/>
                <w:spacing w:val="0"/>
                <w:sz w:val="18"/>
                <w:szCs w:val="18"/>
              </w:rPr>
              <w:t>属于四类过程性信息</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15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259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9"/>
                <w:szCs w:val="19"/>
              </w:rPr>
              <w:t>7.</w:t>
            </w:r>
            <w:r>
              <w:rPr>
                <w:rFonts w:hint="eastAsia" w:ascii="仿宋_GB2312" w:hAnsi="仿宋_GB2312" w:eastAsia="仿宋_GB2312" w:cs="仿宋_GB2312"/>
                <w:spacing w:val="0"/>
                <w:sz w:val="18"/>
                <w:szCs w:val="18"/>
              </w:rPr>
              <w:t>属于行政执法案卷</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15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2595" w:type="dxa"/>
            <w:tcBorders>
              <w:top w:val="single" w:color="auto" w:sz="6" w:space="0"/>
              <w:left w:val="single" w:color="auto" w:sz="6" w:space="0"/>
              <w:bottom w:val="nil"/>
              <w:right w:val="nil"/>
            </w:tcBorders>
            <w:shd w:val="clear" w:color="auto" w:fill="FFFFFF"/>
            <w:tcMar>
              <w:top w:w="0" w:type="dxa"/>
              <w:bottom w:w="0" w:type="dxa"/>
            </w:tcMar>
            <w:vAlign w:val="bottom"/>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9"/>
                <w:szCs w:val="19"/>
              </w:rPr>
              <w:t>8.</w:t>
            </w:r>
            <w:r>
              <w:rPr>
                <w:rFonts w:hint="eastAsia" w:ascii="仿宋_GB2312" w:hAnsi="仿宋_GB2312" w:eastAsia="仿宋_GB2312" w:cs="仿宋_GB2312"/>
                <w:spacing w:val="0"/>
                <w:sz w:val="18"/>
                <w:szCs w:val="18"/>
              </w:rPr>
              <w:t>属于行政查询事项</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1530" w:type="dxa"/>
            <w:vMerge w:val="restart"/>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8"/>
                <w:szCs w:val="18"/>
              </w:rPr>
              <w:t>（四）无法提供</w:t>
            </w:r>
          </w:p>
        </w:tc>
        <w:tc>
          <w:tcPr>
            <w:tcW w:w="259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both"/>
              <w:rPr>
                <w:rFonts w:hint="eastAsia" w:ascii="仿宋_GB2312" w:hAnsi="仿宋_GB2312" w:eastAsia="仿宋_GB2312" w:cs="仿宋_GB2312"/>
              </w:rPr>
            </w:pPr>
            <w:r>
              <w:rPr>
                <w:rFonts w:hint="eastAsia" w:ascii="仿宋_GB2312" w:hAnsi="仿宋_GB2312" w:eastAsia="仿宋_GB2312" w:cs="仿宋_GB2312"/>
                <w:spacing w:val="0"/>
                <w:sz w:val="19"/>
                <w:szCs w:val="19"/>
              </w:rPr>
              <w:t>1.</w:t>
            </w:r>
            <w:r>
              <w:rPr>
                <w:rFonts w:hint="eastAsia" w:ascii="仿宋_GB2312" w:hAnsi="仿宋_GB2312" w:eastAsia="仿宋_GB2312" w:cs="仿宋_GB2312"/>
                <w:spacing w:val="0"/>
                <w:sz w:val="18"/>
                <w:szCs w:val="18"/>
              </w:rPr>
              <w:t>本机关不掌握相关政府信息</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15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259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both"/>
              <w:rPr>
                <w:rFonts w:hint="eastAsia" w:ascii="仿宋_GB2312" w:hAnsi="仿宋_GB2312" w:eastAsia="仿宋_GB2312" w:cs="仿宋_GB2312"/>
              </w:rPr>
            </w:pPr>
            <w:r>
              <w:rPr>
                <w:rFonts w:hint="eastAsia" w:ascii="仿宋_GB2312" w:hAnsi="仿宋_GB2312" w:eastAsia="仿宋_GB2312" w:cs="仿宋_GB2312"/>
                <w:spacing w:val="0"/>
                <w:sz w:val="19"/>
                <w:szCs w:val="19"/>
              </w:rPr>
              <w:t>2.</w:t>
            </w:r>
            <w:r>
              <w:rPr>
                <w:rFonts w:hint="eastAsia" w:ascii="仿宋_GB2312" w:hAnsi="仿宋_GB2312" w:eastAsia="仿宋_GB2312" w:cs="仿宋_GB2312"/>
                <w:spacing w:val="0"/>
                <w:sz w:val="18"/>
                <w:szCs w:val="18"/>
              </w:rPr>
              <w:t>没有现成信息需要另行制作</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15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259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both"/>
              <w:rPr>
                <w:rFonts w:hint="eastAsia" w:ascii="仿宋_GB2312" w:hAnsi="仿宋_GB2312" w:eastAsia="仿宋_GB2312" w:cs="仿宋_GB2312"/>
              </w:rPr>
            </w:pPr>
            <w:r>
              <w:rPr>
                <w:rFonts w:hint="eastAsia" w:ascii="仿宋_GB2312" w:hAnsi="仿宋_GB2312" w:eastAsia="仿宋_GB2312" w:cs="仿宋_GB2312"/>
                <w:spacing w:val="0"/>
                <w:sz w:val="19"/>
                <w:szCs w:val="19"/>
              </w:rPr>
              <w:t>3.</w:t>
            </w:r>
            <w:r>
              <w:rPr>
                <w:rFonts w:hint="eastAsia" w:ascii="仿宋_GB2312" w:hAnsi="仿宋_GB2312" w:eastAsia="仿宋_GB2312" w:cs="仿宋_GB2312"/>
                <w:spacing w:val="0"/>
                <w:sz w:val="18"/>
                <w:szCs w:val="18"/>
              </w:rPr>
              <w:t>补正后申请内容仍不明确</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1530" w:type="dxa"/>
            <w:vMerge w:val="restart"/>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8"/>
                <w:szCs w:val="18"/>
              </w:rPr>
              <w:t>（五）不予处理</w:t>
            </w:r>
          </w:p>
        </w:tc>
        <w:tc>
          <w:tcPr>
            <w:tcW w:w="2595" w:type="dxa"/>
            <w:tcBorders>
              <w:top w:val="single" w:color="auto" w:sz="6" w:space="0"/>
              <w:left w:val="single" w:color="auto" w:sz="6" w:space="0"/>
              <w:bottom w:val="nil"/>
              <w:right w:val="nil"/>
            </w:tcBorders>
            <w:shd w:val="clear" w:color="auto" w:fill="FFFFFF"/>
            <w:tcMar>
              <w:top w:w="0" w:type="dxa"/>
              <w:bottom w:w="0" w:type="dxa"/>
            </w:tcMar>
            <w:vAlign w:val="top"/>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9"/>
                <w:szCs w:val="19"/>
              </w:rPr>
              <w:t>1.</w:t>
            </w:r>
            <w:r>
              <w:rPr>
                <w:rFonts w:hint="eastAsia" w:ascii="仿宋_GB2312" w:hAnsi="仿宋_GB2312" w:eastAsia="仿宋_GB2312" w:cs="仿宋_GB2312"/>
                <w:spacing w:val="0"/>
                <w:sz w:val="18"/>
                <w:szCs w:val="18"/>
              </w:rPr>
              <w:t>信访举报投诉类申请</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15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2595" w:type="dxa"/>
            <w:tcBorders>
              <w:top w:val="single" w:color="auto" w:sz="6" w:space="0"/>
              <w:left w:val="single" w:color="auto" w:sz="6" w:space="0"/>
              <w:bottom w:val="nil"/>
              <w:right w:val="nil"/>
            </w:tcBorders>
            <w:shd w:val="clear" w:color="auto" w:fill="FFFFFF"/>
            <w:tcMar>
              <w:top w:w="0" w:type="dxa"/>
              <w:bottom w:w="0" w:type="dxa"/>
            </w:tcMar>
            <w:vAlign w:val="top"/>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9"/>
                <w:szCs w:val="19"/>
              </w:rPr>
              <w:t>2.</w:t>
            </w:r>
            <w:r>
              <w:rPr>
                <w:rFonts w:hint="eastAsia" w:ascii="仿宋_GB2312" w:hAnsi="仿宋_GB2312" w:eastAsia="仿宋_GB2312" w:cs="仿宋_GB2312"/>
                <w:spacing w:val="0"/>
                <w:sz w:val="18"/>
                <w:szCs w:val="18"/>
              </w:rPr>
              <w:t>重复申请</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15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2595" w:type="dxa"/>
            <w:tcBorders>
              <w:top w:val="single" w:color="auto" w:sz="6" w:space="0"/>
              <w:left w:val="single" w:color="auto" w:sz="6" w:space="0"/>
              <w:bottom w:val="nil"/>
              <w:right w:val="nil"/>
            </w:tcBorders>
            <w:shd w:val="clear" w:color="auto" w:fill="FFFFFF"/>
            <w:tcMar>
              <w:top w:w="0" w:type="dxa"/>
              <w:bottom w:w="0" w:type="dxa"/>
            </w:tcMar>
            <w:vAlign w:val="top"/>
          </w:tcPr>
          <w:p>
            <w:pPr>
              <w:pStyle w:val="3"/>
              <w:keepNext w:val="0"/>
              <w:keepLines w:val="0"/>
              <w:widowControl/>
              <w:suppressLineNumbers w:val="0"/>
              <w:spacing w:before="0" w:beforeAutospacing="0" w:after="0" w:afterAutospacing="0"/>
              <w:ind w:left="0" w:right="0" w:firstLine="0"/>
              <w:jc w:val="both"/>
              <w:rPr>
                <w:rFonts w:hint="eastAsia" w:ascii="仿宋_GB2312" w:hAnsi="仿宋_GB2312" w:eastAsia="仿宋_GB2312" w:cs="仿宋_GB2312"/>
              </w:rPr>
            </w:pPr>
            <w:r>
              <w:rPr>
                <w:rFonts w:hint="eastAsia" w:ascii="仿宋_GB2312" w:hAnsi="仿宋_GB2312" w:eastAsia="仿宋_GB2312" w:cs="仿宋_GB2312"/>
                <w:spacing w:val="0"/>
                <w:sz w:val="19"/>
                <w:szCs w:val="19"/>
              </w:rPr>
              <w:t>3.</w:t>
            </w:r>
            <w:r>
              <w:rPr>
                <w:rFonts w:hint="eastAsia" w:ascii="仿宋_GB2312" w:hAnsi="仿宋_GB2312" w:eastAsia="仿宋_GB2312" w:cs="仿宋_GB2312"/>
                <w:spacing w:val="0"/>
                <w:sz w:val="18"/>
                <w:szCs w:val="18"/>
              </w:rPr>
              <w:t>要求提供公开出版物</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15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259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300" w:lineRule="atLeast"/>
              <w:ind w:left="405" w:right="0"/>
              <w:rPr>
                <w:rFonts w:hint="eastAsia" w:ascii="仿宋_GB2312" w:hAnsi="仿宋_GB2312" w:eastAsia="仿宋_GB2312" w:cs="仿宋_GB2312"/>
              </w:rPr>
            </w:pPr>
            <w:r>
              <w:rPr>
                <w:rFonts w:hint="eastAsia" w:ascii="仿宋_GB2312" w:hAnsi="仿宋_GB2312" w:eastAsia="仿宋_GB2312" w:cs="仿宋_GB2312"/>
                <w:spacing w:val="0"/>
                <w:sz w:val="19"/>
                <w:szCs w:val="19"/>
              </w:rPr>
              <w:t>4.</w:t>
            </w:r>
            <w:r>
              <w:rPr>
                <w:rFonts w:hint="eastAsia" w:ascii="仿宋_GB2312" w:hAnsi="仿宋_GB2312" w:eastAsia="仿宋_GB2312" w:cs="仿宋_GB2312"/>
                <w:spacing w:val="0"/>
                <w:sz w:val="18"/>
                <w:szCs w:val="18"/>
              </w:rPr>
              <w:t>无正当理由大量反复申请</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15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2595" w:type="dxa"/>
            <w:tcBorders>
              <w:top w:val="single" w:color="auto" w:sz="6" w:space="0"/>
              <w:left w:val="single" w:color="auto" w:sz="6" w:space="0"/>
              <w:bottom w:val="single" w:color="auto" w:sz="6" w:space="0"/>
              <w:right w:val="nil"/>
            </w:tcBorders>
            <w:shd w:val="clear" w:color="auto" w:fill="FFFFFF"/>
            <w:tcMar>
              <w:top w:w="0" w:type="dxa"/>
              <w:bottom w:w="0" w:type="dxa"/>
            </w:tcMar>
            <w:vAlign w:val="top"/>
          </w:tcPr>
          <w:p>
            <w:pPr>
              <w:pStyle w:val="3"/>
              <w:keepNext w:val="0"/>
              <w:keepLines w:val="0"/>
              <w:widowControl/>
              <w:suppressLineNumbers w:val="0"/>
              <w:spacing w:before="0" w:beforeAutospacing="0" w:after="0" w:afterAutospacing="0" w:line="285" w:lineRule="atLeast"/>
              <w:ind w:left="345" w:right="0"/>
              <w:rPr>
                <w:rFonts w:hint="eastAsia" w:ascii="仿宋_GB2312" w:hAnsi="仿宋_GB2312" w:eastAsia="仿宋_GB2312" w:cs="仿宋_GB2312"/>
              </w:rPr>
            </w:pPr>
            <w:r>
              <w:rPr>
                <w:rFonts w:hint="eastAsia" w:ascii="仿宋_GB2312" w:hAnsi="仿宋_GB2312" w:eastAsia="仿宋_GB2312" w:cs="仿宋_GB2312"/>
                <w:spacing w:val="0"/>
                <w:sz w:val="19"/>
                <w:szCs w:val="19"/>
              </w:rPr>
              <w:t>5.</w:t>
            </w:r>
            <w:r>
              <w:rPr>
                <w:rFonts w:hint="eastAsia" w:ascii="仿宋_GB2312" w:hAnsi="仿宋_GB2312" w:eastAsia="仿宋_GB2312" w:cs="仿宋_GB2312"/>
                <w:spacing w:val="0"/>
                <w:sz w:val="19"/>
                <w:szCs w:val="19"/>
              </w:rPr>
              <w:t>要求行政机关确认或重新出具已获取信息</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4125" w:type="dxa"/>
            <w:gridSpan w:val="2"/>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8"/>
                <w:szCs w:val="18"/>
              </w:rPr>
              <w:t>（六）其他处理</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blCellSpacing w:w="0" w:type="dxa"/>
          <w:jc w:val="center"/>
        </w:trPr>
        <w:tc>
          <w:tcPr>
            <w:tcW w:w="52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4125" w:type="dxa"/>
            <w:gridSpan w:val="2"/>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8"/>
                <w:szCs w:val="18"/>
              </w:rPr>
              <w:t>（七）总计</w:t>
            </w:r>
          </w:p>
        </w:tc>
        <w:tc>
          <w:tcPr>
            <w:tcW w:w="63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65" w:hRule="atLeast"/>
          <w:tblCellSpacing w:w="0" w:type="dxa"/>
          <w:jc w:val="center"/>
        </w:trPr>
        <w:tc>
          <w:tcPr>
            <w:tcW w:w="4635" w:type="dxa"/>
            <w:gridSpan w:val="3"/>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rPr>
                <w:rFonts w:hint="eastAsia" w:ascii="仿宋_GB2312" w:hAnsi="仿宋_GB2312" w:eastAsia="仿宋_GB2312" w:cs="仿宋_GB2312"/>
              </w:rPr>
            </w:pPr>
            <w:r>
              <w:rPr>
                <w:rFonts w:hint="eastAsia" w:ascii="仿宋_GB2312" w:hAnsi="仿宋_GB2312" w:eastAsia="仿宋_GB2312" w:cs="仿宋_GB2312"/>
                <w:spacing w:val="0"/>
                <w:sz w:val="19"/>
                <w:szCs w:val="19"/>
              </w:rPr>
              <w:t>四、结转下年度继续办理</w:t>
            </w:r>
          </w:p>
        </w:tc>
        <w:tc>
          <w:tcPr>
            <w:tcW w:w="630"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single" w:color="auto" w:sz="6" w:space="0"/>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bl>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四、政府信息公开行政复议、行政诉讼情况</w:t>
      </w:r>
    </w:p>
    <w:tbl>
      <w:tblPr>
        <w:tblStyle w:val="4"/>
        <w:tblW w:w="0" w:type="auto"/>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599"/>
        <w:gridCol w:w="599"/>
        <w:gridCol w:w="599"/>
        <w:gridCol w:w="599"/>
        <w:gridCol w:w="529"/>
        <w:gridCol w:w="529"/>
        <w:gridCol w:w="543"/>
        <w:gridCol w:w="529"/>
        <w:gridCol w:w="543"/>
        <w:gridCol w:w="561"/>
        <w:gridCol w:w="529"/>
        <w:gridCol w:w="543"/>
        <w:gridCol w:w="529"/>
        <w:gridCol w:w="544"/>
        <w:gridCol w:w="5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65" w:hRule="atLeast"/>
          <w:tblCellSpacing w:w="0" w:type="dxa"/>
          <w:jc w:val="center"/>
        </w:trPr>
        <w:tc>
          <w:tcPr>
            <w:tcW w:w="3075" w:type="dxa"/>
            <w:gridSpan w:val="5"/>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行政复议</w:t>
            </w:r>
          </w:p>
        </w:tc>
        <w:tc>
          <w:tcPr>
            <w:tcW w:w="5670" w:type="dxa"/>
            <w:gridSpan w:val="10"/>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行政诉讼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blCellSpacing w:w="0" w:type="dxa"/>
          <w:jc w:val="center"/>
        </w:trPr>
        <w:tc>
          <w:tcPr>
            <w:tcW w:w="630" w:type="dxa"/>
            <w:vMerge w:val="restart"/>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255" w:lineRule="atLeast"/>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结果</w:t>
            </w:r>
            <w:r>
              <w:rPr>
                <w:rFonts w:hint="eastAsia" w:ascii="仿宋_GB2312" w:hAnsi="仿宋_GB2312" w:eastAsia="仿宋_GB2312" w:cs="仿宋_GB2312"/>
                <w:spacing w:val="0"/>
                <w:sz w:val="19"/>
                <w:szCs w:val="19"/>
              </w:rPr>
              <w:t xml:space="preserve"> </w:t>
            </w:r>
            <w:r>
              <w:rPr>
                <w:rFonts w:hint="eastAsia" w:ascii="仿宋_GB2312" w:hAnsi="仿宋_GB2312" w:eastAsia="仿宋_GB2312" w:cs="仿宋_GB2312"/>
                <w:spacing w:val="0"/>
                <w:sz w:val="19"/>
                <w:szCs w:val="19"/>
              </w:rPr>
              <w:t>维持</w:t>
            </w:r>
          </w:p>
        </w:tc>
        <w:tc>
          <w:tcPr>
            <w:tcW w:w="630" w:type="dxa"/>
            <w:vMerge w:val="restart"/>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255" w:lineRule="atLeast"/>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结果</w:t>
            </w:r>
            <w:r>
              <w:rPr>
                <w:rFonts w:hint="eastAsia" w:ascii="仿宋_GB2312" w:hAnsi="仿宋_GB2312" w:eastAsia="仿宋_GB2312" w:cs="仿宋_GB2312"/>
                <w:spacing w:val="0"/>
                <w:sz w:val="19"/>
                <w:szCs w:val="19"/>
              </w:rPr>
              <w:t xml:space="preserve"> </w:t>
            </w:r>
            <w:r>
              <w:rPr>
                <w:rFonts w:hint="eastAsia" w:ascii="仿宋_GB2312" w:hAnsi="仿宋_GB2312" w:eastAsia="仿宋_GB2312" w:cs="仿宋_GB2312"/>
                <w:spacing w:val="0"/>
                <w:sz w:val="19"/>
                <w:szCs w:val="19"/>
              </w:rPr>
              <w:t>纠正</w:t>
            </w:r>
          </w:p>
        </w:tc>
        <w:tc>
          <w:tcPr>
            <w:tcW w:w="630" w:type="dxa"/>
            <w:vMerge w:val="restart"/>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255" w:lineRule="atLeast"/>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其他</w:t>
            </w:r>
            <w:r>
              <w:rPr>
                <w:rFonts w:hint="eastAsia" w:ascii="仿宋_GB2312" w:hAnsi="仿宋_GB2312" w:eastAsia="仿宋_GB2312" w:cs="仿宋_GB2312"/>
                <w:spacing w:val="0"/>
                <w:sz w:val="19"/>
                <w:szCs w:val="19"/>
              </w:rPr>
              <w:t xml:space="preserve"> </w:t>
            </w:r>
            <w:r>
              <w:rPr>
                <w:rFonts w:hint="eastAsia" w:ascii="仿宋_GB2312" w:hAnsi="仿宋_GB2312" w:eastAsia="仿宋_GB2312" w:cs="仿宋_GB2312"/>
                <w:spacing w:val="0"/>
                <w:sz w:val="19"/>
                <w:szCs w:val="19"/>
              </w:rPr>
              <w:t>结果</w:t>
            </w:r>
          </w:p>
        </w:tc>
        <w:tc>
          <w:tcPr>
            <w:tcW w:w="630" w:type="dxa"/>
            <w:vMerge w:val="restart"/>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270" w:lineRule="atLeast"/>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尚未</w:t>
            </w:r>
            <w:r>
              <w:rPr>
                <w:rFonts w:hint="eastAsia" w:ascii="仿宋_GB2312" w:hAnsi="仿宋_GB2312" w:eastAsia="仿宋_GB2312" w:cs="仿宋_GB2312"/>
                <w:spacing w:val="0"/>
                <w:sz w:val="19"/>
                <w:szCs w:val="19"/>
              </w:rPr>
              <w:t xml:space="preserve"> </w:t>
            </w:r>
            <w:r>
              <w:rPr>
                <w:rFonts w:hint="eastAsia" w:ascii="仿宋_GB2312" w:hAnsi="仿宋_GB2312" w:eastAsia="仿宋_GB2312" w:cs="仿宋_GB2312"/>
                <w:spacing w:val="0"/>
                <w:sz w:val="19"/>
                <w:szCs w:val="19"/>
              </w:rPr>
              <w:t>审结</w:t>
            </w:r>
          </w:p>
        </w:tc>
        <w:tc>
          <w:tcPr>
            <w:tcW w:w="555" w:type="dxa"/>
            <w:vMerge w:val="restart"/>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总计</w:t>
            </w:r>
          </w:p>
        </w:tc>
        <w:tc>
          <w:tcPr>
            <w:tcW w:w="2820" w:type="dxa"/>
            <w:gridSpan w:val="5"/>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未经复议直接起诉</w:t>
            </w:r>
          </w:p>
        </w:tc>
        <w:tc>
          <w:tcPr>
            <w:tcW w:w="2835" w:type="dxa"/>
            <w:gridSpan w:val="5"/>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复议后起诉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blCellSpacing w:w="0" w:type="dxa"/>
          <w:jc w:val="center"/>
        </w:trPr>
        <w:tc>
          <w:tcPr>
            <w:tcW w:w="6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6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6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630"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555" w:type="dxa"/>
            <w:vMerge w:val="continue"/>
            <w:tcBorders>
              <w:top w:val="single" w:color="auto" w:sz="6" w:space="0"/>
              <w:left w:val="single" w:color="auto" w:sz="6" w:space="0"/>
              <w:bottom w:val="nil"/>
              <w:right w:val="nil"/>
            </w:tcBorders>
            <w:shd w:val="clear" w:color="auto" w:fill="FFFFFF"/>
            <w:tcMar>
              <w:top w:w="0" w:type="dxa"/>
              <w:bottom w:w="0" w:type="dxa"/>
            </w:tcMar>
            <w:vAlign w:val="center"/>
          </w:tcPr>
          <w:p>
            <w:pPr>
              <w:rPr>
                <w:rFonts w:hint="eastAsia" w:ascii="仿宋_GB2312" w:hAnsi="仿宋_GB2312" w:eastAsia="仿宋_GB2312" w:cs="仿宋_GB2312"/>
                <w:sz w:val="24"/>
                <w:szCs w:val="24"/>
              </w:rPr>
            </w:pP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270" w:lineRule="atLeast"/>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结果</w:t>
            </w:r>
            <w:r>
              <w:rPr>
                <w:rFonts w:hint="eastAsia" w:ascii="仿宋_GB2312" w:hAnsi="仿宋_GB2312" w:eastAsia="仿宋_GB2312" w:cs="仿宋_GB2312"/>
                <w:spacing w:val="0"/>
                <w:sz w:val="19"/>
                <w:szCs w:val="19"/>
              </w:rPr>
              <w:t xml:space="preserve"> </w:t>
            </w:r>
            <w:r>
              <w:rPr>
                <w:rFonts w:hint="eastAsia" w:ascii="仿宋_GB2312" w:hAnsi="仿宋_GB2312" w:eastAsia="仿宋_GB2312" w:cs="仿宋_GB2312"/>
                <w:spacing w:val="0"/>
                <w:sz w:val="19"/>
                <w:szCs w:val="19"/>
              </w:rPr>
              <w:t>维持</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255" w:lineRule="atLeast"/>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结果</w:t>
            </w:r>
            <w:r>
              <w:rPr>
                <w:rFonts w:hint="eastAsia" w:ascii="仿宋_GB2312" w:hAnsi="仿宋_GB2312" w:eastAsia="仿宋_GB2312" w:cs="仿宋_GB2312"/>
                <w:spacing w:val="0"/>
                <w:sz w:val="19"/>
                <w:szCs w:val="19"/>
              </w:rPr>
              <w:t xml:space="preserve"> </w:t>
            </w:r>
            <w:r>
              <w:rPr>
                <w:rFonts w:hint="eastAsia" w:ascii="仿宋_GB2312" w:hAnsi="仿宋_GB2312" w:eastAsia="仿宋_GB2312" w:cs="仿宋_GB2312"/>
                <w:spacing w:val="0"/>
                <w:sz w:val="19"/>
                <w:szCs w:val="19"/>
              </w:rPr>
              <w:t>纠正</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255" w:lineRule="atLeast"/>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其他</w:t>
            </w:r>
            <w:r>
              <w:rPr>
                <w:rFonts w:hint="eastAsia" w:ascii="仿宋_GB2312" w:hAnsi="仿宋_GB2312" w:eastAsia="仿宋_GB2312" w:cs="仿宋_GB2312"/>
                <w:spacing w:val="0"/>
                <w:sz w:val="19"/>
                <w:szCs w:val="19"/>
              </w:rPr>
              <w:t xml:space="preserve"> </w:t>
            </w:r>
            <w:r>
              <w:rPr>
                <w:rFonts w:hint="eastAsia" w:ascii="仿宋_GB2312" w:hAnsi="仿宋_GB2312" w:eastAsia="仿宋_GB2312" w:cs="仿宋_GB2312"/>
                <w:spacing w:val="0"/>
                <w:sz w:val="19"/>
                <w:szCs w:val="19"/>
              </w:rPr>
              <w:t>结果</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270" w:lineRule="atLeast"/>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尚未</w:t>
            </w:r>
            <w:r>
              <w:rPr>
                <w:rFonts w:hint="eastAsia" w:ascii="仿宋_GB2312" w:hAnsi="仿宋_GB2312" w:eastAsia="仿宋_GB2312" w:cs="仿宋_GB2312"/>
                <w:spacing w:val="0"/>
                <w:sz w:val="19"/>
                <w:szCs w:val="19"/>
              </w:rPr>
              <w:t xml:space="preserve"> </w:t>
            </w:r>
            <w:r>
              <w:rPr>
                <w:rFonts w:hint="eastAsia" w:ascii="仿宋_GB2312" w:hAnsi="仿宋_GB2312" w:eastAsia="仿宋_GB2312" w:cs="仿宋_GB2312"/>
                <w:spacing w:val="0"/>
                <w:sz w:val="19"/>
                <w:szCs w:val="19"/>
              </w:rPr>
              <w:t>审结</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165" w:beforeAutospacing="0" w:after="0" w:afterAutospacing="0"/>
              <w:ind w:left="0" w:right="0" w:firstLine="225"/>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总计</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270" w:lineRule="atLeast"/>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结果</w:t>
            </w:r>
            <w:r>
              <w:rPr>
                <w:rFonts w:hint="eastAsia" w:ascii="仿宋_GB2312" w:hAnsi="仿宋_GB2312" w:eastAsia="仿宋_GB2312" w:cs="仿宋_GB2312"/>
                <w:spacing w:val="0"/>
                <w:sz w:val="19"/>
                <w:szCs w:val="19"/>
              </w:rPr>
              <w:t xml:space="preserve"> </w:t>
            </w:r>
            <w:r>
              <w:rPr>
                <w:rFonts w:hint="eastAsia" w:ascii="仿宋_GB2312" w:hAnsi="仿宋_GB2312" w:eastAsia="仿宋_GB2312" w:cs="仿宋_GB2312"/>
                <w:spacing w:val="0"/>
                <w:sz w:val="19"/>
                <w:szCs w:val="19"/>
              </w:rPr>
              <w:t>维持</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255" w:lineRule="atLeast"/>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结果</w:t>
            </w:r>
            <w:r>
              <w:rPr>
                <w:rFonts w:hint="eastAsia" w:ascii="仿宋_GB2312" w:hAnsi="仿宋_GB2312" w:eastAsia="仿宋_GB2312" w:cs="仿宋_GB2312"/>
                <w:spacing w:val="0"/>
                <w:sz w:val="19"/>
                <w:szCs w:val="19"/>
              </w:rPr>
              <w:t xml:space="preserve"> </w:t>
            </w:r>
            <w:r>
              <w:rPr>
                <w:rFonts w:hint="eastAsia" w:ascii="仿宋_GB2312" w:hAnsi="仿宋_GB2312" w:eastAsia="仿宋_GB2312" w:cs="仿宋_GB2312"/>
                <w:spacing w:val="0"/>
                <w:sz w:val="19"/>
                <w:szCs w:val="19"/>
              </w:rPr>
              <w:t>纠正</w:t>
            </w:r>
          </w:p>
        </w:tc>
        <w:tc>
          <w:tcPr>
            <w:tcW w:w="555"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270" w:lineRule="atLeast"/>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其他</w:t>
            </w:r>
            <w:r>
              <w:rPr>
                <w:rFonts w:hint="eastAsia" w:ascii="仿宋_GB2312" w:hAnsi="仿宋_GB2312" w:eastAsia="仿宋_GB2312" w:cs="仿宋_GB2312"/>
                <w:spacing w:val="0"/>
                <w:sz w:val="19"/>
                <w:szCs w:val="19"/>
              </w:rPr>
              <w:t xml:space="preserve"> </w:t>
            </w:r>
            <w:r>
              <w:rPr>
                <w:rFonts w:hint="eastAsia" w:ascii="仿宋_GB2312" w:hAnsi="仿宋_GB2312" w:eastAsia="仿宋_GB2312" w:cs="仿宋_GB2312"/>
                <w:spacing w:val="0"/>
                <w:sz w:val="19"/>
                <w:szCs w:val="19"/>
              </w:rPr>
              <w:t>结果</w:t>
            </w:r>
          </w:p>
        </w:tc>
        <w:tc>
          <w:tcPr>
            <w:tcW w:w="570" w:type="dxa"/>
            <w:tcBorders>
              <w:top w:val="single" w:color="auto" w:sz="6" w:space="0"/>
              <w:left w:val="single" w:color="auto" w:sz="6" w:space="0"/>
              <w:bottom w:val="nil"/>
              <w:right w:val="nil"/>
            </w:tcBorders>
            <w:shd w:val="clear" w:color="auto" w:fill="FFFFFF"/>
            <w:tcMar>
              <w:top w:w="0" w:type="dxa"/>
              <w:bottom w:w="0" w:type="dxa"/>
            </w:tcMar>
            <w:vAlign w:val="center"/>
          </w:tcPr>
          <w:p>
            <w:pPr>
              <w:pStyle w:val="3"/>
              <w:keepNext w:val="0"/>
              <w:keepLines w:val="0"/>
              <w:widowControl/>
              <w:suppressLineNumbers w:val="0"/>
              <w:spacing w:before="0" w:beforeAutospacing="0" w:after="0" w:afterAutospacing="0" w:line="270" w:lineRule="atLeast"/>
              <w:ind w:left="0" w:right="0" w:firstLine="0"/>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尚未</w:t>
            </w:r>
            <w:r>
              <w:rPr>
                <w:rFonts w:hint="eastAsia" w:ascii="仿宋_GB2312" w:hAnsi="仿宋_GB2312" w:eastAsia="仿宋_GB2312" w:cs="仿宋_GB2312"/>
                <w:spacing w:val="0"/>
                <w:sz w:val="19"/>
                <w:szCs w:val="19"/>
              </w:rPr>
              <w:t xml:space="preserve"> </w:t>
            </w:r>
            <w:r>
              <w:rPr>
                <w:rFonts w:hint="eastAsia" w:ascii="仿宋_GB2312" w:hAnsi="仿宋_GB2312" w:eastAsia="仿宋_GB2312" w:cs="仿宋_GB2312"/>
                <w:spacing w:val="0"/>
                <w:sz w:val="19"/>
                <w:szCs w:val="19"/>
              </w:rPr>
              <w:t>审结</w:t>
            </w:r>
          </w:p>
        </w:tc>
        <w:tc>
          <w:tcPr>
            <w:tcW w:w="585" w:type="dxa"/>
            <w:tcBorders>
              <w:top w:val="single" w:color="auto" w:sz="6" w:space="0"/>
              <w:left w:val="single" w:color="auto" w:sz="6" w:space="0"/>
              <w:bottom w:val="nil"/>
              <w:right w:val="single" w:color="auto" w:sz="6" w:space="0"/>
            </w:tcBorders>
            <w:shd w:val="clear" w:color="auto" w:fill="FFFFFF"/>
            <w:tcMar>
              <w:top w:w="0" w:type="dxa"/>
              <w:bottom w:w="0" w:type="dxa"/>
            </w:tcMar>
            <w:vAlign w:val="center"/>
          </w:tcPr>
          <w:p>
            <w:pPr>
              <w:pStyle w:val="3"/>
              <w:keepNext w:val="0"/>
              <w:keepLines w:val="0"/>
              <w:widowControl/>
              <w:suppressLineNumbers w:val="0"/>
              <w:spacing w:before="180" w:beforeAutospacing="0" w:after="0" w:afterAutospacing="0"/>
              <w:ind w:left="0" w:right="0" w:firstLine="225"/>
              <w:jc w:val="center"/>
              <w:rPr>
                <w:rFonts w:hint="eastAsia" w:ascii="仿宋_GB2312" w:hAnsi="仿宋_GB2312" w:eastAsia="仿宋_GB2312" w:cs="仿宋_GB2312"/>
              </w:rPr>
            </w:pPr>
            <w:r>
              <w:rPr>
                <w:rFonts w:hint="eastAsia" w:ascii="仿宋_GB2312" w:hAnsi="仿宋_GB2312" w:eastAsia="仿宋_GB2312" w:cs="仿宋_GB2312"/>
                <w:spacing w:val="0"/>
                <w:sz w:val="19"/>
                <w:szCs w:val="19"/>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blCellSpacing w:w="0" w:type="dxa"/>
          <w:jc w:val="center"/>
        </w:trPr>
        <w:tc>
          <w:tcPr>
            <w:tcW w:w="630"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630"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55"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70" w:type="dxa"/>
            <w:tcBorders>
              <w:top w:val="single" w:color="auto" w:sz="6" w:space="0"/>
              <w:left w:val="single" w:color="auto" w:sz="6" w:space="0"/>
              <w:bottom w:val="single" w:color="auto" w:sz="6" w:space="0"/>
              <w:right w:val="nil"/>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c>
          <w:tcPr>
            <w:tcW w:w="585" w:type="dxa"/>
            <w:tcBorders>
              <w:top w:val="single" w:color="auto" w:sz="6" w:space="0"/>
              <w:left w:val="single" w:color="auto" w:sz="6" w:space="0"/>
              <w:bottom w:val="single" w:color="auto" w:sz="6" w:space="0"/>
              <w:right w:val="single" w:color="auto" w:sz="6" w:space="0"/>
            </w:tcBorders>
            <w:shd w:val="clear" w:color="auto" w:fill="FFFFFF"/>
            <w:tcMar>
              <w:top w:w="0" w:type="dxa"/>
              <w:bottom w:w="0" w:type="dxa"/>
            </w:tcMar>
            <w:vAlign w:val="center"/>
          </w:tcPr>
          <w:p>
            <w:pPr>
              <w:pStyle w:val="3"/>
              <w:keepNext w:val="0"/>
              <w:keepLines w:val="0"/>
              <w:widowControl/>
              <w:suppressLineNumbers w:val="0"/>
              <w:jc w:val="center"/>
              <w:rPr>
                <w:rFonts w:hint="eastAsia" w:ascii="仿宋_GB2312" w:hAnsi="仿宋_GB2312" w:eastAsia="仿宋_GB2312" w:cs="仿宋_GB2312"/>
                <w:sz w:val="21"/>
                <w:szCs w:val="21"/>
              </w:rPr>
            </w:pPr>
            <w:r>
              <w:rPr>
                <w:rFonts w:hint="eastAsia" w:ascii="仿宋_GB2312" w:hAnsi="仿宋_GB2312" w:eastAsia="仿宋_GB2312" w:cs="仿宋_GB2312"/>
                <w:sz w:val="22"/>
                <w:szCs w:val="22"/>
              </w:rPr>
              <w:t>0</w:t>
            </w:r>
          </w:p>
        </w:tc>
      </w:tr>
    </w:tbl>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五、存在的主要问题及改进情况</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一方面，政务公开信息内容单一，人民群众关心的公共事务的决策依据类公开信息不多。另一方面，虽然有专职政务公开工作的人员，但政务信息公开工作人员由办公室人员兼任，日常业务工作量大，存在对政务公开的相关政策存在领会不深、业务不精现象，业务能力需进一步加强。针对上述问题，环翠区卫生健康局积极整改，加大政策性文件公开力度，上传了20余篇卫生健康相关领域文件；加强对政务公开人员的培训教育，仔细钻研政务公开相关文件，加强了服务意识和政务公开专业技能能力。</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六、其他需要报告的事项</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1.政府信息公开申请收费情况。</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本年度我单位依申请公开政府信息未收取任何费用。</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2.落实环翠区2022年度政务公开工作要点情况。</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严格按照上级要求完善政府信息公开目录和指南，加强重点工作领域信息公开，积极转变政府职能，加强公开公众关注度和需求度较高的重点工作领域，强化疫情防控专题信息公开，提升政府工作透明度，保障群众知情权、参与权、表达权和监督权。</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3.人大代表建议、政协委员提案办理情况。</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2022年共回复人大代表建议4条，分别为关于区人大十九届一次会议第29号代表提案的答复、关于区人大十九届一次会议第30号代表提案的答复、关于区人大十九届一次会议第32号代表提案的答复、关于区人大十九届一次会议第35号代表提案的答复；回复政协委员提案9条，分别为关于区政协十五届一次会议第56号委员提案的答复、关于区政协十五届一次会议第74号委员提案的答复、关于区政协十五届一次会议第75号委员提案的答复、关于区政协十五届一次会议第76号委员提案的答复、关于区政协十五届一次会议第89号委员提案的答复、关于区政协十五届一次会议第90号委员提案的答复、关于区政协十五届一次会议第100号委员提案的答复、关于区政协十五届一次会议第110号委员提案的答复、关于区政协十五届一次会议第113号委员提案的答复。</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4.政务公开工作创新情况。</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创建卫生健康系统信息公开页面，群众可查看本辖区各医院“基础信息”“资质标识”“环境引导”“诊疗服务”“行风与投诉”“科普健教”“便民服务”等信息，环翠区以公众需求为中心，回应群众对公共企事业单位政务和办事服务的关切，全方位和高质量的政务公开提升了卫生健康系统公共企事业单位服务水平，不断满足和解决公众各方面的就医服务需求，切实提高了人民群众满意度、获得感，打造了政务公开工作新亮点。</w:t>
      </w:r>
    </w:p>
    <w:p>
      <w:pPr>
        <w:pStyle w:val="3"/>
        <w:keepNext w:val="0"/>
        <w:keepLines w:val="0"/>
        <w:widowControl/>
        <w:suppressLineNumbers w:val="0"/>
        <w:ind w:left="0" w:firstLine="420"/>
        <w:jc w:val="left"/>
        <w:rPr>
          <w:rFonts w:hint="eastAsia" w:ascii="仿宋_GB2312" w:hAnsi="仿宋_GB2312" w:eastAsia="仿宋_GB2312" w:cs="仿宋_GB2312"/>
        </w:rPr>
      </w:pPr>
      <w:r>
        <w:rPr>
          <w:rFonts w:hint="eastAsia" w:ascii="仿宋_GB2312" w:hAnsi="仿宋_GB2312" w:eastAsia="仿宋_GB2312" w:cs="仿宋_GB2312"/>
        </w:rPr>
        <w:t>5.所属事业单位信息公开工作情况。</w:t>
      </w:r>
    </w:p>
    <w:p>
      <w:pPr>
        <w:pStyle w:val="3"/>
        <w:keepNext w:val="0"/>
        <w:keepLines w:val="0"/>
        <w:widowControl/>
        <w:suppressLineNumbers w:val="0"/>
        <w:ind w:left="0" w:firstLine="420"/>
        <w:jc w:val="left"/>
      </w:pPr>
      <w:r>
        <w:rPr>
          <w:rFonts w:hint="eastAsia" w:ascii="仿宋_GB2312" w:hAnsi="仿宋_GB2312" w:eastAsia="仿宋_GB2312" w:cs="仿宋_GB2312"/>
        </w:rPr>
        <w:t>为深入落实《中华人民共和国政府信息公开条例》《公共企事业单位信息公开规定制定办法》《2022年山东省公共企事业单位信息公开第三方评估指标体系》等文件要求，2022年环翠区卫生健康领域主要对辖区内医院、基层医疗卫生机构、妇幼保健机构、疾病预防控制中心等14家单位信息进行公开公示，2022年共计公示信息466条。</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魏碑简体">
    <w:panose1 w:val="02010601030101010101"/>
    <w:charset w:val="86"/>
    <w:family w:val="auto"/>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3NjViOWMyYTBmZDk1ZTI2ZDJmYTJjNDQ3ZDdjMzQifQ=="/>
  </w:docVars>
  <w:rsids>
    <w:rsidRoot w:val="00000000"/>
    <w:rsid w:val="14FD077E"/>
    <w:rsid w:val="55AB65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autoRedefine/>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autoRedefine/>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Hyperlink"/>
    <w:basedOn w:val="5"/>
    <w:uiPriority w:val="0"/>
    <w:rPr>
      <w:color w:val="0000FF"/>
      <w:u w:val="single"/>
    </w:rPr>
  </w:style>
  <w:style w:type="character" w:customStyle="1" w:styleId="7">
    <w:name w:val="font81"/>
    <w:basedOn w:val="5"/>
    <w:uiPriority w:val="0"/>
    <w:rPr>
      <w:rFonts w:hint="default" w:ascii="Times New Roman" w:hAnsi="Times New Roman" w:cs="Times New Roman"/>
      <w:color w:val="000000"/>
      <w:sz w:val="18"/>
      <w:szCs w:val="18"/>
      <w:u w:val="none"/>
    </w:rPr>
  </w:style>
  <w:style w:type="character" w:customStyle="1" w:styleId="8">
    <w:name w:val="font91"/>
    <w:basedOn w:val="5"/>
    <w:uiPriority w:val="0"/>
    <w:rPr>
      <w:rFonts w:hint="eastAsia" w:ascii="宋体" w:hAnsi="宋体" w:eastAsia="宋体" w:cs="宋体"/>
      <w:color w:val="000000"/>
      <w:sz w:val="18"/>
      <w:szCs w:val="18"/>
      <w:u w:val="none"/>
    </w:rPr>
  </w:style>
  <w:style w:type="character" w:customStyle="1" w:styleId="9">
    <w:name w:val="font101"/>
    <w:basedOn w:val="5"/>
    <w:uiPriority w:val="0"/>
    <w:rPr>
      <w:rFonts w:hint="eastAsia" w:ascii="宋体" w:hAnsi="宋体" w:eastAsia="宋体" w:cs="宋体"/>
      <w:color w:val="000000"/>
      <w:sz w:val="20"/>
      <w:szCs w:val="20"/>
      <w:u w:val="none"/>
    </w:rPr>
  </w:style>
  <w:style w:type="character" w:customStyle="1" w:styleId="10">
    <w:name w:val="font111"/>
    <w:basedOn w:val="5"/>
    <w:uiPriority w:val="0"/>
    <w:rPr>
      <w:rFonts w:hint="default" w:ascii="Times New Roman" w:hAnsi="Times New Roman" w:cs="Times New Roman"/>
      <w:color w:val="000000"/>
      <w:sz w:val="20"/>
      <w:szCs w:val="2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72</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2024-01-08T05:45:00Z</dcterms:created>
  <dc:creator>Administrator</dc:creator>
  <cp:lastModifiedBy>Administrator</cp:lastModifiedBy>
  <dcterms:modified xsi:type="dcterms:W3CDTF">2024-01-11T09:05:14Z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5DE196A551D044B889DF9C7EA3A4FEE7_12</vt:lpwstr>
  </property>
</Properties>
</file>