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5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0"/>
        <w:jc w:val="both"/>
        <w:textAlignment w:val="auto"/>
        <w:outlineLvl w:val="9"/>
        <w:rPr>
          <w:rFonts w:hint="default" w:ascii="Times New Roman" w:hAnsi="Times New Roman" w:eastAsia="方正小标宋简体" w:cs="Times New Roman"/>
          <w:b w:val="0"/>
          <w:bCs/>
          <w:i w:val="0"/>
          <w:caps w:val="0"/>
          <w:color w:val="333333"/>
          <w:spacing w:val="0"/>
          <w:sz w:val="44"/>
          <w:szCs w:val="44"/>
          <w:shd w:val="clear" w:fill="FFFFFF"/>
          <w:lang w:eastAsia="zh-CN"/>
        </w:rPr>
      </w:pPr>
    </w:p>
    <w:p>
      <w:pPr>
        <w:pStyle w:val="5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0"/>
        <w:jc w:val="center"/>
        <w:textAlignment w:val="auto"/>
        <w:outlineLvl w:val="9"/>
        <w:rPr>
          <w:rFonts w:hint="default" w:ascii="Times New Roman" w:hAnsi="Times New Roman" w:eastAsia="方正小标宋简体" w:cs="Times New Roman"/>
          <w:b w:val="0"/>
          <w:bCs/>
          <w:i w:val="0"/>
          <w:caps w:val="0"/>
          <w:color w:val="auto"/>
          <w:spacing w:val="-17"/>
          <w:sz w:val="44"/>
          <w:szCs w:val="44"/>
          <w:shd w:val="clear" w:fill="FFFFFF"/>
          <w:lang w:val="en-US" w:eastAsia="zh-CN"/>
        </w:rPr>
      </w:pPr>
      <w:r>
        <w:rPr>
          <w:rFonts w:hint="default" w:ascii="Times New Roman" w:hAnsi="Times New Roman" w:eastAsia="方正小标宋简体" w:cs="Times New Roman"/>
          <w:b w:val="0"/>
          <w:bCs/>
          <w:i w:val="0"/>
          <w:caps w:val="0"/>
          <w:color w:val="auto"/>
          <w:spacing w:val="-17"/>
          <w:sz w:val="44"/>
          <w:szCs w:val="44"/>
          <w:shd w:val="clear" w:fill="FFFFFF"/>
          <w:lang w:val="en-US" w:eastAsia="zh-CN"/>
        </w:rPr>
        <w:t>威海市环翠区竹岛街道办事处</w:t>
      </w:r>
    </w:p>
    <w:p>
      <w:pPr>
        <w:pStyle w:val="5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0"/>
        <w:jc w:val="center"/>
        <w:textAlignment w:val="auto"/>
        <w:outlineLvl w:val="9"/>
        <w:rPr>
          <w:rFonts w:hint="default" w:ascii="Times New Roman" w:hAnsi="Times New Roman" w:eastAsia="方正小标宋简体" w:cs="Times New Roman"/>
          <w:b w:val="0"/>
          <w:bCs/>
          <w:i w:val="0"/>
          <w:caps w:val="0"/>
          <w:color w:val="333333"/>
          <w:spacing w:val="0"/>
          <w:sz w:val="44"/>
          <w:szCs w:val="44"/>
          <w:lang w:val="en-US" w:eastAsia="zh-CN"/>
        </w:rPr>
      </w:pPr>
      <w:r>
        <w:rPr>
          <w:rFonts w:hint="default" w:ascii="Times New Roman" w:hAnsi="Times New Roman" w:eastAsia="方正小标宋简体" w:cs="Times New Roman"/>
          <w:b w:val="0"/>
          <w:bCs/>
          <w:i w:val="0"/>
          <w:caps w:val="0"/>
          <w:color w:val="333333"/>
          <w:spacing w:val="-17"/>
          <w:sz w:val="44"/>
          <w:szCs w:val="44"/>
          <w:shd w:val="clear" w:fill="FFFFFF"/>
          <w:lang w:val="en-US" w:eastAsia="zh-CN"/>
        </w:rPr>
        <w:t>2025年</w:t>
      </w:r>
      <w:r>
        <w:rPr>
          <w:rFonts w:hint="default" w:ascii="Times New Roman" w:hAnsi="Times New Roman" w:eastAsia="方正小标宋简体" w:cs="Times New Roman"/>
          <w:b w:val="0"/>
          <w:bCs/>
          <w:i w:val="0"/>
          <w:caps w:val="0"/>
          <w:color w:val="333333"/>
          <w:spacing w:val="-17"/>
          <w:sz w:val="44"/>
          <w:szCs w:val="44"/>
          <w:shd w:val="clear" w:fill="FFFFFF"/>
        </w:rPr>
        <w:t>政府信息公开工作</w:t>
      </w:r>
      <w:r>
        <w:rPr>
          <w:rFonts w:hint="default" w:ascii="Times New Roman" w:hAnsi="Times New Roman" w:eastAsia="方正小标宋简体" w:cs="Times New Roman"/>
          <w:b w:val="0"/>
          <w:bCs/>
          <w:i w:val="0"/>
          <w:caps w:val="0"/>
          <w:color w:val="333333"/>
          <w:spacing w:val="0"/>
          <w:sz w:val="44"/>
          <w:szCs w:val="44"/>
          <w:shd w:val="clear" w:fill="FFFFFF"/>
        </w:rPr>
        <w:t>年度报告</w:t>
      </w:r>
    </w:p>
    <w:p>
      <w:pPr>
        <w:pStyle w:val="5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="0" w:beforeAutospacing="0" w:after="0" w:afterAutospacing="0" w:line="560" w:lineRule="exact"/>
        <w:jc w:val="both"/>
        <w:textAlignment w:val="auto"/>
        <w:rPr>
          <w:rFonts w:hint="default" w:ascii="Times New Roman" w:hAnsi="Times New Roman" w:eastAsia="仿宋_GB2312" w:cs="Times New Roman"/>
          <w:color w:val="000000"/>
          <w:sz w:val="32"/>
          <w:szCs w:val="32"/>
        </w:rPr>
      </w:pPr>
    </w:p>
    <w:p>
      <w:pPr>
        <w:pStyle w:val="5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="0" w:beforeAutospacing="0" w:after="0" w:afterAutospacing="0" w:line="560" w:lineRule="exact"/>
        <w:ind w:left="0" w:firstLine="645"/>
        <w:jc w:val="both"/>
        <w:textAlignment w:val="auto"/>
        <w:rPr>
          <w:rFonts w:hint="default" w:ascii="Times New Roman" w:hAnsi="Times New Roman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根据《中华人民共和国政府信息公开条例》（国务院令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  <w:t>第</w:t>
      </w:r>
      <w:r>
        <w:rPr>
          <w:rFonts w:hint="default" w:ascii="Times New Roman" w:hAnsi="Times New Roman" w:cs="Times New Roman"/>
          <w:color w:val="auto"/>
          <w:sz w:val="32"/>
          <w:szCs w:val="32"/>
          <w:highlight w:val="none"/>
        </w:rPr>
        <w:t>711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  <w:t>号，以下简称《条例》）和《中华人民共和国政府信息公开工作年度报告格式》（国办公开办函〔</w:t>
      </w:r>
      <w:r>
        <w:rPr>
          <w:rFonts w:hint="default" w:ascii="Times New Roman" w:hAnsi="Times New Roman" w:cs="Times New Roman"/>
          <w:color w:val="auto"/>
          <w:sz w:val="32"/>
          <w:szCs w:val="32"/>
          <w:highlight w:val="none"/>
        </w:rPr>
        <w:t>2021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  <w:t>〕30号）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要求，结合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202</w:t>
      </w:r>
      <w:r>
        <w:rPr>
          <w:rFonts w:hint="default" w:ascii="Times New Roman" w:hAnsi="Times New Roman" w:cs="Times New Roman"/>
          <w:color w:val="auto"/>
          <w:sz w:val="32"/>
          <w:szCs w:val="32"/>
          <w:lang w:val="en-US" w:eastAsia="zh-CN"/>
        </w:rPr>
        <w:t>5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年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威海市环翠区竹岛街道办事处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政府信息公开工作实际，编制发布本报告。</w:t>
      </w:r>
    </w:p>
    <w:p>
      <w:pPr>
        <w:pStyle w:val="5"/>
        <w:keepNext w:val="0"/>
        <w:keepLines w:val="0"/>
        <w:pageBreakBefore w:val="0"/>
        <w:widowControl/>
        <w:suppressLineNumbers w:val="0"/>
        <w:kinsoku/>
        <w:wordWrap w:val="0"/>
        <w:overflowPunct/>
        <w:topLinePunct w:val="0"/>
        <w:autoSpaceDE w:val="0"/>
        <w:autoSpaceDN/>
        <w:bidi w:val="0"/>
        <w:adjustRightInd/>
        <w:snapToGrid/>
        <w:spacing w:before="0" w:beforeAutospacing="0" w:after="0" w:afterAutospacing="0" w:line="560" w:lineRule="exact"/>
        <w:ind w:left="0" w:firstLine="646"/>
        <w:jc w:val="both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本报告内容包括：总体情况、主动公开政府信息情况、收到和处理政府信息公开申请情况、政府信息公开行政复议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及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行政诉讼情况、存在的主要问题及改进情况、其他事项，以及相关指标统计附表等。报告中所列数据统计期限从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202</w:t>
      </w:r>
      <w:r>
        <w:rPr>
          <w:rFonts w:hint="default" w:ascii="Times New Roman" w:hAnsi="Times New Roman" w:cs="Times New Roman"/>
          <w:color w:val="auto"/>
          <w:sz w:val="32"/>
          <w:szCs w:val="32"/>
          <w:lang w:val="en-US" w:eastAsia="zh-CN"/>
        </w:rPr>
        <w:t>5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年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1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月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1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日到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12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月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31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日止。报告电子版可从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威海市环翠区人民政府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网站（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u w:val="none"/>
          <w:lang w:val="en-US" w:eastAsia="zh-CN"/>
        </w:rPr>
        <w:t>网址：</w:t>
      </w:r>
      <w:bookmarkStart w:id="0" w:name="OLE_LINK3"/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auto"/>
          <w:spacing w:val="0"/>
          <w:sz w:val="32"/>
          <w:szCs w:val="32"/>
          <w:u w:val="none"/>
        </w:rPr>
        <w:t>http://www.huancui.gov.cn/col/col57847/index.html?vc_xxgkarea=113710020043612334</w:t>
      </w:r>
      <w:bookmarkEnd w:id="0"/>
      <w:r>
        <w:rPr>
          <w:rFonts w:hint="default" w:ascii="Times New Roman" w:hAnsi="Times New Roman" w:eastAsia="仿宋_GB2312" w:cs="Times New Roman"/>
          <w:color w:val="auto"/>
          <w:sz w:val="32"/>
          <w:szCs w:val="32"/>
          <w:u w:val="none"/>
        </w:rPr>
        <w:t>）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查阅或下载。公众如需进一步咨询了解相关信息，请与威海市环翠区竹岛街道办事处党政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事务综合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办公室联系（地址：环翠区新威路141号，电话：0631-5322764）</w:t>
      </w:r>
    </w:p>
    <w:p>
      <w:pPr>
        <w:pStyle w:val="5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FF0000"/>
          <w:kern w:val="0"/>
          <w:sz w:val="32"/>
          <w:szCs w:val="32"/>
          <w:lang w:val="en-US" w:eastAsia="zh-CN" w:bidi="ar"/>
        </w:rPr>
      </w:pPr>
      <w:r>
        <w:rPr>
          <w:rFonts w:hint="default" w:ascii="Times New Roman" w:hAnsi="Times New Roman" w:eastAsia="黑体" w:cs="Times New Roman"/>
          <w:b w:val="0"/>
          <w:bCs/>
          <w:i w:val="0"/>
          <w:caps w:val="0"/>
          <w:color w:val="333333"/>
          <w:spacing w:val="0"/>
          <w:sz w:val="32"/>
          <w:szCs w:val="32"/>
          <w:shd w:val="clear" w:fill="FFFFFF"/>
        </w:rPr>
        <w:t>一、总体情况</w:t>
      </w:r>
    </w:p>
    <w:p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0"/>
          <w:sz w:val="32"/>
          <w:szCs w:val="32"/>
          <w:lang w:val="en-US" w:eastAsia="zh-CN" w:bidi="ar"/>
        </w:rPr>
      </w:pPr>
      <w:r>
        <w:rPr>
          <w:rFonts w:hint="default" w:ascii="Times New Roman" w:hAnsi="Times New Roman" w:eastAsia="仿宋_GB2312" w:cs="Times New Roman"/>
          <w:color w:val="auto"/>
          <w:kern w:val="0"/>
          <w:sz w:val="32"/>
          <w:szCs w:val="32"/>
          <w:lang w:val="en-US" w:eastAsia="zh-CN" w:bidi="ar"/>
        </w:rPr>
        <w:t>2025年，竹岛街道办事处锚定基层</w:t>
      </w:r>
      <w:r>
        <w:rPr>
          <w:rFonts w:hint="eastAsia" w:ascii="Times New Roman" w:hAnsi="Times New Roman" w:eastAsia="仿宋_GB2312" w:cs="Times New Roman"/>
          <w:color w:val="auto"/>
          <w:kern w:val="0"/>
          <w:sz w:val="32"/>
          <w:szCs w:val="32"/>
          <w:lang w:val="en-US" w:eastAsia="zh-CN" w:bidi="ar"/>
        </w:rPr>
        <w:t>政务</w:t>
      </w:r>
      <w:bookmarkStart w:id="13" w:name="_GoBack"/>
      <w:bookmarkEnd w:id="13"/>
      <w:r>
        <w:rPr>
          <w:rFonts w:hint="default" w:ascii="Times New Roman" w:hAnsi="Times New Roman" w:eastAsia="仿宋_GB2312" w:cs="Times New Roman"/>
          <w:color w:val="auto"/>
          <w:kern w:val="0"/>
          <w:sz w:val="32"/>
          <w:szCs w:val="32"/>
          <w:lang w:val="en-US" w:eastAsia="zh-CN" w:bidi="ar"/>
        </w:rPr>
        <w:t>公开标准化、规范化建设目标，严格遵循《中华人民共和国政府信息公开条例》的核心要求，紧密衔接区委、区政府政务公开工作部署，以保障群众知情权、参与权为核心，全面推进政务公开提质增效，持续优化法治化、透明化政务环境。</w:t>
      </w:r>
    </w:p>
    <w:p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0"/>
          <w:sz w:val="32"/>
          <w:szCs w:val="32"/>
          <w:highlight w:val="none"/>
          <w:lang w:val="en-US" w:eastAsia="zh-CN" w:bidi="ar"/>
        </w:rPr>
      </w:pP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1.</w:t>
      </w:r>
      <w:r>
        <w:rPr>
          <w:rFonts w:hint="default" w:ascii="Times New Roman" w:hAnsi="Times New Roman" w:eastAsia="楷体_GB2312" w:cs="Times New Roman"/>
          <w:b w:val="0"/>
          <w:bCs/>
          <w:color w:val="auto"/>
          <w:sz w:val="32"/>
          <w:szCs w:val="32"/>
          <w:lang w:val="en-US" w:eastAsia="zh-CN"/>
        </w:rPr>
        <w:t>主动公开。</w:t>
      </w:r>
      <w:r>
        <w:rPr>
          <w:rFonts w:hint="default" w:ascii="Times New Roman" w:hAnsi="Times New Roman" w:eastAsia="仿宋_GB2312" w:cs="Times New Roman"/>
          <w:color w:val="auto"/>
          <w:kern w:val="0"/>
          <w:sz w:val="32"/>
          <w:szCs w:val="32"/>
          <w:lang w:val="en-US" w:eastAsia="zh-CN" w:bidi="ar"/>
        </w:rPr>
        <w:t>竹岛街道办事处紧扣单位中心工作，精准划定主动公开范围，重点公开民生实事项目建设、政策文件、公共服务事项、社区精品活动等核心内容。通过区政府门户网站、“今日竹岛”官方微信公众号等多元渠道，有序推送公开信息，确保群众及时获取关键资讯</w:t>
      </w:r>
      <w:r>
        <w:rPr>
          <w:rFonts w:hint="default" w:ascii="Times New Roman" w:hAnsi="Times New Roman" w:eastAsia="仿宋_GB2312" w:cs="Times New Roman"/>
          <w:color w:val="auto"/>
          <w:kern w:val="0"/>
          <w:sz w:val="32"/>
          <w:szCs w:val="32"/>
          <w:highlight w:val="none"/>
          <w:lang w:val="en-US" w:eastAsia="zh-CN" w:bidi="ar"/>
        </w:rPr>
        <w:t>。2025年累计主动公开各类政府信息600余条，有效提升政策知晓度与执行力。</w:t>
      </w:r>
    </w:p>
    <w:p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0"/>
          <w:sz w:val="32"/>
          <w:szCs w:val="32"/>
          <w:lang w:val="en-US" w:eastAsia="zh-CN" w:bidi="ar"/>
        </w:rPr>
      </w:pP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2.</w:t>
      </w:r>
      <w:r>
        <w:rPr>
          <w:rFonts w:hint="default" w:ascii="Times New Roman" w:hAnsi="Times New Roman" w:eastAsia="楷体_GB2312" w:cs="Times New Roman"/>
          <w:b w:val="0"/>
          <w:bCs/>
          <w:color w:val="auto"/>
          <w:sz w:val="32"/>
          <w:szCs w:val="32"/>
          <w:lang w:val="en-US" w:eastAsia="zh-CN"/>
        </w:rPr>
        <w:t>依申请公开。</w:t>
      </w:r>
      <w:r>
        <w:rPr>
          <w:rFonts w:hint="default" w:ascii="Times New Roman" w:hAnsi="Times New Roman" w:eastAsia="仿宋_GB2312" w:cs="Times New Roman"/>
          <w:color w:val="auto"/>
          <w:kern w:val="0"/>
          <w:sz w:val="32"/>
          <w:szCs w:val="32"/>
          <w:lang w:val="en-US" w:eastAsia="zh-CN" w:bidi="ar"/>
        </w:rPr>
        <w:t>进一步规范依申请公开办理流程，确保每一件申请都得到规范、高效处理。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2025年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eastAsia="zh-CN"/>
        </w:rPr>
        <w:t>受理政府信息公开申请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4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eastAsia="zh-CN"/>
        </w:rPr>
        <w:t>件，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已办理完成3件，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kern w:val="2"/>
          <w:sz w:val="32"/>
          <w:szCs w:val="32"/>
          <w:lang w:val="en-US" w:eastAsia="zh-CN" w:bidi="ar-SA"/>
        </w:rPr>
        <w:t>结转2026年继续办理1件。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其中1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eastAsia="zh-CN"/>
        </w:rPr>
        <w:t>件予以公开，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2件无法提供。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eastAsia="zh-CN"/>
        </w:rPr>
        <w:t>从复议诉讼情况看，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2件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eastAsia="zh-CN"/>
        </w:rPr>
        <w:t>引起行政复议，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经复议机关审理，维持竹岛街道办事处做出的政府信息公开申请答复书的行政行为</w:t>
      </w: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eastAsia="zh-CN"/>
        </w:rPr>
        <w:t>。</w:t>
      </w:r>
    </w:p>
    <w:p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b w:val="0"/>
          <w:bCs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3.</w:t>
      </w:r>
      <w:r>
        <w:rPr>
          <w:rFonts w:hint="default" w:ascii="Times New Roman" w:hAnsi="Times New Roman" w:eastAsia="楷体_GB2312" w:cs="Times New Roman"/>
          <w:b w:val="0"/>
          <w:bCs/>
          <w:color w:val="auto"/>
          <w:sz w:val="32"/>
          <w:szCs w:val="32"/>
          <w:lang w:val="en-US" w:eastAsia="zh-CN"/>
        </w:rPr>
        <w:t>政府信息管理。</w:t>
      </w:r>
      <w:r>
        <w:rPr>
          <w:rFonts w:hint="default" w:ascii="Times New Roman" w:hAnsi="Times New Roman" w:eastAsia="仿宋_GB2312" w:cs="Times New Roman"/>
          <w:b w:val="0"/>
          <w:bCs/>
          <w:sz w:val="32"/>
          <w:szCs w:val="32"/>
          <w:lang w:val="en-US" w:eastAsia="zh-CN"/>
        </w:rPr>
        <w:t>强化政府信息全生命周期管理，完善信息制作、审核、发布、归档等管理制度，明确各环节责任主体，严格落实信息发布“三审三校”机制，从源头杜绝虚假信息、错误信息发布。开展存量政府信息梳理与规范工作，对历年形成的政府信息进行系统排查、分类归档，确保公开信息的准确性、完整性与时效性。</w:t>
      </w:r>
    </w:p>
    <w:p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b w:val="0"/>
          <w:bCs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4.</w:t>
      </w:r>
      <w:r>
        <w:rPr>
          <w:rFonts w:hint="default" w:ascii="Times New Roman" w:hAnsi="Times New Roman" w:eastAsia="楷体_GB2312" w:cs="Times New Roman"/>
          <w:b w:val="0"/>
          <w:bCs/>
          <w:color w:val="auto"/>
          <w:sz w:val="32"/>
          <w:szCs w:val="32"/>
          <w:lang w:val="en-US" w:eastAsia="zh-CN"/>
        </w:rPr>
        <w:t>政府信息公开平台建设。</w:t>
      </w:r>
      <w:r>
        <w:rPr>
          <w:rFonts w:hint="default" w:ascii="Times New Roman" w:hAnsi="Times New Roman" w:eastAsia="仿宋_GB2312" w:cs="Times New Roman"/>
          <w:b w:val="0"/>
          <w:bCs/>
          <w:kern w:val="2"/>
          <w:sz w:val="32"/>
          <w:szCs w:val="32"/>
          <w:lang w:val="en-US" w:eastAsia="zh-CN" w:bidi="ar-SA"/>
        </w:rPr>
        <w:t>加强政务新媒体矩阵建设，整合微信公众号、政务平台等渠道资源，根据不同平台特点推送适配内容，增强信息传播的针对性与覆盖面。推进平台互联互通，实现各渠道公开信息同源同步更新，提升公开平台的集约化、规范化水平。同时，定期开展平台运行维护与自查，及时修复漏洞、优化功能，保障平台稳定高效运行。</w:t>
      </w:r>
    </w:p>
    <w:p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b w:val="0"/>
          <w:bCs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5.</w:t>
      </w:r>
      <w:r>
        <w:rPr>
          <w:rFonts w:hint="default" w:ascii="Times New Roman" w:hAnsi="Times New Roman" w:eastAsia="楷体_GB2312" w:cs="Times New Roman"/>
          <w:b w:val="0"/>
          <w:bCs/>
          <w:color w:val="auto"/>
          <w:sz w:val="32"/>
          <w:szCs w:val="32"/>
          <w:lang w:val="en-US" w:eastAsia="zh-CN"/>
        </w:rPr>
        <w:t>监督保障。</w:t>
      </w:r>
      <w:r>
        <w:rPr>
          <w:rFonts w:hint="default" w:ascii="Times New Roman" w:hAnsi="Times New Roman" w:eastAsia="仿宋_GB2312" w:cs="Times New Roman"/>
          <w:b w:val="0"/>
          <w:bCs/>
          <w:kern w:val="2"/>
          <w:sz w:val="32"/>
          <w:szCs w:val="32"/>
          <w:lang w:val="en-US" w:eastAsia="zh-CN" w:bidi="ar-SA"/>
        </w:rPr>
        <w:t>加强日常监督检查，定期对各科室公开工作开展情况进行督导，及时发现并整改存在的问题。同时，定期开展业务培训与交流活动，组织相关人员学习政府信息公开法律法规、政策要求与工作技巧，提升工作人员专业素养与业务能力。畅通监督投诉渠道，主动接受社会各界监督，对群众反映的公开工作问题及时核查处理，不断提升群众对公开工作的满意度。</w:t>
      </w:r>
    </w:p>
    <w:p>
      <w:pPr>
        <w:pStyle w:val="5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textAlignment w:val="auto"/>
        <w:rPr>
          <w:rFonts w:hint="default" w:ascii="Times New Roman" w:hAnsi="Times New Roman" w:eastAsia="黑体" w:cs="Times New Roman"/>
          <w:b w:val="0"/>
          <w:bCs/>
          <w:i w:val="0"/>
          <w:caps w:val="0"/>
          <w:color w:val="333333"/>
          <w:spacing w:val="0"/>
          <w:sz w:val="32"/>
          <w:szCs w:val="32"/>
          <w:highlight w:val="none"/>
          <w:shd w:val="clear" w:fill="FFFFFF"/>
          <w:lang w:val="en-US"/>
        </w:rPr>
      </w:pPr>
      <w:r>
        <w:rPr>
          <w:rFonts w:hint="default" w:ascii="Times New Roman" w:hAnsi="Times New Roman" w:eastAsia="黑体" w:cs="Times New Roman"/>
          <w:b w:val="0"/>
          <w:bCs/>
          <w:i w:val="0"/>
          <w:caps w:val="0"/>
          <w:color w:val="333333"/>
          <w:spacing w:val="0"/>
          <w:sz w:val="32"/>
          <w:szCs w:val="32"/>
          <w:highlight w:val="none"/>
          <w:shd w:val="clear" w:fill="FFFFFF"/>
        </w:rPr>
        <w:t>二、主动公开政府信息情况</w:t>
      </w:r>
    </w:p>
    <w:tbl>
      <w:tblPr>
        <w:tblStyle w:val="7"/>
        <w:tblW w:w="8824" w:type="dxa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06"/>
        <w:gridCol w:w="2206"/>
        <w:gridCol w:w="2206"/>
        <w:gridCol w:w="2206"/>
      </w:tblGrid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824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000000" w:fill="C6D9F1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黑体" w:cs="Times New Roman"/>
                <w:color w:val="000000"/>
                <w:kern w:val="0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color w:val="000000"/>
                <w:kern w:val="0"/>
                <w:szCs w:val="21"/>
              </w:rPr>
              <w:t>第二十条第（一）项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信息内容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本年制发件数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本年废止件数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现行有效件数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规章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FF0000"/>
                <w:kern w:val="0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  <w:lang w:val="en-US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  <w:lang w:val="en-US"/>
              </w:rPr>
              <w:t>0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  <w:lang w:val="en-US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  <w:lang w:val="en-US"/>
              </w:rPr>
              <w:t>0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行政规范性文件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FF0000"/>
                <w:kern w:val="0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824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000000" w:fill="C6D9F1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黑体" w:cs="Times New Roman"/>
                <w:color w:val="000000"/>
                <w:kern w:val="0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color w:val="000000"/>
                <w:kern w:val="0"/>
                <w:szCs w:val="21"/>
              </w:rPr>
              <w:t>第二十条第（五）项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信息内容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本年处理决定数量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行政许可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  <w:lang w:val="en-US" w:eastAsia="zh-CN"/>
              </w:rPr>
              <w:t>0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824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000000" w:fill="C6D9F1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黑体" w:cs="Times New Roman"/>
                <w:color w:val="000000"/>
                <w:kern w:val="0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color w:val="000000"/>
                <w:kern w:val="0"/>
                <w:szCs w:val="21"/>
              </w:rPr>
              <w:t>第二十条第（六）项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信息内容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本年处理决定数量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行政处罚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  <w:lang w:val="en-US" w:eastAsia="zh-CN"/>
              </w:rPr>
              <w:t>1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行政强制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824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000000" w:fill="C6D9F1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黑体" w:cs="Times New Roman"/>
                <w:color w:val="000000"/>
                <w:kern w:val="0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color w:val="000000"/>
                <w:kern w:val="0"/>
                <w:szCs w:val="21"/>
              </w:rPr>
              <w:t>第二十条第（八）项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信息内容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本年收费金额（单位：万元）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</w:rPr>
              <w:t>行政事业性收费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000000"/>
                <w:kern w:val="0"/>
                <w:szCs w:val="21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</w:tr>
    </w:tbl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bidi w:val="0"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color w:val="FF0000"/>
          <w:sz w:val="32"/>
          <w:szCs w:val="32"/>
          <w:highlight w:val="none"/>
          <w:lang w:val="en-US" w:eastAsia="zh-CN"/>
        </w:rPr>
      </w:pPr>
      <w:r>
        <w:rPr>
          <w:rFonts w:hint="default" w:ascii="Times New Roman" w:hAnsi="Times New Roman" w:eastAsia="黑体" w:cs="Times New Roman"/>
          <w:b w:val="0"/>
          <w:bCs/>
          <w:i w:val="0"/>
          <w:caps w:val="0"/>
          <w:color w:val="auto"/>
          <w:spacing w:val="0"/>
          <w:kern w:val="0"/>
          <w:sz w:val="32"/>
          <w:szCs w:val="32"/>
          <w:highlight w:val="none"/>
          <w:shd w:val="clear" w:fill="FFFFFF"/>
          <w:lang w:val="en-US" w:eastAsia="zh-CN" w:bidi="ar"/>
        </w:rPr>
        <w:t>三、收</w:t>
      </w:r>
      <w:r>
        <w:rPr>
          <w:rFonts w:hint="default" w:ascii="Times New Roman" w:hAnsi="Times New Roman" w:eastAsia="黑体" w:cs="Times New Roman"/>
          <w:b w:val="0"/>
          <w:bCs/>
          <w:i w:val="0"/>
          <w:caps w:val="0"/>
          <w:color w:val="333333"/>
          <w:spacing w:val="0"/>
          <w:kern w:val="0"/>
          <w:sz w:val="32"/>
          <w:szCs w:val="32"/>
          <w:highlight w:val="none"/>
          <w:shd w:val="clear" w:fill="FFFFFF"/>
          <w:lang w:val="en-US" w:eastAsia="zh-CN" w:bidi="ar"/>
        </w:rPr>
        <w:t>到和处理政府信息公开申请情况</w:t>
      </w:r>
    </w:p>
    <w:tbl>
      <w:tblPr>
        <w:tblStyle w:val="7"/>
        <w:tblW w:w="9541" w:type="dxa"/>
        <w:jc w:val="center"/>
        <w:tblInd w:w="0" w:type="dxa"/>
        <w:tblBorders>
          <w:top w:val="single" w:color="auto" w:sz="8" w:space="0"/>
          <w:left w:val="single" w:color="auto" w:sz="8" w:space="0"/>
          <w:bottom w:val="single" w:color="auto" w:sz="8" w:space="0"/>
          <w:right w:val="single" w:color="auto" w:sz="8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416"/>
        <w:gridCol w:w="1701"/>
        <w:gridCol w:w="2976"/>
        <w:gridCol w:w="733"/>
        <w:gridCol w:w="541"/>
        <w:gridCol w:w="553"/>
        <w:gridCol w:w="720"/>
        <w:gridCol w:w="675"/>
        <w:gridCol w:w="525"/>
        <w:gridCol w:w="1"/>
        <w:gridCol w:w="700"/>
      </w:tblGrid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13" w:hRule="atLeast"/>
          <w:jc w:val="center"/>
        </w:trPr>
        <w:tc>
          <w:tcPr>
            <w:tcW w:w="5093" w:type="dxa"/>
            <w:gridSpan w:val="3"/>
            <w:vMerge w:val="restart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楷体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楷体_GB2312" w:cs="Times New Roman"/>
                <w:color w:val="auto"/>
                <w:kern w:val="0"/>
                <w:szCs w:val="21"/>
              </w:rPr>
              <w:t>（本列数据的勾稽关系为：第一项加第二项之和，</w:t>
            </w:r>
          </w:p>
          <w:p>
            <w:pPr>
              <w:widowControl/>
              <w:jc w:val="center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楷体_GB2312" w:cs="Times New Roman"/>
                <w:color w:val="auto"/>
                <w:kern w:val="0"/>
                <w:szCs w:val="21"/>
              </w:rPr>
              <w:t>等于第三项加第四项之和）</w:t>
            </w:r>
          </w:p>
        </w:tc>
        <w:tc>
          <w:tcPr>
            <w:tcW w:w="4448" w:type="dxa"/>
            <w:gridSpan w:val="8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20" w:lineRule="exact"/>
              <w:jc w:val="center"/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Cs w:val="21"/>
              </w:rPr>
              <w:t>申请人情况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5" w:hRule="atLeast"/>
          <w:jc w:val="center"/>
        </w:trPr>
        <w:tc>
          <w:tcPr>
            <w:tcW w:w="5093" w:type="dxa"/>
            <w:gridSpan w:val="3"/>
            <w:vMerge w:val="continue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</w:p>
        </w:tc>
        <w:tc>
          <w:tcPr>
            <w:tcW w:w="733" w:type="dxa"/>
            <w:vMerge w:val="restart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Cs w:val="21"/>
              </w:rPr>
              <w:t>自然人</w:t>
            </w:r>
          </w:p>
        </w:tc>
        <w:tc>
          <w:tcPr>
            <w:tcW w:w="3014" w:type="dxa"/>
            <w:gridSpan w:val="5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20" w:lineRule="exact"/>
              <w:jc w:val="center"/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Cs w:val="21"/>
              </w:rPr>
              <w:t>法人或其他组织</w:t>
            </w:r>
          </w:p>
        </w:tc>
        <w:tc>
          <w:tcPr>
            <w:tcW w:w="701" w:type="dxa"/>
            <w:gridSpan w:val="2"/>
            <w:vMerge w:val="restart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Cs w:val="21"/>
              </w:rPr>
              <w:t>总计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2" w:hRule="atLeast"/>
          <w:jc w:val="center"/>
        </w:trPr>
        <w:tc>
          <w:tcPr>
            <w:tcW w:w="5093" w:type="dxa"/>
            <w:gridSpan w:val="3"/>
            <w:vMerge w:val="continue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</w:p>
        </w:tc>
        <w:tc>
          <w:tcPr>
            <w:tcW w:w="733" w:type="dxa"/>
            <w:vMerge w:val="continue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</w:p>
        </w:tc>
        <w:tc>
          <w:tcPr>
            <w:tcW w:w="541" w:type="dxa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20" w:lineRule="exact"/>
              <w:ind w:left="-106" w:leftChars="-51" w:right="-107" w:rightChars="-51" w:hanging="1"/>
              <w:jc w:val="center"/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Cs w:val="21"/>
              </w:rPr>
              <w:t>商业企业</w:t>
            </w:r>
          </w:p>
        </w:tc>
        <w:tc>
          <w:tcPr>
            <w:tcW w:w="553" w:type="dxa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20" w:lineRule="exact"/>
              <w:ind w:left="-107" w:leftChars="-51" w:right="-107" w:rightChars="-51"/>
              <w:jc w:val="center"/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Cs w:val="21"/>
              </w:rPr>
              <w:t>科研机构</w:t>
            </w:r>
          </w:p>
        </w:tc>
        <w:tc>
          <w:tcPr>
            <w:tcW w:w="720" w:type="dxa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20" w:lineRule="exact"/>
              <w:ind w:left="-107" w:leftChars="-51" w:right="-107" w:rightChars="-51"/>
              <w:jc w:val="center"/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Cs w:val="21"/>
              </w:rPr>
              <w:t>社会公益组织</w:t>
            </w:r>
          </w:p>
        </w:tc>
        <w:tc>
          <w:tcPr>
            <w:tcW w:w="675" w:type="dxa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20" w:lineRule="exact"/>
              <w:ind w:left="-106" w:leftChars="-51" w:right="-107" w:rightChars="-51" w:hanging="1"/>
              <w:jc w:val="center"/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Cs w:val="21"/>
              </w:rPr>
              <w:t>法律服务机构</w:t>
            </w:r>
          </w:p>
        </w:tc>
        <w:tc>
          <w:tcPr>
            <w:tcW w:w="525" w:type="dxa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60" w:lineRule="exact"/>
              <w:ind w:left="-63" w:leftChars="-30" w:right="-134" w:rightChars="-64"/>
              <w:jc w:val="center"/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Cs w:val="21"/>
              </w:rPr>
              <w:t>其他</w:t>
            </w:r>
          </w:p>
        </w:tc>
        <w:tc>
          <w:tcPr>
            <w:tcW w:w="701" w:type="dxa"/>
            <w:gridSpan w:val="2"/>
            <w:vMerge w:val="continue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0" w:hRule="atLeast"/>
          <w:jc w:val="center"/>
        </w:trPr>
        <w:tc>
          <w:tcPr>
            <w:tcW w:w="5093" w:type="dxa"/>
            <w:gridSpan w:val="3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Cs w:val="21"/>
              </w:rPr>
              <w:t>一、</w:t>
            </w:r>
            <w:bookmarkStart w:id="1" w:name="_Hlk66973412"/>
            <w:r>
              <w:rPr>
                <w:rFonts w:hint="default" w:ascii="Times New Roman" w:hAnsi="Times New Roman" w:eastAsia="黑体" w:cs="Times New Roman"/>
                <w:color w:val="auto"/>
                <w:kern w:val="0"/>
                <w:szCs w:val="21"/>
              </w:rPr>
              <w:t>本年新收政府信息公开申请数量</w:t>
            </w:r>
            <w:bookmarkEnd w:id="1"/>
          </w:p>
        </w:tc>
        <w:tc>
          <w:tcPr>
            <w:tcW w:w="733" w:type="dxa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Calibri" w:hAnsi="Calibri" w:eastAsia="宋体" w:cs="Times New Roman"/>
                <w:color w:val="auto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default" w:ascii="宋体" w:hAnsi="宋体" w:cs="宋体"/>
                <w:color w:val="auto"/>
                <w:sz w:val="18"/>
                <w:szCs w:val="18"/>
                <w:lang w:val="en-US" w:eastAsia="zh-CN"/>
              </w:rPr>
              <w:t>4</w:t>
            </w:r>
          </w:p>
        </w:tc>
        <w:tc>
          <w:tcPr>
            <w:tcW w:w="541" w:type="dxa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Calibri" w:hAnsi="Calibri" w:eastAsia="宋体" w:cs="Times New Roman"/>
                <w:color w:val="auto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default" w:cs="Times New Roman"/>
                <w:color w:val="auto"/>
                <w:kern w:val="2"/>
                <w:sz w:val="18"/>
                <w:szCs w:val="18"/>
                <w:lang w:val="en-US" w:eastAsia="zh-CN" w:bidi="ar-SA"/>
              </w:rPr>
              <w:t>0</w:t>
            </w:r>
          </w:p>
        </w:tc>
        <w:tc>
          <w:tcPr>
            <w:tcW w:w="553" w:type="dxa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Calibri" w:hAnsi="Calibri" w:eastAsia="宋体" w:cs="Times New Roman"/>
                <w:color w:val="auto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default" w:cs="Times New Roman"/>
                <w:color w:val="auto"/>
                <w:kern w:val="2"/>
                <w:sz w:val="18"/>
                <w:szCs w:val="18"/>
                <w:lang w:val="en-US" w:eastAsia="zh-CN" w:bidi="ar-SA"/>
              </w:rPr>
              <w:t>0</w:t>
            </w:r>
          </w:p>
        </w:tc>
        <w:tc>
          <w:tcPr>
            <w:tcW w:w="720" w:type="dxa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Calibri" w:hAnsi="Calibri" w:eastAsia="宋体" w:cs="Times New Roman"/>
                <w:color w:val="auto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default" w:cs="Times New Roman"/>
                <w:color w:val="auto"/>
                <w:kern w:val="2"/>
                <w:sz w:val="18"/>
                <w:szCs w:val="18"/>
                <w:lang w:val="en-US" w:eastAsia="zh-CN" w:bidi="ar-SA"/>
              </w:rPr>
              <w:t>0</w:t>
            </w:r>
          </w:p>
        </w:tc>
        <w:tc>
          <w:tcPr>
            <w:tcW w:w="675" w:type="dxa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Calibri" w:hAnsi="Calibri" w:eastAsia="宋体" w:cs="Times New Roman"/>
                <w:color w:val="auto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default" w:cs="Times New Roman"/>
                <w:color w:val="auto"/>
                <w:kern w:val="2"/>
                <w:sz w:val="18"/>
                <w:szCs w:val="18"/>
                <w:lang w:val="en-US" w:eastAsia="zh-CN" w:bidi="ar-SA"/>
              </w:rPr>
              <w:t>0</w:t>
            </w:r>
          </w:p>
        </w:tc>
        <w:tc>
          <w:tcPr>
            <w:tcW w:w="525" w:type="dxa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Calibri" w:hAnsi="Calibri" w:eastAsia="宋体" w:cs="Times New Roman"/>
                <w:color w:val="auto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default" w:cs="Times New Roman"/>
                <w:color w:val="auto"/>
                <w:kern w:val="2"/>
                <w:sz w:val="18"/>
                <w:szCs w:val="18"/>
                <w:lang w:val="en-US" w:eastAsia="zh-CN" w:bidi="ar-SA"/>
              </w:rPr>
              <w:t>0</w:t>
            </w:r>
          </w:p>
        </w:tc>
        <w:tc>
          <w:tcPr>
            <w:tcW w:w="701" w:type="dxa"/>
            <w:gridSpan w:val="2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Calibri" w:hAnsi="Calibri" w:eastAsia="宋体" w:cs="Times New Roman"/>
                <w:color w:val="auto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default" w:cs="Times New Roman"/>
                <w:color w:val="auto"/>
                <w:kern w:val="2"/>
                <w:sz w:val="18"/>
                <w:szCs w:val="18"/>
                <w:lang w:val="en-US" w:eastAsia="zh-CN" w:bidi="ar-SA"/>
              </w:rPr>
              <w:t>4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0" w:hRule="atLeast"/>
          <w:jc w:val="center"/>
        </w:trPr>
        <w:tc>
          <w:tcPr>
            <w:tcW w:w="5093" w:type="dxa"/>
            <w:gridSpan w:val="3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Cs w:val="21"/>
              </w:rPr>
              <w:t>二、上年结转政府信息公开申请数量</w:t>
            </w:r>
          </w:p>
        </w:tc>
        <w:tc>
          <w:tcPr>
            <w:tcW w:w="733" w:type="dxa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Calibri" w:hAnsi="Calibri" w:eastAsia="宋体" w:cs="Times New Roman"/>
                <w:color w:val="auto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default" w:ascii="宋体" w:hAnsi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  <w:tc>
          <w:tcPr>
            <w:tcW w:w="541" w:type="dxa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Calibri" w:hAnsi="Calibri" w:eastAsia="宋体" w:cs="Times New Roman"/>
                <w:color w:val="auto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/>
              </w:rPr>
              <w:t>0</w:t>
            </w:r>
          </w:p>
        </w:tc>
        <w:tc>
          <w:tcPr>
            <w:tcW w:w="553" w:type="dxa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Calibri" w:hAnsi="Calibri" w:eastAsia="宋体" w:cs="Times New Roman"/>
                <w:color w:val="auto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/>
              </w:rPr>
              <w:t>0</w:t>
            </w:r>
          </w:p>
        </w:tc>
        <w:tc>
          <w:tcPr>
            <w:tcW w:w="720" w:type="dxa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Calibri" w:hAnsi="Calibri" w:eastAsia="宋体" w:cs="Times New Roman"/>
                <w:color w:val="auto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/>
              </w:rPr>
              <w:t>0</w:t>
            </w:r>
          </w:p>
        </w:tc>
        <w:tc>
          <w:tcPr>
            <w:tcW w:w="675" w:type="dxa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Calibri" w:hAnsi="Calibri" w:eastAsia="宋体" w:cs="Times New Roman"/>
                <w:color w:val="auto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/>
              </w:rPr>
              <w:t>0</w:t>
            </w:r>
          </w:p>
        </w:tc>
        <w:tc>
          <w:tcPr>
            <w:tcW w:w="525" w:type="dxa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Calibri" w:hAnsi="Calibri" w:eastAsia="宋体" w:cs="Times New Roman"/>
                <w:color w:val="auto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default" w:ascii="宋体" w:hAnsi="宋体" w:eastAsia="宋体" w:cs="宋体"/>
                <w:color w:val="auto"/>
                <w:sz w:val="18"/>
                <w:szCs w:val="18"/>
                <w:lang w:val="en-US"/>
              </w:rPr>
              <w:t>0</w:t>
            </w:r>
          </w:p>
        </w:tc>
        <w:tc>
          <w:tcPr>
            <w:tcW w:w="701" w:type="dxa"/>
            <w:gridSpan w:val="2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Calibri" w:hAnsi="Calibri" w:eastAsia="宋体" w:cs="Times New Roman"/>
                <w:color w:val="auto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default" w:ascii="宋体" w:hAnsi="宋体" w:cs="宋体"/>
                <w:color w:val="auto"/>
                <w:sz w:val="18"/>
                <w:szCs w:val="18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restart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Cs w:val="21"/>
              </w:rPr>
              <w:t>三、本年度办理结果</w:t>
            </w:r>
          </w:p>
        </w:tc>
        <w:tc>
          <w:tcPr>
            <w:tcW w:w="4677" w:type="dxa"/>
            <w:gridSpan w:val="2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Cs w:val="21"/>
              </w:rPr>
              <w:t>（一）予以公开</w:t>
            </w:r>
          </w:p>
        </w:tc>
        <w:tc>
          <w:tcPr>
            <w:tcW w:w="733" w:type="dxa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宋体" w:hAnsi="宋体" w:cs="宋体"/>
                <w:sz w:val="18"/>
                <w:szCs w:val="18"/>
                <w:lang w:val="en-US"/>
              </w:rPr>
              <w:t>1</w:t>
            </w:r>
          </w:p>
        </w:tc>
        <w:tc>
          <w:tcPr>
            <w:tcW w:w="541" w:type="dxa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553" w:type="dxa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720" w:type="dxa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675" w:type="dxa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526" w:type="dxa"/>
            <w:gridSpan w:val="2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700" w:type="dxa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hint="default" w:ascii="宋体" w:hAnsi="宋体" w:cs="宋体"/>
                <w:sz w:val="18"/>
                <w:szCs w:val="18"/>
                <w:lang w:val="en-US"/>
              </w:rPr>
              <w:t>1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</w:p>
        </w:tc>
        <w:tc>
          <w:tcPr>
            <w:tcW w:w="4677" w:type="dxa"/>
            <w:gridSpan w:val="2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Cs w:val="21"/>
              </w:rPr>
              <w:t>（二）部分公开（</w:t>
            </w:r>
            <w:bookmarkStart w:id="2" w:name="_Hlk66973981"/>
            <w:r>
              <w:rPr>
                <w:rFonts w:hint="default" w:ascii="Times New Roman" w:hAnsi="Times New Roman" w:eastAsia="黑体" w:cs="Times New Roman"/>
                <w:color w:val="auto"/>
                <w:kern w:val="0"/>
                <w:szCs w:val="21"/>
              </w:rPr>
              <w:t>区分处理的，只计这一情形，不计其他情形</w:t>
            </w:r>
            <w:bookmarkEnd w:id="2"/>
            <w:r>
              <w:rPr>
                <w:rFonts w:hint="default" w:ascii="Times New Roman" w:hAnsi="Times New Roman" w:eastAsia="黑体" w:cs="Times New Roman"/>
                <w:color w:val="auto"/>
                <w:kern w:val="0"/>
                <w:szCs w:val="21"/>
              </w:rPr>
              <w:t>）</w:t>
            </w:r>
          </w:p>
        </w:tc>
        <w:tc>
          <w:tcPr>
            <w:tcW w:w="733" w:type="dxa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541" w:type="dxa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553" w:type="dxa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720" w:type="dxa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675" w:type="dxa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526" w:type="dxa"/>
            <w:gridSpan w:val="2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700" w:type="dxa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Times New Roman" w:hAnsi="Times New Roman" w:eastAsia="仿宋_GB2312" w:cs="Times New Roman"/>
                <w:color w:val="auto"/>
                <w:szCs w:val="21"/>
                <w:lang w:val="en-US" w:eastAsia="zh-CN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416" w:type="dxa"/>
            <w:vMerge w:val="continue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</w:p>
        </w:tc>
        <w:tc>
          <w:tcPr>
            <w:tcW w:w="1701" w:type="dxa"/>
            <w:vMerge w:val="restart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/>
              <w:textAlignment w:val="auto"/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Cs w:val="21"/>
              </w:rPr>
              <w:t>（三）不予公开</w:t>
            </w:r>
          </w:p>
        </w:tc>
        <w:tc>
          <w:tcPr>
            <w:tcW w:w="2976" w:type="dxa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/>
              <w:textAlignment w:val="auto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1.属于国家秘密</w:t>
            </w:r>
          </w:p>
        </w:tc>
        <w:tc>
          <w:tcPr>
            <w:tcW w:w="733" w:type="dxa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Calibri" w:hAnsi="Calibri" w:eastAsia="宋体" w:cs="Times New Roman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541" w:type="dxa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Calibri" w:hAnsi="Calibri" w:eastAsia="宋体" w:cs="Times New Roman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553" w:type="dxa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Calibri" w:hAnsi="Calibri" w:eastAsia="宋体" w:cs="Times New Roman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720" w:type="dxa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Calibri" w:hAnsi="Calibri" w:eastAsia="宋体" w:cs="Times New Roman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675" w:type="dxa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Calibri" w:hAnsi="Calibri" w:eastAsia="宋体" w:cs="Times New Roman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526" w:type="dxa"/>
            <w:gridSpan w:val="2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Calibri" w:hAnsi="Calibri" w:eastAsia="宋体" w:cs="Times New Roman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700" w:type="dxa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Calibri" w:hAnsi="Calibri" w:eastAsia="宋体" w:cs="Times New Roman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416" w:type="dxa"/>
            <w:vMerge w:val="continue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</w:p>
        </w:tc>
        <w:tc>
          <w:tcPr>
            <w:tcW w:w="1701" w:type="dxa"/>
            <w:vMerge w:val="continue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/>
              <w:textAlignment w:val="auto"/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</w:p>
        </w:tc>
        <w:tc>
          <w:tcPr>
            <w:tcW w:w="2976" w:type="dxa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/>
              <w:textAlignment w:val="auto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2.</w:t>
            </w:r>
            <w:bookmarkStart w:id="3" w:name="_Hlk66974104"/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其他法律行政法规禁止公开</w:t>
            </w:r>
            <w:bookmarkEnd w:id="3"/>
          </w:p>
        </w:tc>
        <w:tc>
          <w:tcPr>
            <w:tcW w:w="733" w:type="dxa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Calibri" w:hAnsi="Calibri" w:eastAsia="宋体" w:cs="Times New Roman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541" w:type="dxa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Calibri" w:hAnsi="Calibri" w:eastAsia="宋体" w:cs="Times New Roman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553" w:type="dxa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Calibri" w:hAnsi="Calibri" w:eastAsia="宋体" w:cs="Times New Roman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720" w:type="dxa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Calibri" w:hAnsi="Calibri" w:eastAsia="宋体" w:cs="Times New Roman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675" w:type="dxa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Calibri" w:hAnsi="Calibri" w:eastAsia="宋体" w:cs="Times New Roman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526" w:type="dxa"/>
            <w:gridSpan w:val="2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Calibri" w:hAnsi="Calibri" w:eastAsia="宋体" w:cs="Times New Roman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700" w:type="dxa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Calibri" w:hAnsi="Calibri" w:eastAsia="宋体" w:cs="Times New Roman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416" w:type="dxa"/>
            <w:vMerge w:val="continue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</w:p>
        </w:tc>
        <w:tc>
          <w:tcPr>
            <w:tcW w:w="1701" w:type="dxa"/>
            <w:vMerge w:val="continue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/>
              <w:textAlignment w:val="auto"/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</w:p>
        </w:tc>
        <w:tc>
          <w:tcPr>
            <w:tcW w:w="2976" w:type="dxa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/>
              <w:textAlignment w:val="auto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3.危及“三安全一稳定”</w:t>
            </w:r>
          </w:p>
        </w:tc>
        <w:tc>
          <w:tcPr>
            <w:tcW w:w="733" w:type="dxa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Calibri" w:hAnsi="Calibri" w:eastAsia="宋体" w:cs="Times New Roman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541" w:type="dxa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Calibri" w:hAnsi="Calibri" w:eastAsia="宋体" w:cs="Times New Roman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553" w:type="dxa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Calibri" w:hAnsi="Calibri" w:eastAsia="宋体" w:cs="Times New Roman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720" w:type="dxa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Calibri" w:hAnsi="Calibri" w:eastAsia="宋体" w:cs="Times New Roman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675" w:type="dxa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Calibri" w:hAnsi="Calibri" w:eastAsia="宋体" w:cs="Times New Roman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526" w:type="dxa"/>
            <w:gridSpan w:val="2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Calibri" w:hAnsi="Calibri" w:eastAsia="宋体" w:cs="Times New Roman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700" w:type="dxa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Calibri" w:hAnsi="Calibri" w:eastAsia="宋体" w:cs="Times New Roman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416" w:type="dxa"/>
            <w:vMerge w:val="continue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</w:p>
        </w:tc>
        <w:tc>
          <w:tcPr>
            <w:tcW w:w="1701" w:type="dxa"/>
            <w:vMerge w:val="continue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/>
              <w:textAlignment w:val="auto"/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</w:p>
        </w:tc>
        <w:tc>
          <w:tcPr>
            <w:tcW w:w="2976" w:type="dxa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/>
              <w:textAlignment w:val="auto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4.</w:t>
            </w:r>
            <w:bookmarkStart w:id="4" w:name="_Hlk66974290"/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保护第三方合法权益</w:t>
            </w:r>
            <w:bookmarkEnd w:id="4"/>
          </w:p>
        </w:tc>
        <w:tc>
          <w:tcPr>
            <w:tcW w:w="733" w:type="dxa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Calibri" w:hAnsi="Calibri" w:eastAsia="宋体" w:cs="Times New Roman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541" w:type="dxa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Calibri" w:hAnsi="Calibri" w:eastAsia="宋体" w:cs="Times New Roman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553" w:type="dxa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Calibri" w:hAnsi="Calibri" w:eastAsia="宋体" w:cs="Times New Roman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720" w:type="dxa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Calibri" w:hAnsi="Calibri" w:eastAsia="宋体" w:cs="Times New Roman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675" w:type="dxa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Calibri" w:hAnsi="Calibri" w:eastAsia="宋体" w:cs="Times New Roman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526" w:type="dxa"/>
            <w:gridSpan w:val="2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Calibri" w:hAnsi="Calibri" w:eastAsia="宋体" w:cs="Times New Roman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700" w:type="dxa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Calibri" w:hAnsi="Calibri" w:eastAsia="宋体" w:cs="Times New Roman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416" w:type="dxa"/>
            <w:vMerge w:val="continue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</w:p>
        </w:tc>
        <w:tc>
          <w:tcPr>
            <w:tcW w:w="1701" w:type="dxa"/>
            <w:vMerge w:val="continue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/>
              <w:textAlignment w:val="auto"/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</w:p>
        </w:tc>
        <w:tc>
          <w:tcPr>
            <w:tcW w:w="2976" w:type="dxa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/>
              <w:textAlignment w:val="auto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5.属于三类内部事务信息</w:t>
            </w:r>
          </w:p>
        </w:tc>
        <w:tc>
          <w:tcPr>
            <w:tcW w:w="733" w:type="dxa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Calibri" w:hAnsi="Calibri" w:eastAsia="宋体" w:cs="Times New Roman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541" w:type="dxa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Calibri" w:hAnsi="Calibri" w:eastAsia="宋体" w:cs="Times New Roman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553" w:type="dxa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Calibri" w:hAnsi="Calibri" w:eastAsia="宋体" w:cs="Times New Roman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720" w:type="dxa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Calibri" w:hAnsi="Calibri" w:eastAsia="宋体" w:cs="Times New Roman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675" w:type="dxa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Calibri" w:hAnsi="Calibri" w:eastAsia="宋体" w:cs="Times New Roman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526" w:type="dxa"/>
            <w:gridSpan w:val="2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Calibri" w:hAnsi="Calibri" w:eastAsia="宋体" w:cs="Times New Roman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700" w:type="dxa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Calibri" w:hAnsi="Calibri" w:eastAsia="宋体" w:cs="Times New Roman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416" w:type="dxa"/>
            <w:vMerge w:val="continue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</w:p>
        </w:tc>
        <w:tc>
          <w:tcPr>
            <w:tcW w:w="1701" w:type="dxa"/>
            <w:vMerge w:val="continue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/>
              <w:textAlignment w:val="auto"/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</w:p>
        </w:tc>
        <w:tc>
          <w:tcPr>
            <w:tcW w:w="2976" w:type="dxa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/>
              <w:textAlignment w:val="auto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6.</w:t>
            </w:r>
            <w:bookmarkStart w:id="5" w:name="_Hlk66974555"/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属于四类过程性信息</w:t>
            </w:r>
            <w:bookmarkEnd w:id="5"/>
          </w:p>
        </w:tc>
        <w:tc>
          <w:tcPr>
            <w:tcW w:w="733" w:type="dxa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Calibri" w:hAnsi="Calibri" w:eastAsia="宋体" w:cs="Times New Roman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541" w:type="dxa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Calibri" w:hAnsi="Calibri" w:eastAsia="宋体" w:cs="Times New Roman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553" w:type="dxa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Calibri" w:hAnsi="Calibri" w:eastAsia="宋体" w:cs="Times New Roman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720" w:type="dxa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Calibri" w:hAnsi="Calibri" w:eastAsia="宋体" w:cs="Times New Roman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675" w:type="dxa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Calibri" w:hAnsi="Calibri" w:eastAsia="宋体" w:cs="Times New Roman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526" w:type="dxa"/>
            <w:gridSpan w:val="2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Calibri" w:hAnsi="Calibri" w:eastAsia="宋体" w:cs="Times New Roman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700" w:type="dxa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Calibri" w:hAnsi="Calibri" w:eastAsia="宋体" w:cs="Times New Roman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416" w:type="dxa"/>
            <w:vMerge w:val="continue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</w:p>
        </w:tc>
        <w:tc>
          <w:tcPr>
            <w:tcW w:w="1701" w:type="dxa"/>
            <w:vMerge w:val="continue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/>
              <w:textAlignment w:val="auto"/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</w:p>
        </w:tc>
        <w:tc>
          <w:tcPr>
            <w:tcW w:w="2976" w:type="dxa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/>
              <w:textAlignment w:val="auto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7.属于行政执法案卷</w:t>
            </w:r>
          </w:p>
        </w:tc>
        <w:tc>
          <w:tcPr>
            <w:tcW w:w="733" w:type="dxa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Calibri" w:hAnsi="Calibri" w:eastAsia="宋体" w:cs="Times New Roman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541" w:type="dxa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Calibri" w:hAnsi="Calibri" w:eastAsia="宋体" w:cs="Times New Roman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553" w:type="dxa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Calibri" w:hAnsi="Calibri" w:eastAsia="宋体" w:cs="Times New Roman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720" w:type="dxa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Calibri" w:hAnsi="Calibri" w:eastAsia="宋体" w:cs="Times New Roman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675" w:type="dxa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Calibri" w:hAnsi="Calibri" w:eastAsia="宋体" w:cs="Times New Roman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526" w:type="dxa"/>
            <w:gridSpan w:val="2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Calibri" w:hAnsi="Calibri" w:eastAsia="宋体" w:cs="Times New Roman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700" w:type="dxa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Calibri" w:hAnsi="Calibri" w:eastAsia="宋体" w:cs="Times New Roman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416" w:type="dxa"/>
            <w:vMerge w:val="continue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</w:p>
        </w:tc>
        <w:tc>
          <w:tcPr>
            <w:tcW w:w="1701" w:type="dxa"/>
            <w:vMerge w:val="continue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/>
              <w:textAlignment w:val="auto"/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</w:p>
        </w:tc>
        <w:tc>
          <w:tcPr>
            <w:tcW w:w="2976" w:type="dxa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/>
              <w:textAlignment w:val="auto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8.</w:t>
            </w:r>
            <w:bookmarkStart w:id="6" w:name="_Hlk66975211"/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属于行政查询事项</w:t>
            </w:r>
            <w:bookmarkEnd w:id="6"/>
          </w:p>
        </w:tc>
        <w:tc>
          <w:tcPr>
            <w:tcW w:w="733" w:type="dxa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Calibri" w:hAnsi="Calibri" w:eastAsia="宋体" w:cs="Times New Roman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541" w:type="dxa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Calibri" w:hAnsi="Calibri" w:eastAsia="宋体" w:cs="Times New Roman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553" w:type="dxa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Calibri" w:hAnsi="Calibri" w:eastAsia="宋体" w:cs="Times New Roman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720" w:type="dxa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Calibri" w:hAnsi="Calibri" w:eastAsia="宋体" w:cs="Times New Roman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675" w:type="dxa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Calibri" w:hAnsi="Calibri" w:eastAsia="宋体" w:cs="Times New Roman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526" w:type="dxa"/>
            <w:gridSpan w:val="2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Calibri" w:hAnsi="Calibri" w:eastAsia="宋体" w:cs="Times New Roman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700" w:type="dxa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Calibri" w:hAnsi="Calibri" w:eastAsia="宋体" w:cs="Times New Roman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416" w:type="dxa"/>
            <w:vMerge w:val="continue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</w:p>
        </w:tc>
        <w:tc>
          <w:tcPr>
            <w:tcW w:w="1701" w:type="dxa"/>
            <w:vMerge w:val="restart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/>
              <w:textAlignment w:val="auto"/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Cs w:val="21"/>
              </w:rPr>
              <w:t>（四）无法提供</w:t>
            </w:r>
          </w:p>
        </w:tc>
        <w:tc>
          <w:tcPr>
            <w:tcW w:w="2976" w:type="dxa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/>
              <w:textAlignment w:val="auto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1.本机关不掌握相关政府信息</w:t>
            </w:r>
          </w:p>
        </w:tc>
        <w:tc>
          <w:tcPr>
            <w:tcW w:w="733" w:type="dxa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Calibri" w:hAnsi="Calibri" w:eastAsia="宋体" w:cs="Times New Roman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default" w:ascii="宋体" w:hAnsi="宋体" w:cs="宋体"/>
                <w:sz w:val="18"/>
                <w:szCs w:val="18"/>
                <w:lang w:val="en-US"/>
              </w:rPr>
              <w:t>2</w:t>
            </w:r>
          </w:p>
        </w:tc>
        <w:tc>
          <w:tcPr>
            <w:tcW w:w="541" w:type="dxa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Calibri" w:hAnsi="Calibri" w:eastAsia="宋体" w:cs="Times New Roman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553" w:type="dxa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Calibri" w:hAnsi="Calibri" w:eastAsia="宋体" w:cs="Times New Roman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720" w:type="dxa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Calibri" w:hAnsi="Calibri" w:eastAsia="宋体" w:cs="Times New Roman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675" w:type="dxa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Calibri" w:hAnsi="Calibri" w:eastAsia="宋体" w:cs="Times New Roman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526" w:type="dxa"/>
            <w:gridSpan w:val="2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Calibri" w:hAnsi="Calibri" w:eastAsia="宋体" w:cs="Times New Roman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700" w:type="dxa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Calibri" w:hAnsi="Calibri" w:eastAsia="宋体" w:cs="Times New Roman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default" w:ascii="宋体" w:hAnsi="宋体" w:cs="宋体"/>
                <w:sz w:val="18"/>
                <w:szCs w:val="18"/>
                <w:lang w:val="en-US"/>
              </w:rPr>
              <w:t>2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416" w:type="dxa"/>
            <w:vMerge w:val="continue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</w:p>
        </w:tc>
        <w:tc>
          <w:tcPr>
            <w:tcW w:w="1701" w:type="dxa"/>
            <w:vMerge w:val="continue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/>
              <w:textAlignment w:val="auto"/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</w:p>
        </w:tc>
        <w:tc>
          <w:tcPr>
            <w:tcW w:w="2976" w:type="dxa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/>
              <w:textAlignment w:val="auto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2.</w:t>
            </w:r>
            <w:bookmarkStart w:id="7" w:name="_Hlk66975392"/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没有现成信息需要另行制作</w:t>
            </w:r>
            <w:bookmarkEnd w:id="7"/>
          </w:p>
        </w:tc>
        <w:tc>
          <w:tcPr>
            <w:tcW w:w="733" w:type="dxa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Calibri" w:hAnsi="Calibri" w:eastAsia="宋体" w:cs="Times New Roman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541" w:type="dxa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Calibri" w:hAnsi="Calibri" w:eastAsia="宋体" w:cs="Times New Roman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553" w:type="dxa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Calibri" w:hAnsi="Calibri" w:eastAsia="宋体" w:cs="Times New Roman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720" w:type="dxa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Calibri" w:hAnsi="Calibri" w:eastAsia="宋体" w:cs="Times New Roman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675" w:type="dxa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Calibri" w:hAnsi="Calibri" w:eastAsia="宋体" w:cs="Times New Roman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526" w:type="dxa"/>
            <w:gridSpan w:val="2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Calibri" w:hAnsi="Calibri" w:eastAsia="宋体" w:cs="Times New Roman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700" w:type="dxa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Calibri" w:hAnsi="Calibri" w:eastAsia="宋体" w:cs="Times New Roman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416" w:type="dxa"/>
            <w:vMerge w:val="continue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</w:p>
        </w:tc>
        <w:tc>
          <w:tcPr>
            <w:tcW w:w="1701" w:type="dxa"/>
            <w:vMerge w:val="continue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/>
              <w:textAlignment w:val="auto"/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</w:p>
        </w:tc>
        <w:tc>
          <w:tcPr>
            <w:tcW w:w="2976" w:type="dxa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/>
              <w:textAlignment w:val="auto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3.</w:t>
            </w:r>
            <w:bookmarkStart w:id="8" w:name="_Hlk66975466"/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补正后申请内容仍不明确</w:t>
            </w:r>
            <w:bookmarkEnd w:id="8"/>
          </w:p>
        </w:tc>
        <w:tc>
          <w:tcPr>
            <w:tcW w:w="733" w:type="dxa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Calibri" w:hAnsi="Calibri" w:eastAsia="宋体" w:cs="Times New Roman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541" w:type="dxa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Calibri" w:hAnsi="Calibri" w:eastAsia="宋体" w:cs="Times New Roman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553" w:type="dxa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Calibri" w:hAnsi="Calibri" w:eastAsia="宋体" w:cs="Times New Roman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720" w:type="dxa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Calibri" w:hAnsi="Calibri" w:eastAsia="宋体" w:cs="Times New Roman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675" w:type="dxa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Calibri" w:hAnsi="Calibri" w:eastAsia="宋体" w:cs="Times New Roman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526" w:type="dxa"/>
            <w:gridSpan w:val="2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Calibri" w:hAnsi="Calibri" w:eastAsia="宋体" w:cs="Times New Roman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700" w:type="dxa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Calibri" w:hAnsi="Calibri" w:eastAsia="宋体" w:cs="Times New Roman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416" w:type="dxa"/>
            <w:vMerge w:val="continue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</w:p>
        </w:tc>
        <w:tc>
          <w:tcPr>
            <w:tcW w:w="1701" w:type="dxa"/>
            <w:vMerge w:val="restart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/>
              <w:textAlignment w:val="auto"/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Cs w:val="21"/>
              </w:rPr>
              <w:t>（五）不予处理</w:t>
            </w:r>
          </w:p>
        </w:tc>
        <w:tc>
          <w:tcPr>
            <w:tcW w:w="2976" w:type="dxa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/>
              <w:textAlignment w:val="auto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1.</w:t>
            </w:r>
            <w:bookmarkStart w:id="9" w:name="_Hlk66975537"/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信访举报投诉类申请</w:t>
            </w:r>
            <w:bookmarkEnd w:id="9"/>
          </w:p>
        </w:tc>
        <w:tc>
          <w:tcPr>
            <w:tcW w:w="733" w:type="dxa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Calibri" w:hAnsi="Calibri" w:eastAsia="宋体" w:cs="Times New Roman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541" w:type="dxa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Calibri" w:hAnsi="Calibri" w:eastAsia="宋体" w:cs="Times New Roman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553" w:type="dxa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Calibri" w:hAnsi="Calibri" w:eastAsia="宋体" w:cs="Times New Roman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720" w:type="dxa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Calibri" w:hAnsi="Calibri" w:eastAsia="宋体" w:cs="Times New Roman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675" w:type="dxa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Calibri" w:hAnsi="Calibri" w:eastAsia="宋体" w:cs="Times New Roman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526" w:type="dxa"/>
            <w:gridSpan w:val="2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Calibri" w:hAnsi="Calibri" w:eastAsia="宋体" w:cs="Times New Roman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700" w:type="dxa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Calibri" w:hAnsi="Calibri" w:eastAsia="宋体" w:cs="Times New Roman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416" w:type="dxa"/>
            <w:vMerge w:val="continue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</w:p>
        </w:tc>
        <w:tc>
          <w:tcPr>
            <w:tcW w:w="1701" w:type="dxa"/>
            <w:vMerge w:val="continue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/>
              <w:textAlignment w:val="auto"/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</w:p>
        </w:tc>
        <w:tc>
          <w:tcPr>
            <w:tcW w:w="2976" w:type="dxa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/>
              <w:textAlignment w:val="auto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2.重复申请</w:t>
            </w:r>
          </w:p>
        </w:tc>
        <w:tc>
          <w:tcPr>
            <w:tcW w:w="733" w:type="dxa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Calibri" w:hAnsi="Calibri" w:eastAsia="宋体" w:cs="Times New Roman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541" w:type="dxa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Calibri" w:hAnsi="Calibri" w:eastAsia="宋体" w:cs="Times New Roman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553" w:type="dxa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Calibri" w:hAnsi="Calibri" w:eastAsia="宋体" w:cs="Times New Roman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720" w:type="dxa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Calibri" w:hAnsi="Calibri" w:eastAsia="宋体" w:cs="Times New Roman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675" w:type="dxa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Calibri" w:hAnsi="Calibri" w:eastAsia="宋体" w:cs="Times New Roman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526" w:type="dxa"/>
            <w:gridSpan w:val="2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Calibri" w:hAnsi="Calibri" w:eastAsia="宋体" w:cs="Times New Roman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700" w:type="dxa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Calibri" w:hAnsi="Calibri" w:eastAsia="宋体" w:cs="Times New Roman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416" w:type="dxa"/>
            <w:vMerge w:val="continue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</w:p>
        </w:tc>
        <w:tc>
          <w:tcPr>
            <w:tcW w:w="1701" w:type="dxa"/>
            <w:vMerge w:val="continue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/>
              <w:textAlignment w:val="auto"/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</w:p>
        </w:tc>
        <w:tc>
          <w:tcPr>
            <w:tcW w:w="2976" w:type="dxa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3.要求提供公开出版物</w:t>
            </w:r>
          </w:p>
        </w:tc>
        <w:tc>
          <w:tcPr>
            <w:tcW w:w="733" w:type="dxa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Calibri" w:hAnsi="Calibri" w:eastAsia="宋体" w:cs="Times New Roman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541" w:type="dxa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Calibri" w:hAnsi="Calibri" w:eastAsia="宋体" w:cs="Times New Roman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553" w:type="dxa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Calibri" w:hAnsi="Calibri" w:eastAsia="宋体" w:cs="Times New Roman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720" w:type="dxa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Calibri" w:hAnsi="Calibri" w:eastAsia="宋体" w:cs="Times New Roman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675" w:type="dxa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Calibri" w:hAnsi="Calibri" w:eastAsia="宋体" w:cs="Times New Roman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526" w:type="dxa"/>
            <w:gridSpan w:val="2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Calibri" w:hAnsi="Calibri" w:eastAsia="宋体" w:cs="Times New Roman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700" w:type="dxa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Calibri" w:hAnsi="Calibri" w:eastAsia="宋体" w:cs="Times New Roman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416" w:type="dxa"/>
            <w:vMerge w:val="continue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</w:p>
        </w:tc>
        <w:tc>
          <w:tcPr>
            <w:tcW w:w="1701" w:type="dxa"/>
            <w:vMerge w:val="continue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/>
              <w:textAlignment w:val="auto"/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</w:p>
        </w:tc>
        <w:tc>
          <w:tcPr>
            <w:tcW w:w="2976" w:type="dxa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4.无正当理由大量反复申请</w:t>
            </w:r>
          </w:p>
        </w:tc>
        <w:tc>
          <w:tcPr>
            <w:tcW w:w="733" w:type="dxa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Calibri" w:hAnsi="Calibri" w:eastAsia="宋体" w:cs="Times New Roman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541" w:type="dxa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Calibri" w:hAnsi="Calibri" w:eastAsia="宋体" w:cs="Times New Roman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553" w:type="dxa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Calibri" w:hAnsi="Calibri" w:eastAsia="宋体" w:cs="Times New Roman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720" w:type="dxa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Calibri" w:hAnsi="Calibri" w:eastAsia="宋体" w:cs="Times New Roman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675" w:type="dxa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Calibri" w:hAnsi="Calibri" w:eastAsia="宋体" w:cs="Times New Roman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526" w:type="dxa"/>
            <w:gridSpan w:val="2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Calibri" w:hAnsi="Calibri" w:eastAsia="宋体" w:cs="Times New Roman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700" w:type="dxa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Calibri" w:hAnsi="Calibri" w:eastAsia="宋体" w:cs="Times New Roman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416" w:type="dxa"/>
            <w:vMerge w:val="continue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</w:p>
        </w:tc>
        <w:tc>
          <w:tcPr>
            <w:tcW w:w="1701" w:type="dxa"/>
            <w:vMerge w:val="continue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/>
              <w:textAlignment w:val="auto"/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</w:p>
        </w:tc>
        <w:tc>
          <w:tcPr>
            <w:tcW w:w="2976" w:type="dxa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/>
              <w:textAlignment w:val="auto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5.要求行政机关确认或重新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210" w:firstLineChars="100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  <w:t>出具已获取信息</w:t>
            </w:r>
          </w:p>
        </w:tc>
        <w:tc>
          <w:tcPr>
            <w:tcW w:w="733" w:type="dxa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Calibri" w:hAnsi="Calibri" w:eastAsia="宋体" w:cs="Times New Roman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541" w:type="dxa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Calibri" w:hAnsi="Calibri" w:eastAsia="宋体" w:cs="Times New Roman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553" w:type="dxa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Calibri" w:hAnsi="Calibri" w:eastAsia="宋体" w:cs="Times New Roman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720" w:type="dxa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Calibri" w:hAnsi="Calibri" w:eastAsia="宋体" w:cs="Times New Roman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675" w:type="dxa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Calibri" w:hAnsi="Calibri" w:eastAsia="宋体" w:cs="Times New Roman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526" w:type="dxa"/>
            <w:gridSpan w:val="2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Calibri" w:hAnsi="Calibri" w:eastAsia="宋体" w:cs="Times New Roman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700" w:type="dxa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Calibri" w:hAnsi="Calibri" w:eastAsia="宋体" w:cs="Times New Roman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416" w:type="dxa"/>
            <w:vMerge w:val="continue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</w:p>
        </w:tc>
        <w:tc>
          <w:tcPr>
            <w:tcW w:w="1701" w:type="dxa"/>
            <w:vMerge w:val="restart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/>
              <w:textAlignment w:val="auto"/>
              <w:rPr>
                <w:rFonts w:hint="default" w:ascii="Times New Roman" w:hAnsi="Times New Roman" w:eastAsia="黑体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Cs w:val="21"/>
              </w:rPr>
              <w:t>（六）其他处理</w:t>
            </w:r>
          </w:p>
        </w:tc>
        <w:tc>
          <w:tcPr>
            <w:tcW w:w="2976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/>
              <w:textAlignment w:val="auto"/>
              <w:rPr>
                <w:rFonts w:hint="default" w:ascii="Times New Roman" w:hAnsi="Times New Roman" w:eastAsia="仿宋_GB2312" w:cs="Times New Roman"/>
                <w:color w:val="auto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</w:rPr>
              <w:t>1.申请人无正当理由逾期不补正、行政机关不再处理其政府信息公开申请</w:t>
            </w:r>
          </w:p>
        </w:tc>
        <w:tc>
          <w:tcPr>
            <w:tcW w:w="733" w:type="dxa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Calibri" w:hAnsi="Calibri" w:eastAsia="宋体" w:cs="Times New Roman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541" w:type="dxa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Calibri" w:hAnsi="Calibri" w:eastAsia="宋体" w:cs="Times New Roman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553" w:type="dxa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Calibri" w:hAnsi="Calibri" w:eastAsia="宋体" w:cs="Times New Roman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720" w:type="dxa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Calibri" w:hAnsi="Calibri" w:eastAsia="宋体" w:cs="Times New Roman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675" w:type="dxa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Calibri" w:hAnsi="Calibri" w:eastAsia="宋体" w:cs="Times New Roman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526" w:type="dxa"/>
            <w:gridSpan w:val="2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Calibri" w:hAnsi="Calibri" w:eastAsia="宋体" w:cs="Times New Roman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700" w:type="dxa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Calibri" w:hAnsi="Calibri" w:eastAsia="宋体" w:cs="Times New Roman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416" w:type="dxa"/>
            <w:vMerge w:val="continue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</w:p>
        </w:tc>
        <w:tc>
          <w:tcPr>
            <w:tcW w:w="1701" w:type="dxa"/>
            <w:vMerge w:val="continue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/>
              <w:textAlignment w:val="auto"/>
              <w:rPr>
                <w:rFonts w:hint="default" w:ascii="Times New Roman" w:hAnsi="Times New Roman" w:eastAsia="黑体" w:cs="Times New Roman"/>
                <w:color w:val="auto"/>
                <w:kern w:val="0"/>
                <w:szCs w:val="21"/>
              </w:rPr>
            </w:pPr>
          </w:p>
        </w:tc>
        <w:tc>
          <w:tcPr>
            <w:tcW w:w="2976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/>
              <w:textAlignment w:val="auto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</w:rPr>
              <w:t>2.申请人逾期未按收费通知要求缴纳费用、行政机关不再处理其政府信息公开申请</w:t>
            </w:r>
          </w:p>
        </w:tc>
        <w:tc>
          <w:tcPr>
            <w:tcW w:w="733" w:type="dxa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Calibri" w:hAnsi="Calibri" w:eastAsia="宋体" w:cs="Times New Roman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541" w:type="dxa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Calibri" w:hAnsi="Calibri" w:eastAsia="宋体" w:cs="Times New Roman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553" w:type="dxa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Calibri" w:hAnsi="Calibri" w:eastAsia="宋体" w:cs="Times New Roman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720" w:type="dxa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Calibri" w:hAnsi="Calibri" w:eastAsia="宋体" w:cs="Times New Roman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675" w:type="dxa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Calibri" w:hAnsi="Calibri" w:eastAsia="宋体" w:cs="Times New Roman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526" w:type="dxa"/>
            <w:gridSpan w:val="2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Calibri" w:hAnsi="Calibri" w:eastAsia="宋体" w:cs="Times New Roman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700" w:type="dxa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Calibri" w:hAnsi="Calibri" w:eastAsia="宋体" w:cs="Times New Roman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416" w:type="dxa"/>
            <w:vMerge w:val="continue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</w:p>
        </w:tc>
        <w:tc>
          <w:tcPr>
            <w:tcW w:w="1701" w:type="dxa"/>
            <w:vMerge w:val="continue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/>
              <w:textAlignment w:val="auto"/>
              <w:rPr>
                <w:rFonts w:hint="default" w:ascii="Times New Roman" w:hAnsi="Times New Roman" w:eastAsia="黑体" w:cs="Times New Roman"/>
                <w:color w:val="auto"/>
                <w:kern w:val="0"/>
                <w:szCs w:val="21"/>
              </w:rPr>
            </w:pPr>
          </w:p>
        </w:tc>
        <w:tc>
          <w:tcPr>
            <w:tcW w:w="2976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/>
              <w:textAlignment w:val="auto"/>
              <w:rPr>
                <w:rFonts w:hint="default" w:ascii="Times New Roman" w:hAnsi="Times New Roman" w:eastAsia="仿宋_GB2312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</w:rPr>
              <w:t>3.其他</w:t>
            </w:r>
          </w:p>
        </w:tc>
        <w:tc>
          <w:tcPr>
            <w:tcW w:w="733" w:type="dxa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Calibri" w:hAnsi="Calibri" w:eastAsia="宋体" w:cs="Times New Roman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541" w:type="dxa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Calibri" w:hAnsi="Calibri" w:eastAsia="宋体" w:cs="Times New Roman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553" w:type="dxa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Calibri" w:hAnsi="Calibri" w:eastAsia="宋体" w:cs="Times New Roman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720" w:type="dxa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Calibri" w:hAnsi="Calibri" w:eastAsia="宋体" w:cs="Times New Roman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675" w:type="dxa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Calibri" w:hAnsi="Calibri" w:eastAsia="宋体" w:cs="Times New Roman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526" w:type="dxa"/>
            <w:gridSpan w:val="2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Calibri" w:hAnsi="Calibri" w:eastAsia="宋体" w:cs="Times New Roman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700" w:type="dxa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Calibri" w:hAnsi="Calibri" w:eastAsia="宋体" w:cs="Times New Roman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416" w:type="dxa"/>
            <w:vMerge w:val="continue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default" w:ascii="Times New Roman" w:hAnsi="Times New Roman" w:eastAsia="黑体" w:cs="Times New Roman"/>
                <w:color w:val="auto"/>
                <w:szCs w:val="21"/>
              </w:rPr>
            </w:pPr>
          </w:p>
        </w:tc>
        <w:tc>
          <w:tcPr>
            <w:tcW w:w="4677" w:type="dxa"/>
            <w:gridSpan w:val="2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/>
              <w:textAlignment w:val="auto"/>
              <w:rPr>
                <w:rFonts w:hint="default" w:ascii="Times New Roman" w:hAnsi="Times New Roman" w:eastAsia="黑体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Cs w:val="21"/>
              </w:rPr>
              <w:t>（七）总计</w:t>
            </w:r>
          </w:p>
        </w:tc>
        <w:tc>
          <w:tcPr>
            <w:tcW w:w="733" w:type="dxa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Calibri" w:hAnsi="Calibri" w:eastAsia="宋体" w:cs="Times New Roman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default" w:cs="Times New Roman"/>
                <w:kern w:val="2"/>
                <w:sz w:val="18"/>
                <w:szCs w:val="18"/>
                <w:lang w:val="en-US" w:eastAsia="zh-CN" w:bidi="ar-SA"/>
              </w:rPr>
              <w:t>3</w:t>
            </w:r>
          </w:p>
        </w:tc>
        <w:tc>
          <w:tcPr>
            <w:tcW w:w="541" w:type="dxa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Calibri" w:hAnsi="Calibri" w:eastAsia="宋体" w:cs="Times New Roman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553" w:type="dxa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Calibri" w:hAnsi="Calibri" w:eastAsia="宋体" w:cs="Times New Roman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720" w:type="dxa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Calibri" w:hAnsi="Calibri" w:eastAsia="宋体" w:cs="Times New Roman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675" w:type="dxa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Calibri" w:hAnsi="Calibri" w:eastAsia="宋体" w:cs="Times New Roman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526" w:type="dxa"/>
            <w:gridSpan w:val="2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Calibri" w:hAnsi="Calibri" w:eastAsia="宋体" w:cs="Times New Roman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700" w:type="dxa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Calibri" w:hAnsi="Calibri" w:eastAsia="宋体" w:cs="Times New Roman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default" w:ascii="宋体" w:hAnsi="宋体" w:cs="宋体"/>
                <w:sz w:val="18"/>
                <w:szCs w:val="18"/>
                <w:lang w:val="en-US"/>
              </w:rPr>
              <w:t>3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5093" w:type="dxa"/>
            <w:gridSpan w:val="3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00" w:lineRule="exact"/>
              <w:rPr>
                <w:rFonts w:hint="default" w:ascii="Times New Roman" w:hAnsi="Times New Roman" w:eastAsia="黑体" w:cs="Times New Roman"/>
                <w:color w:val="auto"/>
                <w:kern w:val="0"/>
                <w:szCs w:val="21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Cs w:val="21"/>
              </w:rPr>
              <w:t>四、结转下年度继续办理</w:t>
            </w:r>
          </w:p>
        </w:tc>
        <w:tc>
          <w:tcPr>
            <w:tcW w:w="733" w:type="dxa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Calibri" w:hAnsi="Calibri" w:eastAsia="宋体" w:cs="Times New Roman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default" w:ascii="宋体" w:hAnsi="宋体" w:cs="宋体"/>
                <w:sz w:val="18"/>
                <w:szCs w:val="18"/>
                <w:lang w:val="en-US" w:eastAsia="zh-CN"/>
              </w:rPr>
              <w:t>1</w:t>
            </w:r>
          </w:p>
        </w:tc>
        <w:tc>
          <w:tcPr>
            <w:tcW w:w="541" w:type="dxa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Calibri" w:hAnsi="Calibri" w:eastAsia="宋体" w:cs="Times New Roman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553" w:type="dxa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Calibri" w:hAnsi="Calibri" w:eastAsia="宋体" w:cs="Times New Roman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720" w:type="dxa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Calibri" w:hAnsi="Calibri" w:eastAsia="宋体" w:cs="Times New Roman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675" w:type="dxa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Calibri" w:hAnsi="Calibri" w:eastAsia="宋体" w:cs="Times New Roman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526" w:type="dxa"/>
            <w:gridSpan w:val="2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default" w:ascii="Calibri" w:hAnsi="Calibri" w:eastAsia="宋体" w:cs="Times New Roman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ascii="宋体" w:hAnsi="宋体" w:eastAsia="宋体" w:cs="宋体"/>
                <w:sz w:val="18"/>
                <w:szCs w:val="18"/>
              </w:rPr>
              <w:t>0</w:t>
            </w:r>
          </w:p>
        </w:tc>
        <w:tc>
          <w:tcPr>
            <w:tcW w:w="700" w:type="dxa"/>
            <w:noWrap w:val="0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rPr>
                <w:rFonts w:hint="eastAsia" w:ascii="Calibri" w:hAnsi="Calibri" w:eastAsia="宋体" w:cs="Times New Roman"/>
                <w:kern w:val="2"/>
                <w:sz w:val="18"/>
                <w:szCs w:val="18"/>
                <w:lang w:val="en-US" w:eastAsia="zh-CN" w:bidi="ar-SA"/>
              </w:rPr>
            </w:pPr>
            <w:r>
              <w:rPr>
                <w:rFonts w:hint="default" w:ascii="宋体" w:hAnsi="宋体" w:cs="宋体"/>
                <w:sz w:val="18"/>
                <w:szCs w:val="18"/>
                <w:lang w:val="en-US" w:eastAsia="zh-CN"/>
              </w:rPr>
              <w:t>1</w:t>
            </w:r>
          </w:p>
        </w:tc>
      </w:tr>
    </w:tbl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bidi w:val="0"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黑体" w:cs="Times New Roman"/>
          <w:b w:val="0"/>
          <w:bCs/>
          <w:i w:val="0"/>
          <w:caps w:val="0"/>
          <w:color w:val="333333"/>
          <w:spacing w:val="0"/>
          <w:kern w:val="0"/>
          <w:sz w:val="32"/>
          <w:szCs w:val="32"/>
          <w:highlight w:val="none"/>
          <w:shd w:val="clear" w:fill="FFFFFF"/>
          <w:lang w:val="en-US" w:eastAsia="zh-CN" w:bidi="ar"/>
        </w:rPr>
      </w:pPr>
      <w:r>
        <w:rPr>
          <w:rFonts w:hint="default" w:ascii="Times New Roman" w:hAnsi="Times New Roman" w:eastAsia="黑体" w:cs="Times New Roman"/>
          <w:b w:val="0"/>
          <w:bCs/>
          <w:i w:val="0"/>
          <w:caps w:val="0"/>
          <w:color w:val="333333"/>
          <w:spacing w:val="0"/>
          <w:kern w:val="0"/>
          <w:sz w:val="32"/>
          <w:szCs w:val="32"/>
          <w:highlight w:val="none"/>
          <w:shd w:val="clear" w:fill="FFFFFF"/>
          <w:lang w:val="en-US" w:eastAsia="zh-CN" w:bidi="ar"/>
        </w:rPr>
        <w:t>四、政府信息公开行政复议、行政诉讼情况</w:t>
      </w:r>
    </w:p>
    <w:tbl>
      <w:tblPr>
        <w:tblStyle w:val="7"/>
        <w:tblW w:w="9071" w:type="dxa"/>
        <w:jc w:val="center"/>
        <w:tblInd w:w="0" w:type="dxa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04"/>
        <w:gridCol w:w="604"/>
        <w:gridCol w:w="604"/>
        <w:gridCol w:w="604"/>
        <w:gridCol w:w="658"/>
        <w:gridCol w:w="550"/>
        <w:gridCol w:w="605"/>
        <w:gridCol w:w="605"/>
        <w:gridCol w:w="605"/>
        <w:gridCol w:w="605"/>
        <w:gridCol w:w="605"/>
        <w:gridCol w:w="605"/>
        <w:gridCol w:w="605"/>
        <w:gridCol w:w="606"/>
        <w:gridCol w:w="606"/>
      </w:tblGrid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7" w:hRule="atLeast"/>
          <w:jc w:val="center"/>
        </w:trPr>
        <w:tc>
          <w:tcPr>
            <w:tcW w:w="3074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黑体" w:cs="Times New Roman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行政复议</w:t>
            </w:r>
          </w:p>
        </w:tc>
        <w:tc>
          <w:tcPr>
            <w:tcW w:w="5997" w:type="dxa"/>
            <w:gridSpan w:val="10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黑体" w:cs="Times New Roman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行政诉讼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7" w:hRule="atLeast"/>
          <w:jc w:val="center"/>
        </w:trPr>
        <w:tc>
          <w:tcPr>
            <w:tcW w:w="604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149" w:leftChars="-71" w:right="-170" w:rightChars="-81"/>
              <w:jc w:val="center"/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结果</w:t>
            </w:r>
          </w:p>
          <w:p>
            <w:pPr>
              <w:widowControl/>
              <w:ind w:left="-149" w:leftChars="-71" w:right="-170" w:rightChars="-81"/>
              <w:jc w:val="center"/>
              <w:rPr>
                <w:rFonts w:hint="default" w:ascii="Times New Roman" w:hAnsi="Times New Roman" w:eastAsia="黑体" w:cs="Times New Roman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维持</w:t>
            </w:r>
          </w:p>
        </w:tc>
        <w:tc>
          <w:tcPr>
            <w:tcW w:w="604" w:type="dxa"/>
            <w:vMerge w:val="restar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43" w:leftChars="-21" w:right="-132" w:rightChars="-63" w:hanging="1"/>
              <w:jc w:val="center"/>
              <w:rPr>
                <w:rFonts w:hint="default" w:ascii="Times New Roman" w:hAnsi="Times New Roman" w:eastAsia="黑体" w:cs="Times New Roman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结果纠正</w:t>
            </w:r>
          </w:p>
        </w:tc>
        <w:tc>
          <w:tcPr>
            <w:tcW w:w="604" w:type="dxa"/>
            <w:vMerge w:val="restart"/>
            <w:tcBorders>
              <w:top w:val="single" w:color="auto" w:sz="8" w:space="0"/>
              <w:left w:val="single" w:color="auto" w:sz="4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82" w:leftChars="-39" w:right="-97" w:rightChars="-46"/>
              <w:jc w:val="center"/>
              <w:rPr>
                <w:rFonts w:hint="default" w:ascii="Times New Roman" w:hAnsi="Times New Roman" w:eastAsia="黑体" w:cs="Times New Roman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其他结果</w:t>
            </w:r>
          </w:p>
        </w:tc>
        <w:tc>
          <w:tcPr>
            <w:tcW w:w="604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118" w:leftChars="-56" w:right="-118" w:rightChars="-56"/>
              <w:jc w:val="center"/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尚未</w:t>
            </w:r>
          </w:p>
          <w:p>
            <w:pPr>
              <w:widowControl/>
              <w:ind w:left="-118" w:leftChars="-56" w:right="-118" w:rightChars="-56"/>
              <w:jc w:val="center"/>
              <w:rPr>
                <w:rFonts w:hint="default" w:ascii="Times New Roman" w:hAnsi="Times New Roman" w:eastAsia="黑体" w:cs="Times New Roman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审结</w:t>
            </w:r>
          </w:p>
        </w:tc>
        <w:tc>
          <w:tcPr>
            <w:tcW w:w="658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20" w:lineRule="exact"/>
              <w:jc w:val="center"/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总</w:t>
            </w:r>
          </w:p>
          <w:p>
            <w:pPr>
              <w:widowControl/>
              <w:spacing w:line="320" w:lineRule="exact"/>
              <w:jc w:val="center"/>
              <w:rPr>
                <w:rFonts w:hint="default" w:ascii="Times New Roman" w:hAnsi="Times New Roman" w:eastAsia="黑体" w:cs="Times New Roman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计</w:t>
            </w:r>
          </w:p>
        </w:tc>
        <w:tc>
          <w:tcPr>
            <w:tcW w:w="2970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黑体" w:cs="Times New Roman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未经复议直接起诉</w:t>
            </w:r>
          </w:p>
        </w:tc>
        <w:tc>
          <w:tcPr>
            <w:tcW w:w="3027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黑体" w:cs="Times New Roman"/>
              </w:rPr>
            </w:pPr>
            <w:bookmarkStart w:id="10" w:name="_Hlk67039688"/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复议后起诉</w:t>
            </w:r>
            <w:bookmarkEnd w:id="10"/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6" w:hRule="atLeast"/>
          <w:jc w:val="center"/>
        </w:trPr>
        <w:tc>
          <w:tcPr>
            <w:tcW w:w="60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default" w:ascii="Times New Roman" w:hAnsi="Times New Roman" w:eastAsia="黑体" w:cs="Times New Roman"/>
                <w:sz w:val="24"/>
              </w:rPr>
            </w:pPr>
          </w:p>
        </w:tc>
        <w:tc>
          <w:tcPr>
            <w:tcW w:w="604" w:type="dxa"/>
            <w:vMerge w:val="continue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default" w:ascii="Times New Roman" w:hAnsi="Times New Roman" w:eastAsia="黑体" w:cs="Times New Roman"/>
                <w:sz w:val="24"/>
              </w:rPr>
            </w:pPr>
          </w:p>
        </w:tc>
        <w:tc>
          <w:tcPr>
            <w:tcW w:w="604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default" w:ascii="Times New Roman" w:hAnsi="Times New Roman" w:eastAsia="黑体" w:cs="Times New Roman"/>
                <w:sz w:val="24"/>
              </w:rPr>
            </w:pPr>
          </w:p>
        </w:tc>
        <w:tc>
          <w:tcPr>
            <w:tcW w:w="604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default" w:ascii="Times New Roman" w:hAnsi="Times New Roman" w:eastAsia="黑体" w:cs="Times New Roman"/>
                <w:sz w:val="24"/>
              </w:rPr>
            </w:pPr>
          </w:p>
        </w:tc>
        <w:tc>
          <w:tcPr>
            <w:tcW w:w="658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hint="default" w:ascii="Times New Roman" w:hAnsi="Times New Roman" w:eastAsia="黑体" w:cs="Times New Roman"/>
                <w:sz w:val="24"/>
              </w:rPr>
            </w:pPr>
          </w:p>
        </w:tc>
        <w:tc>
          <w:tcPr>
            <w:tcW w:w="55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105" w:leftChars="-50" w:right="-126" w:rightChars="-60"/>
              <w:jc w:val="center"/>
              <w:rPr>
                <w:rFonts w:hint="default" w:ascii="Times New Roman" w:hAnsi="Times New Roman" w:eastAsia="黑体" w:cs="Times New Roman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结果维持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86" w:leftChars="-41" w:right="-88" w:rightChars="-42"/>
              <w:jc w:val="center"/>
              <w:rPr>
                <w:rFonts w:hint="default" w:ascii="Times New Roman" w:hAnsi="Times New Roman" w:eastAsia="黑体" w:cs="Times New Roman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结果纠正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126" w:leftChars="-60" w:right="-136" w:rightChars="-65"/>
              <w:jc w:val="center"/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其他</w:t>
            </w:r>
          </w:p>
          <w:p>
            <w:pPr>
              <w:widowControl/>
              <w:ind w:left="-126" w:leftChars="-60" w:right="-136" w:rightChars="-65"/>
              <w:jc w:val="center"/>
              <w:rPr>
                <w:rFonts w:hint="default" w:ascii="Times New Roman" w:hAnsi="Times New Roman" w:eastAsia="黑体" w:cs="Times New Roman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结果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164" w:leftChars="-78" w:right="-153" w:rightChars="-73"/>
              <w:jc w:val="center"/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尚未</w:t>
            </w:r>
          </w:p>
          <w:p>
            <w:pPr>
              <w:widowControl/>
              <w:ind w:left="-164" w:leftChars="-78" w:right="-153" w:rightChars="-73"/>
              <w:jc w:val="center"/>
              <w:rPr>
                <w:rFonts w:hint="default" w:ascii="Times New Roman" w:hAnsi="Times New Roman" w:eastAsia="黑体" w:cs="Times New Roman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审结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黑体" w:cs="Times New Roman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总计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99" w:leftChars="-47" w:right="-78" w:rightChars="-37"/>
              <w:jc w:val="center"/>
              <w:rPr>
                <w:rFonts w:hint="default" w:ascii="Times New Roman" w:hAnsi="Times New Roman" w:eastAsia="黑体" w:cs="Times New Roman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结果维持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136" w:leftChars="-65" w:right="-124" w:rightChars="-59"/>
              <w:jc w:val="center"/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结果</w:t>
            </w:r>
          </w:p>
          <w:p>
            <w:pPr>
              <w:widowControl/>
              <w:ind w:left="-136" w:leftChars="-65" w:right="-124" w:rightChars="-59"/>
              <w:jc w:val="center"/>
              <w:rPr>
                <w:rFonts w:hint="default" w:ascii="Times New Roman" w:hAnsi="Times New Roman" w:eastAsia="黑体" w:cs="Times New Roman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纠正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173" w:leftChars="-83" w:right="-134" w:rightChars="-64" w:hanging="1"/>
              <w:jc w:val="center"/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其他</w:t>
            </w:r>
          </w:p>
          <w:p>
            <w:pPr>
              <w:widowControl/>
              <w:ind w:left="-173" w:leftChars="-83" w:right="-134" w:rightChars="-64" w:hanging="1"/>
              <w:jc w:val="center"/>
              <w:rPr>
                <w:rFonts w:hint="default" w:ascii="Times New Roman" w:hAnsi="Times New Roman" w:eastAsia="黑体" w:cs="Times New Roman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结果</w:t>
            </w:r>
          </w:p>
        </w:tc>
        <w:tc>
          <w:tcPr>
            <w:tcW w:w="60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67" w:leftChars="-33" w:right="-105" w:rightChars="-50" w:hanging="2" w:hangingChars="1"/>
              <w:jc w:val="center"/>
              <w:rPr>
                <w:rFonts w:hint="default" w:ascii="Times New Roman" w:hAnsi="Times New Roman" w:eastAsia="黑体" w:cs="Times New Roman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尚未审结</w:t>
            </w:r>
          </w:p>
        </w:tc>
        <w:tc>
          <w:tcPr>
            <w:tcW w:w="60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黑体" w:cs="Times New Roman"/>
              </w:rPr>
            </w:pPr>
            <w:r>
              <w:rPr>
                <w:rFonts w:hint="default" w:ascii="Times New Roman" w:hAnsi="Times New Roman" w:eastAsia="黑体" w:cs="Times New Roman"/>
                <w:kern w:val="0"/>
                <w:sz w:val="20"/>
                <w:szCs w:val="20"/>
              </w:rPr>
              <w:t>总计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04" w:type="dxa"/>
            <w:tcBorders>
              <w:top w:val="single" w:color="auto" w:sz="4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  <w:lang w:val="en-US"/>
              </w:rPr>
            </w:pPr>
            <w:r>
              <w:rPr>
                <w:rFonts w:hint="default" w:ascii="Times New Roman" w:hAnsi="Times New Roman" w:cs="Times New Roman"/>
                <w:lang w:val="en-US"/>
              </w:rPr>
              <w:t>2</w:t>
            </w:r>
          </w:p>
        </w:tc>
        <w:tc>
          <w:tcPr>
            <w:tcW w:w="604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  <w:lang w:val="en-US"/>
              </w:rPr>
            </w:pPr>
            <w:r>
              <w:rPr>
                <w:rFonts w:hint="default" w:ascii="Times New Roman" w:hAnsi="Times New Roman" w:cs="Times New Roman"/>
                <w:lang w:val="en-US"/>
              </w:rPr>
              <w:t>0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  <w:lang w:val="en-US"/>
              </w:rPr>
            </w:pPr>
            <w:r>
              <w:rPr>
                <w:rFonts w:hint="default" w:ascii="Times New Roman" w:hAnsi="Times New Roman" w:cs="Times New Roman"/>
                <w:lang w:val="en-US"/>
              </w:rPr>
              <w:t>0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  <w:lang w:val="en-US"/>
              </w:rPr>
            </w:pPr>
            <w:r>
              <w:rPr>
                <w:rFonts w:hint="default" w:ascii="Times New Roman" w:hAnsi="Times New Roman" w:cs="Times New Roman"/>
                <w:lang w:val="en-US"/>
              </w:rPr>
              <w:t>0</w:t>
            </w:r>
          </w:p>
        </w:tc>
        <w:tc>
          <w:tcPr>
            <w:tcW w:w="65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  <w:lang w:val="en-US"/>
              </w:rPr>
            </w:pPr>
            <w:r>
              <w:rPr>
                <w:rFonts w:hint="default" w:ascii="Times New Roman" w:hAnsi="Times New Roman" w:cs="Times New Roman"/>
                <w:lang w:val="en-US"/>
              </w:rPr>
              <w:t>2</w:t>
            </w:r>
          </w:p>
        </w:tc>
        <w:tc>
          <w:tcPr>
            <w:tcW w:w="55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  <w:lang w:val="en-US"/>
              </w:rPr>
            </w:pPr>
            <w:r>
              <w:rPr>
                <w:rFonts w:hint="default" w:ascii="Times New Roman" w:hAnsi="Times New Roman" w:cs="Times New Roman"/>
                <w:lang w:val="en-US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  <w:lang w:val="en-US"/>
              </w:rPr>
            </w:pPr>
            <w:r>
              <w:rPr>
                <w:rFonts w:hint="default" w:ascii="Times New Roman" w:hAnsi="Times New Roman" w:cs="Times New Roman"/>
                <w:lang w:val="en-US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  <w:lang w:val="en-US"/>
              </w:rPr>
            </w:pPr>
            <w:r>
              <w:rPr>
                <w:rFonts w:hint="default" w:ascii="Times New Roman" w:hAnsi="Times New Roman" w:cs="Times New Roman"/>
                <w:lang w:val="en-US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  <w:lang w:val="en-US"/>
              </w:rPr>
            </w:pPr>
            <w:r>
              <w:rPr>
                <w:rFonts w:hint="default" w:ascii="Times New Roman" w:hAnsi="Times New Roman" w:cs="Times New Roman"/>
                <w:lang w:val="en-US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  <w:lang w:val="en-US"/>
              </w:rPr>
            </w:pPr>
            <w:r>
              <w:rPr>
                <w:rFonts w:hint="default" w:ascii="Times New Roman" w:hAnsi="Times New Roman" w:cs="Times New Roman"/>
                <w:lang w:val="en-US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  <w:lang w:val="en-US"/>
              </w:rPr>
            </w:pPr>
            <w:r>
              <w:rPr>
                <w:rFonts w:hint="default" w:ascii="Times New Roman" w:hAnsi="Times New Roman" w:cs="Times New Roman"/>
                <w:lang w:val="en-US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  <w:lang w:val="en-US"/>
              </w:rPr>
            </w:pPr>
            <w:r>
              <w:rPr>
                <w:rFonts w:hint="default" w:ascii="Times New Roman" w:hAnsi="Times New Roman" w:cs="Times New Roman"/>
                <w:lang w:val="en-US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  <w:lang w:val="en-US"/>
              </w:rPr>
            </w:pPr>
            <w:r>
              <w:rPr>
                <w:rFonts w:hint="default" w:ascii="Times New Roman" w:hAnsi="Times New Roman" w:cs="Times New Roman"/>
                <w:lang w:val="en-US"/>
              </w:rPr>
              <w:t>0</w:t>
            </w:r>
          </w:p>
        </w:tc>
        <w:tc>
          <w:tcPr>
            <w:tcW w:w="6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  <w:lang w:val="en-US"/>
              </w:rPr>
            </w:pPr>
            <w:r>
              <w:rPr>
                <w:rFonts w:hint="default" w:ascii="Times New Roman" w:hAnsi="Times New Roman" w:cs="Times New Roman"/>
                <w:lang w:val="en-US"/>
              </w:rPr>
              <w:t>0</w:t>
            </w:r>
          </w:p>
        </w:tc>
        <w:tc>
          <w:tcPr>
            <w:tcW w:w="6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cs="Times New Roman"/>
                <w:lang w:val="en-US"/>
              </w:rPr>
            </w:pPr>
            <w:r>
              <w:rPr>
                <w:rFonts w:hint="default" w:ascii="Times New Roman" w:hAnsi="Times New Roman" w:cs="Times New Roman"/>
                <w:lang w:val="en-US"/>
              </w:rPr>
              <w:t>0</w:t>
            </w:r>
          </w:p>
        </w:tc>
      </w:tr>
    </w:tbl>
    <w:p>
      <w:pPr>
        <w:widowControl/>
        <w:jc w:val="left"/>
        <w:rPr>
          <w:rFonts w:hint="default" w:ascii="Times New Roman" w:hAnsi="Times New Roman" w:eastAsia="仿宋_GB2312" w:cs="Times New Roman"/>
          <w:color w:val="FF0000"/>
          <w:kern w:val="0"/>
          <w:szCs w:val="21"/>
          <w:lang w:val="en-US" w:eastAsia="zh-CN"/>
        </w:rPr>
      </w:pPr>
    </w:p>
    <w:p>
      <w:pPr>
        <w:pStyle w:val="5"/>
        <w:keepNext w:val="0"/>
        <w:keepLines w:val="0"/>
        <w:pageBreakBefore w:val="0"/>
        <w:widowControl/>
        <w:numPr>
          <w:ilvl w:val="0"/>
          <w:numId w:val="1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textAlignment w:val="auto"/>
        <w:rPr>
          <w:rFonts w:hint="default" w:ascii="Times New Roman" w:hAnsi="Times New Roman" w:eastAsia="黑体" w:cs="Times New Roman"/>
          <w:b w:val="0"/>
          <w:bCs/>
          <w:i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default" w:ascii="Times New Roman" w:hAnsi="Times New Roman" w:eastAsia="黑体" w:cs="Times New Roman"/>
          <w:b w:val="0"/>
          <w:bCs/>
          <w:i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  <w:t>存在的主要问题及改进情况</w:t>
      </w:r>
    </w:p>
    <w:p>
      <w:pPr>
        <w:pStyle w:val="5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000000" w:themeColor="text1"/>
          <w:kern w:val="0"/>
          <w:sz w:val="32"/>
          <w:szCs w:val="32"/>
          <w:lang w:val="en-US" w:eastAsia="zh-CN" w:bidi="ar"/>
          <w14:textFill>
            <w14:solidFill>
              <w14:schemeClr w14:val="tx1"/>
            </w14:solidFill>
          </w14:textFill>
        </w:rPr>
      </w:pPr>
      <w:r>
        <w:rPr>
          <w:rFonts w:hint="default" w:ascii="Times New Roman" w:hAnsi="Times New Roman" w:eastAsia="楷体_GB2312" w:cs="Times New Roman"/>
          <w:b w:val="0"/>
          <w:bCs/>
          <w:color w:val="auto"/>
          <w:sz w:val="32"/>
          <w:szCs w:val="32"/>
          <w:lang w:val="en-US" w:eastAsia="zh-CN"/>
        </w:rPr>
        <w:t>1.存在问题。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2025年度，竹岛街道扎实推进政府信息公开各项工作，取得了一定成效。但是工作开展过程中仍存在短板与不足，如</w:t>
      </w:r>
      <w:r>
        <w:rPr>
          <w:rFonts w:hint="default" w:ascii="Times New Roman" w:hAnsi="Times New Roman" w:eastAsia="仿宋_GB2312" w:cs="Times New Roman"/>
          <w:i w:val="0"/>
          <w:caps w:val="0"/>
          <w:color w:val="000000" w:themeColor="text1"/>
          <w:spacing w:val="0"/>
          <w:kern w:val="2"/>
          <w:sz w:val="32"/>
          <w:szCs w:val="32"/>
          <w:shd w:val="clear" w:fill="FFFFFF"/>
          <w:lang w:val="en-US" w:eastAsia="zh-CN" w:bidi="ar-SA"/>
          <w14:textFill>
            <w14:solidFill>
              <w14:schemeClr w14:val="tx1"/>
            </w14:solidFill>
          </w14:textFill>
        </w:rPr>
        <w:t>信息公开内容、形式不够丰富，</w:t>
      </w:r>
      <w:r>
        <w:rPr>
          <w:rFonts w:hint="default" w:ascii="Times New Roman" w:hAnsi="Times New Roman" w:eastAsia="仿宋_GB2312" w:cs="Times New Roman"/>
          <w:color w:val="000000" w:themeColor="text1"/>
          <w:kern w:val="0"/>
          <w:sz w:val="32"/>
          <w:szCs w:val="32"/>
          <w:lang w:val="en-US" w:eastAsia="zh-CN" w:bidi="ar"/>
          <w14:textFill>
            <w14:solidFill>
              <w14:schemeClr w14:val="tx1"/>
            </w14:solidFill>
          </w14:textFill>
        </w:rPr>
        <w:t>缺乏创新性等。</w:t>
      </w:r>
    </w:p>
    <w:p>
      <w:pPr>
        <w:pStyle w:val="5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000000" w:themeColor="text1"/>
          <w:kern w:val="0"/>
          <w:sz w:val="32"/>
          <w:szCs w:val="32"/>
          <w:lang w:val="en-US" w:eastAsia="zh-CN" w:bidi="ar"/>
          <w14:textFill>
            <w14:solidFill>
              <w14:schemeClr w14:val="tx1"/>
            </w14:solidFill>
          </w14:textFill>
        </w:rPr>
      </w:pPr>
      <w:r>
        <w:rPr>
          <w:rFonts w:hint="default" w:ascii="Times New Roman" w:hAnsi="Times New Roman" w:eastAsia="楷体_GB2312" w:cs="Times New Roman"/>
          <w:b w:val="0"/>
          <w:bCs/>
          <w:color w:val="auto"/>
          <w:sz w:val="32"/>
          <w:szCs w:val="32"/>
          <w:lang w:val="en-US" w:eastAsia="zh-CN"/>
        </w:rPr>
        <w:t>2.改进情况。</w:t>
      </w:r>
      <w:bookmarkStart w:id="11" w:name="OLE_LINK2"/>
      <w:r>
        <w:rPr>
          <w:rFonts w:hint="default" w:ascii="Times New Roman" w:hAnsi="Times New Roman" w:eastAsia="仿宋_GB2312" w:cs="Times New Roman"/>
          <w:color w:val="000000" w:themeColor="text1"/>
          <w:kern w:val="0"/>
          <w:sz w:val="32"/>
          <w:szCs w:val="32"/>
          <w:lang w:val="en-US" w:eastAsia="zh-CN" w:bidi="ar"/>
          <w14:textFill>
            <w14:solidFill>
              <w14:schemeClr w14:val="tx1"/>
            </w14:solidFill>
          </w14:textFill>
        </w:rPr>
        <w:t>下一步，将主动对标政务公开工作先进单位，学习借鉴其优秀做法与成功经验，立足本单位工作实际，积极探索信息公开的新路径、新载体、新形式，挖掘公开特色内容，着力打造具有特色的公开亮点，进一步提升政府信息公开工作的质量和水平。</w:t>
      </w:r>
      <w:bookmarkEnd w:id="11"/>
    </w:p>
    <w:p>
      <w:pPr>
        <w:pStyle w:val="5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textAlignment w:val="auto"/>
        <w:rPr>
          <w:rFonts w:hint="default" w:ascii="Times New Roman" w:hAnsi="Times New Roman" w:eastAsia="黑体" w:cs="Times New Roman"/>
          <w:b w:val="0"/>
          <w:bCs/>
          <w:i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default" w:ascii="Times New Roman" w:hAnsi="Times New Roman" w:eastAsia="黑体" w:cs="Times New Roman"/>
          <w:b w:val="0"/>
          <w:bCs/>
          <w:i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  <w:t>六、其他需要报告的事项</w:t>
      </w:r>
    </w:p>
    <w:p>
      <w:pPr>
        <w:pStyle w:val="5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/>
        </w:rPr>
        <w:t>1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</w:rPr>
        <w:t>.</w:t>
      </w:r>
      <w:r>
        <w:rPr>
          <w:rFonts w:hint="default" w:ascii="Times New Roman" w:hAnsi="Times New Roman" w:eastAsia="楷体_GB2312" w:cs="Times New Roman"/>
          <w:kern w:val="2"/>
          <w:sz w:val="32"/>
          <w:szCs w:val="32"/>
          <w:highlight w:val="none"/>
          <w:lang w:val="en-US" w:eastAsia="zh-CN" w:bidi="ar-SA"/>
        </w:rPr>
        <w:t>收取信息处理费方面：</w:t>
      </w:r>
      <w:r>
        <w:rPr>
          <w:rFonts w:hint="default" w:ascii="Times New Roman" w:hAnsi="Times New Roman" w:cs="Times New Roman"/>
          <w:sz w:val="32"/>
          <w:szCs w:val="32"/>
          <w:highlight w:val="none"/>
        </w:rPr>
        <w:t>202</w:t>
      </w:r>
      <w:r>
        <w:rPr>
          <w:rFonts w:hint="default" w:ascii="Times New Roman" w:hAnsi="Times New Roman" w:cs="Times New Roman"/>
          <w:sz w:val="32"/>
          <w:szCs w:val="32"/>
          <w:highlight w:val="none"/>
          <w:lang w:val="en-US"/>
        </w:rPr>
        <w:t>5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</w:rPr>
        <w:t>年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威海市环翠区竹岛街道办事处未收取政府信息公开信息处理费</w:t>
      </w:r>
    </w:p>
    <w:p>
      <w:pPr>
        <w:pStyle w:val="5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Autospacing="0" w:afterAutospacing="0"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cs="Times New Roman"/>
          <w:sz w:val="32"/>
          <w:szCs w:val="32"/>
          <w:highlight w:val="none"/>
        </w:rPr>
      </w:pP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/>
        </w:rPr>
        <w:t>2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</w:rPr>
        <w:t>.</w:t>
      </w:r>
      <w:r>
        <w:rPr>
          <w:rFonts w:hint="default" w:ascii="Times New Roman" w:hAnsi="Times New Roman" w:eastAsia="楷体_GB2312" w:cs="Times New Roman"/>
          <w:sz w:val="32"/>
          <w:szCs w:val="32"/>
          <w:highlight w:val="none"/>
        </w:rPr>
        <w:t>人大代表、政协委员提案办理方面：</w:t>
      </w:r>
      <w:r>
        <w:rPr>
          <w:rFonts w:hint="default" w:ascii="Times New Roman" w:hAnsi="Times New Roman" w:cs="Times New Roman"/>
          <w:sz w:val="32"/>
          <w:szCs w:val="32"/>
          <w:highlight w:val="none"/>
        </w:rPr>
        <w:t>202</w:t>
      </w:r>
      <w:r>
        <w:rPr>
          <w:rFonts w:hint="default" w:ascii="Times New Roman" w:hAnsi="Times New Roman" w:cs="Times New Roman"/>
          <w:sz w:val="32"/>
          <w:szCs w:val="32"/>
          <w:highlight w:val="none"/>
          <w:lang w:val="en-US"/>
        </w:rPr>
        <w:t>5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</w:rPr>
        <w:t>年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威海市环翠区竹岛街道办事处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</w:rPr>
        <w:t>共承办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区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</w:rPr>
        <w:t>人大代表建议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u w:val="none"/>
          <w:lang w:val="en-US" w:eastAsia="zh-CN"/>
        </w:rPr>
        <w:t>0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</w:rPr>
        <w:t>件、政协提案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/>
        </w:rPr>
        <w:t>1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</w:rPr>
        <w:t>件。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u w:val="none"/>
        </w:rPr>
        <w:t>目前，已全部办理完成，办复率</w:t>
      </w:r>
      <w:r>
        <w:rPr>
          <w:rFonts w:hint="default" w:ascii="Times New Roman" w:hAnsi="Times New Roman" w:cs="Times New Roman"/>
          <w:sz w:val="32"/>
          <w:szCs w:val="32"/>
          <w:highlight w:val="none"/>
          <w:u w:val="none"/>
        </w:rPr>
        <w:t>100%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u w:val="none"/>
        </w:rPr>
        <w:t>，办理结果为</w:t>
      </w:r>
      <w:r>
        <w:rPr>
          <w:rFonts w:hint="default" w:ascii="Times New Roman" w:hAnsi="Times New Roman" w:cs="Times New Roman"/>
          <w:sz w:val="32"/>
          <w:szCs w:val="32"/>
          <w:highlight w:val="none"/>
          <w:u w:val="none"/>
          <w:lang w:val="en-US"/>
        </w:rPr>
        <w:t>C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u w:val="none"/>
        </w:rPr>
        <w:t>类。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6" w:firstLineChars="202"/>
        <w:textAlignment w:val="auto"/>
        <w:rPr>
          <w:rFonts w:hint="default" w:ascii="Times New Roman" w:hAnsi="Times New Roman" w:eastAsia="仿宋_GB2312" w:cs="Times New Roman"/>
          <w:kern w:val="0"/>
          <w:sz w:val="32"/>
          <w:szCs w:val="32"/>
          <w:lang w:val="en-US" w:eastAsia="zh-CN" w:bidi="ar"/>
        </w:rPr>
      </w:pPr>
      <w:r>
        <w:rPr>
          <w:rFonts w:hint="default" w:ascii="Times New Roman" w:hAnsi="Times New Roman" w:eastAsia="仿宋_GB2312" w:cs="Times New Roman"/>
          <w:sz w:val="32"/>
          <w:szCs w:val="32"/>
          <w:highlight w:val="none"/>
          <w:lang w:val="en-US"/>
        </w:rPr>
        <w:t>3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</w:rPr>
        <w:t>.</w:t>
      </w:r>
      <w:r>
        <w:rPr>
          <w:rFonts w:hint="default" w:ascii="Times New Roman" w:hAnsi="Times New Roman" w:eastAsia="楷体_GB2312" w:cs="Times New Roman"/>
          <w:sz w:val="32"/>
          <w:szCs w:val="32"/>
          <w:highlight w:val="none"/>
          <w:lang w:val="en-US" w:eastAsia="zh-CN"/>
        </w:rPr>
        <w:t>创新工作开展</w:t>
      </w:r>
      <w:r>
        <w:rPr>
          <w:rFonts w:hint="default" w:ascii="Times New Roman" w:hAnsi="Times New Roman" w:eastAsia="楷体_GB2312" w:cs="Times New Roman"/>
          <w:sz w:val="32"/>
          <w:szCs w:val="32"/>
          <w:highlight w:val="none"/>
        </w:rPr>
        <w:t>方面：</w:t>
      </w:r>
      <w:r>
        <w:rPr>
          <w:rFonts w:hint="default" w:ascii="Times New Roman" w:hAnsi="Times New Roman" w:eastAsia="仿宋_GB2312" w:cs="Times New Roman"/>
          <w:kern w:val="0"/>
          <w:sz w:val="32"/>
          <w:szCs w:val="32"/>
          <w:lang w:val="en-US" w:eastAsia="zh-CN" w:bidi="ar"/>
        </w:rPr>
        <w:t>威海市环翠区竹岛街道积极推动政务公开工作，一方面，开展“阳光透明·公开入威”政府开放日活动，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保障群众的知情权、表达权、参与权和监督权，有效搭建与群众之间的沟通桥梁，提升公共服务能力。</w:t>
      </w:r>
      <w:bookmarkStart w:id="12" w:name="OLE_LINK1"/>
      <w:r>
        <w:rPr>
          <w:rFonts w:hint="default" w:ascii="Times New Roman" w:hAnsi="Times New Roman" w:eastAsia="仿宋_GB2312" w:cs="Times New Roman"/>
          <w:kern w:val="0"/>
          <w:sz w:val="32"/>
          <w:szCs w:val="32"/>
          <w:lang w:val="en-US" w:eastAsia="zh-CN" w:bidi="ar"/>
        </w:rPr>
        <w:t>另一方面，将政务公开工作与宣传工作深度融合，吸纳社区网格员、退休干部、志愿者组成宣传员队伍，开展 “入户送公开” 行动</w:t>
      </w:r>
      <w:bookmarkEnd w:id="12"/>
      <w:r>
        <w:rPr>
          <w:rFonts w:hint="default" w:ascii="Times New Roman" w:hAnsi="Times New Roman" w:eastAsia="仿宋_GB2312" w:cs="Times New Roman"/>
          <w:kern w:val="0"/>
          <w:sz w:val="32"/>
          <w:szCs w:val="32"/>
          <w:lang w:val="en-US" w:eastAsia="zh-CN" w:bidi="ar"/>
        </w:rPr>
        <w:t>，确保政务公开信息精准触达群众。</w:t>
      </w:r>
    </w:p>
    <w:p>
      <w:pPr>
        <w:pStyle w:val="2"/>
        <w:keepNext w:val="0"/>
        <w:keepLines w:val="0"/>
        <w:pageBreakBefore w:val="0"/>
        <w:kinsoku/>
        <w:wordWrap/>
        <w:overflowPunct/>
        <w:topLinePunct w:val="0"/>
        <w:bidi w:val="0"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楷体_GB2312" w:cs="Times New Roman"/>
          <w:color w:val="auto"/>
          <w:kern w:val="2"/>
          <w:sz w:val="32"/>
          <w:szCs w:val="32"/>
          <w:lang w:val="en-US" w:eastAsia="zh-CN" w:bidi="ar-SA"/>
        </w:rPr>
        <w:t>4.落实上级政务公开要点方面：</w:t>
      </w: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竹岛街道严格落实《2025年威海市环翠区政务公开工作要点》，扎实推进政务公开各项工作，及时发布政府信息，严格信息发布审查制度，推动各项工作任务落实到位。</w:t>
      </w:r>
    </w:p>
    <w:p>
      <w:pPr>
        <w:pStyle w:val="2"/>
        <w:rPr>
          <w:rFonts w:hint="default" w:ascii="Times New Roman" w:hAnsi="Times New Roman" w:cs="Times New Roman"/>
          <w:lang w:val="en-US" w:eastAsia="zh-CN"/>
        </w:rPr>
      </w:pPr>
    </w:p>
    <w:p>
      <w:pPr>
        <w:pStyle w:val="2"/>
        <w:keepNext w:val="0"/>
        <w:keepLines w:val="0"/>
        <w:pageBreakBefore w:val="0"/>
        <w:kinsoku/>
        <w:wordWrap/>
        <w:overflowPunct/>
        <w:topLinePunct w:val="0"/>
        <w:bidi w:val="0"/>
        <w:snapToGrid/>
        <w:spacing w:line="560" w:lineRule="exact"/>
        <w:ind w:firstLine="480" w:firstLineChars="200"/>
        <w:textAlignment w:val="auto"/>
        <w:rPr>
          <w:rFonts w:hint="default" w:ascii="Times New Roman" w:hAnsi="Times New Roman" w:eastAsia="微软雅黑" w:cs="Times New Roman"/>
          <w:i w:val="0"/>
          <w:iCs w:val="0"/>
          <w:caps w:val="0"/>
          <w:color w:val="333333"/>
          <w:spacing w:val="0"/>
          <w:sz w:val="24"/>
          <w:szCs w:val="24"/>
          <w:lang w:val="en-US" w:eastAsia="zh-CN"/>
        </w:rPr>
      </w:pPr>
    </w:p>
    <w:sectPr>
      <w:footerReference r:id="rId3" w:type="default"/>
      <w:pgSz w:w="11906" w:h="16838"/>
      <w:pgMar w:top="1440" w:right="1800" w:bottom="1440" w:left="1800" w:header="851" w:footer="992" w:gutter="0"/>
      <w:pgNumType w:fmt="numberInDash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0000600000000000000"/>
    <w:charset w:val="86"/>
    <w:family w:val="auto"/>
    <w:pitch w:val="default"/>
    <w:sig w:usb0="800002BF" w:usb1="184F6CF8" w:usb2="00000012" w:usb3="00000000" w:csb0="00160001" w:csb1="12030000"/>
  </w:font>
  <w:font w:name="仿宋_GB2312">
    <w:panose1 w:val="02010609030101010101"/>
    <w:charset w:val="86"/>
    <w:family w:val="decorative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decorative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3"/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t>1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3"/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</w:pP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t>1</w: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BEA31A8"/>
    <w:multiLevelType w:val="singleLevel"/>
    <w:tmpl w:val="2BEA31A8"/>
    <w:lvl w:ilvl="0" w:tentative="0">
      <w:start w:val="5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DczZmYxYmQwMWRiNjMxNjU0MjJjNGUxOWM4MjZkNmMifQ=="/>
    <w:docVar w:name="KSO_WPS_MARK_KEY" w:val="11622365-f96c-4384-b54e-c23e9148b701"/>
  </w:docVars>
  <w:rsids>
    <w:rsidRoot w:val="11AF18C8"/>
    <w:rsid w:val="002F13D2"/>
    <w:rsid w:val="00357AEC"/>
    <w:rsid w:val="0145731D"/>
    <w:rsid w:val="016D464C"/>
    <w:rsid w:val="018B30EA"/>
    <w:rsid w:val="03497B05"/>
    <w:rsid w:val="03B3674D"/>
    <w:rsid w:val="04231A1E"/>
    <w:rsid w:val="04F36091"/>
    <w:rsid w:val="05E55F0C"/>
    <w:rsid w:val="07E0027C"/>
    <w:rsid w:val="08D157AC"/>
    <w:rsid w:val="098D04C2"/>
    <w:rsid w:val="0CE655CA"/>
    <w:rsid w:val="0D0713DD"/>
    <w:rsid w:val="0FAE0F40"/>
    <w:rsid w:val="10134580"/>
    <w:rsid w:val="10600A93"/>
    <w:rsid w:val="107F6AA1"/>
    <w:rsid w:val="10A34316"/>
    <w:rsid w:val="116007FA"/>
    <w:rsid w:val="11995C88"/>
    <w:rsid w:val="11AF18C8"/>
    <w:rsid w:val="11D23DE8"/>
    <w:rsid w:val="12453990"/>
    <w:rsid w:val="12A73B1A"/>
    <w:rsid w:val="13555CA7"/>
    <w:rsid w:val="16406F92"/>
    <w:rsid w:val="17E965C5"/>
    <w:rsid w:val="19786931"/>
    <w:rsid w:val="198474A5"/>
    <w:rsid w:val="1A6A77C7"/>
    <w:rsid w:val="1B551E7A"/>
    <w:rsid w:val="1C9C3D51"/>
    <w:rsid w:val="1D19008D"/>
    <w:rsid w:val="1D537C8E"/>
    <w:rsid w:val="1D80179C"/>
    <w:rsid w:val="1EF0162D"/>
    <w:rsid w:val="2026615C"/>
    <w:rsid w:val="2081425F"/>
    <w:rsid w:val="21E07764"/>
    <w:rsid w:val="21E9640B"/>
    <w:rsid w:val="21FF02B1"/>
    <w:rsid w:val="222A1925"/>
    <w:rsid w:val="234B7E14"/>
    <w:rsid w:val="23A24825"/>
    <w:rsid w:val="24CC671A"/>
    <w:rsid w:val="26987B16"/>
    <w:rsid w:val="26A50251"/>
    <w:rsid w:val="28850D47"/>
    <w:rsid w:val="28C362D2"/>
    <w:rsid w:val="29726D23"/>
    <w:rsid w:val="29F7628B"/>
    <w:rsid w:val="2A0620DC"/>
    <w:rsid w:val="2A771E28"/>
    <w:rsid w:val="2C8E12A3"/>
    <w:rsid w:val="2CAD55DB"/>
    <w:rsid w:val="2D143485"/>
    <w:rsid w:val="2E9C5077"/>
    <w:rsid w:val="2EC87974"/>
    <w:rsid w:val="2F634FF0"/>
    <w:rsid w:val="30AD5F4C"/>
    <w:rsid w:val="313839FE"/>
    <w:rsid w:val="316F0BD0"/>
    <w:rsid w:val="35EE3A72"/>
    <w:rsid w:val="38A04292"/>
    <w:rsid w:val="38BD46EB"/>
    <w:rsid w:val="3A0738F3"/>
    <w:rsid w:val="3B167AEE"/>
    <w:rsid w:val="3B9A0A65"/>
    <w:rsid w:val="3D6001EA"/>
    <w:rsid w:val="3EFF3784"/>
    <w:rsid w:val="3FC9095F"/>
    <w:rsid w:val="40126413"/>
    <w:rsid w:val="40307701"/>
    <w:rsid w:val="40325072"/>
    <w:rsid w:val="40930452"/>
    <w:rsid w:val="40EB3DF5"/>
    <w:rsid w:val="412029AD"/>
    <w:rsid w:val="42501079"/>
    <w:rsid w:val="42995E42"/>
    <w:rsid w:val="42CF7EA2"/>
    <w:rsid w:val="43772658"/>
    <w:rsid w:val="43A460BA"/>
    <w:rsid w:val="45A74890"/>
    <w:rsid w:val="464F74E8"/>
    <w:rsid w:val="470769CE"/>
    <w:rsid w:val="48B9187A"/>
    <w:rsid w:val="48BE6F95"/>
    <w:rsid w:val="49637979"/>
    <w:rsid w:val="4C2C4549"/>
    <w:rsid w:val="4E47773D"/>
    <w:rsid w:val="4F185AA3"/>
    <w:rsid w:val="50835F67"/>
    <w:rsid w:val="50EC5F3E"/>
    <w:rsid w:val="50F81D95"/>
    <w:rsid w:val="511E6463"/>
    <w:rsid w:val="52C0622F"/>
    <w:rsid w:val="531B7BD6"/>
    <w:rsid w:val="54F23AC6"/>
    <w:rsid w:val="56D62EF0"/>
    <w:rsid w:val="56F344A5"/>
    <w:rsid w:val="57E9263D"/>
    <w:rsid w:val="5864562B"/>
    <w:rsid w:val="59791E7B"/>
    <w:rsid w:val="5CAF2B65"/>
    <w:rsid w:val="5CD26013"/>
    <w:rsid w:val="5FDD52F4"/>
    <w:rsid w:val="60190099"/>
    <w:rsid w:val="610B1752"/>
    <w:rsid w:val="612A487D"/>
    <w:rsid w:val="620414ED"/>
    <w:rsid w:val="62B908DE"/>
    <w:rsid w:val="64045DDF"/>
    <w:rsid w:val="64FA76C9"/>
    <w:rsid w:val="67C246B9"/>
    <w:rsid w:val="68176A8B"/>
    <w:rsid w:val="683D272F"/>
    <w:rsid w:val="68C9088B"/>
    <w:rsid w:val="698A33A4"/>
    <w:rsid w:val="6BF82A18"/>
    <w:rsid w:val="6C7C7FF0"/>
    <w:rsid w:val="6D1C62AB"/>
    <w:rsid w:val="6D613F0A"/>
    <w:rsid w:val="6EEA5553"/>
    <w:rsid w:val="6F0133B7"/>
    <w:rsid w:val="6F257ADC"/>
    <w:rsid w:val="737C55B1"/>
    <w:rsid w:val="746B5721"/>
    <w:rsid w:val="76B02B94"/>
    <w:rsid w:val="76BE6893"/>
    <w:rsid w:val="77181135"/>
    <w:rsid w:val="77927421"/>
    <w:rsid w:val="77FE4B8B"/>
    <w:rsid w:val="796F0E58"/>
    <w:rsid w:val="7AC5316D"/>
    <w:rsid w:val="7AE463DE"/>
    <w:rsid w:val="7B405624"/>
    <w:rsid w:val="7C1E59E0"/>
    <w:rsid w:val="7C566D73"/>
    <w:rsid w:val="7CF16353"/>
    <w:rsid w:val="7E0C0BF7"/>
    <w:rsid w:val="7E2277F5"/>
    <w:rsid w:val="7EED49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6">
    <w:name w:val="Default Paragraph Font"/>
    <w:semiHidden/>
    <w:qFormat/>
    <w:uiPriority w:val="0"/>
  </w:style>
  <w:style w:type="table" w:default="1" w:styleId="7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Default"/>
    <w:qFormat/>
    <w:uiPriority w:val="99"/>
    <w:pPr>
      <w:widowControl w:val="0"/>
      <w:autoSpaceDE w:val="0"/>
      <w:autoSpaceDN w:val="0"/>
      <w:adjustRightInd w:val="0"/>
    </w:pPr>
    <w:rPr>
      <w:rFonts w:ascii="方正小标宋简体" w:hAnsi="方正小标宋简体" w:eastAsia="方正小标宋简体" w:cs="方正小标宋简体"/>
      <w:color w:val="000000"/>
      <w:sz w:val="24"/>
      <w:szCs w:val="24"/>
      <w:lang w:val="en-US" w:eastAsia="zh-CN" w:bidi="ar-SA"/>
    </w:r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4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5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6</Pages>
  <Words>2728</Words>
  <Characters>2856</Characters>
  <Lines>0</Lines>
  <Paragraphs>0</Paragraphs>
  <TotalTime>0</TotalTime>
  <ScaleCrop>false</ScaleCrop>
  <LinksUpToDate>false</LinksUpToDate>
  <CharactersWithSpaces>2856</CharactersWithSpaces>
  <Application>WPS Office_11.8.2.7978_F1E327BC-269C-435d-A152-05C5408002CA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2023-01-16T07:45:00Z</dcterms:created>
  <dc:creator>诗人与熊</dc:creator>
  <cp:lastModifiedBy>G</cp:lastModifiedBy>
  <cp:lastPrinted>2025-01-02T06:48:00Z</cp:lastPrinted>
  <dcterms:modified xsi:type="dcterms:W3CDTF">2026-02-25T01:20:47Z</dcterms:modified>
  <dc:title>某某单位（规范全称）</dc:title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2052-11.8.2.7978</vt:lpwstr>
  </property>
  <property fmtid="{D5CDD505-2E9C-101B-9397-08002B2CF9AE}" pid="3" name="ICV">
    <vt:lpwstr>E69FC135B6704485BACA57740AE2D712</vt:lpwstr>
  </property>
</Properties>
</file>