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color w:val="auto"/>
          <w:sz w:val="44"/>
          <w:szCs w:val="44"/>
          <w:lang w:val="en-US" w:eastAsia="zh-CN"/>
        </w:rPr>
      </w:pPr>
      <w:r>
        <w:rPr>
          <w:rFonts w:hint="default" w:ascii="Times New Roman" w:hAnsi="Times New Roman" w:eastAsia="方正小标宋简体" w:cs="Times New Roman"/>
          <w:color w:val="auto"/>
          <w:sz w:val="44"/>
          <w:szCs w:val="44"/>
        </w:rPr>
        <w:t>威海市环翠区</w:t>
      </w:r>
      <w:r>
        <w:rPr>
          <w:rFonts w:hint="eastAsia" w:ascii="Times New Roman" w:hAnsi="Times New Roman" w:eastAsia="方正小标宋简体" w:cs="Times New Roman"/>
          <w:color w:val="auto"/>
          <w:sz w:val="44"/>
          <w:szCs w:val="44"/>
          <w:lang w:eastAsia="zh-CN"/>
        </w:rPr>
        <w:t>人民</w:t>
      </w:r>
      <w:r>
        <w:rPr>
          <w:rFonts w:hint="eastAsia" w:ascii="Times New Roman" w:hAnsi="Times New Roman" w:eastAsia="方正小标宋简体" w:cs="Times New Roman"/>
          <w:color w:val="auto"/>
          <w:sz w:val="44"/>
          <w:szCs w:val="44"/>
          <w:lang w:val="en-US" w:eastAsia="zh-CN"/>
        </w:rPr>
        <w:t>政府</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20</w:t>
      </w:r>
      <w:r>
        <w:rPr>
          <w:rFonts w:hint="default" w:ascii="Times New Roman" w:hAnsi="Times New Roman" w:eastAsia="方正小标宋简体" w:cs="Times New Roman"/>
          <w:color w:val="auto"/>
          <w:sz w:val="44"/>
          <w:szCs w:val="44"/>
          <w:lang w:val="en-US" w:eastAsia="zh-CN"/>
        </w:rPr>
        <w:t>22</w:t>
      </w:r>
      <w:r>
        <w:rPr>
          <w:rFonts w:hint="default" w:ascii="Times New Roman" w:hAnsi="Times New Roman" w:eastAsia="方正小标宋简体" w:cs="Times New Roman"/>
          <w:color w:val="auto"/>
          <w:sz w:val="44"/>
          <w:szCs w:val="44"/>
        </w:rPr>
        <w:t>年政府信息公开工作年度报告</w:t>
      </w:r>
    </w:p>
    <w:p>
      <w:pPr>
        <w:keepNext w:val="0"/>
        <w:keepLines w:val="0"/>
        <w:pageBreakBefore w:val="0"/>
        <w:widowControl w:val="0"/>
        <w:kinsoku/>
        <w:wordWrap/>
        <w:overflowPunct/>
        <w:topLinePunct w:val="0"/>
        <w:autoSpaceDE/>
        <w:autoSpaceDN/>
        <w:bidi w:val="0"/>
        <w:adjustRightInd/>
        <w:snapToGrid/>
        <w:spacing w:line="580" w:lineRule="exact"/>
        <w:ind w:firstLine="880" w:firstLineChars="200"/>
        <w:jc w:val="center"/>
        <w:textAlignment w:val="auto"/>
        <w:rPr>
          <w:rFonts w:hint="default" w:ascii="Times New Roman" w:hAnsi="Times New Roman" w:eastAsia="方正小标宋简体" w:cs="Times New Roman"/>
          <w:color w:val="auto"/>
          <w:sz w:val="44"/>
          <w:szCs w:val="44"/>
        </w:rPr>
      </w:pPr>
    </w:p>
    <w:p>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rPr>
        <w:t>根据《中华人民共和国政府信息公开条例》（</w:t>
      </w:r>
      <w:r>
        <w:rPr>
          <w:rFonts w:hint="default" w:ascii="Times New Roman" w:hAnsi="Times New Roman" w:eastAsia="仿宋_GB2312" w:cs="Times New Roman"/>
          <w:i w:val="0"/>
          <w:iCs w:val="0"/>
          <w:caps w:val="0"/>
          <w:color w:val="auto"/>
          <w:spacing w:val="0"/>
          <w:sz w:val="32"/>
          <w:szCs w:val="32"/>
          <w:lang w:val="en-US" w:eastAsia="zh-CN"/>
        </w:rPr>
        <w:t>国务院令第711号，</w:t>
      </w:r>
      <w:r>
        <w:rPr>
          <w:rFonts w:hint="default" w:ascii="Times New Roman" w:hAnsi="Times New Roman" w:eastAsia="仿宋_GB2312" w:cs="Times New Roman"/>
          <w:i w:val="0"/>
          <w:iCs w:val="0"/>
          <w:caps w:val="0"/>
          <w:color w:val="auto"/>
          <w:spacing w:val="0"/>
          <w:sz w:val="32"/>
          <w:szCs w:val="32"/>
        </w:rPr>
        <w:t>以下简称《条例》）</w:t>
      </w:r>
      <w:r>
        <w:rPr>
          <w:rFonts w:hint="default" w:ascii="Times New Roman" w:hAnsi="Times New Roman" w:eastAsia="仿宋_GB2312" w:cs="Times New Roman"/>
          <w:i w:val="0"/>
          <w:iCs w:val="0"/>
          <w:caps w:val="0"/>
          <w:color w:val="auto"/>
          <w:spacing w:val="0"/>
          <w:sz w:val="32"/>
          <w:szCs w:val="32"/>
          <w:lang w:val="en-US" w:eastAsia="zh-CN"/>
        </w:rPr>
        <w:t>和《国务院办公厅政府信息与政务公开办公室关于印发&lt;中华人民共和国政府信息公开工作年度报告格式&gt;的通知》（国办公开办函〔2021〕30号）</w:t>
      </w:r>
      <w:r>
        <w:rPr>
          <w:rFonts w:hint="default" w:ascii="Times New Roman" w:hAnsi="Times New Roman" w:eastAsia="仿宋_GB2312" w:cs="Times New Roman"/>
          <w:i w:val="0"/>
          <w:iCs w:val="0"/>
          <w:caps w:val="0"/>
          <w:color w:val="auto"/>
          <w:spacing w:val="0"/>
          <w:sz w:val="32"/>
          <w:szCs w:val="32"/>
        </w:rPr>
        <w:t>要求，结合2022年威海市</w:t>
      </w:r>
      <w:r>
        <w:rPr>
          <w:rFonts w:hint="eastAsia" w:ascii="Times New Roman" w:hAnsi="Times New Roman" w:eastAsia="仿宋_GB2312" w:cs="Times New Roman"/>
          <w:i w:val="0"/>
          <w:iCs w:val="0"/>
          <w:caps w:val="0"/>
          <w:color w:val="auto"/>
          <w:spacing w:val="0"/>
          <w:sz w:val="32"/>
          <w:szCs w:val="32"/>
          <w:lang w:val="en-US" w:eastAsia="zh-CN"/>
        </w:rPr>
        <w:t>环翠区</w:t>
      </w:r>
      <w:r>
        <w:rPr>
          <w:rFonts w:hint="default" w:ascii="Times New Roman" w:hAnsi="Times New Roman" w:eastAsia="仿宋_GB2312" w:cs="Times New Roman"/>
          <w:i w:val="0"/>
          <w:iCs w:val="0"/>
          <w:caps w:val="0"/>
          <w:color w:val="auto"/>
          <w:spacing w:val="0"/>
          <w:sz w:val="32"/>
          <w:szCs w:val="32"/>
        </w:rPr>
        <w:t>人民政府信息公开工作实际，编制发布本报告。</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i w:val="0"/>
          <w:iCs w:val="0"/>
          <w:caps w:val="0"/>
          <w:color w:val="auto"/>
          <w:spacing w:val="0"/>
          <w:sz w:val="32"/>
          <w:szCs w:val="32"/>
        </w:rPr>
        <w:t>本报告由总体情况</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主动公开政府信息情况</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收到和处理政府信息公开申请情况</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政府信息公开行政复议</w:t>
      </w:r>
      <w:r>
        <w:rPr>
          <w:rFonts w:hint="eastAsia" w:ascii="Times New Roman" w:hAnsi="Times New Roman" w:eastAsia="仿宋_GB2312" w:cs="Times New Roman"/>
          <w:i w:val="0"/>
          <w:iCs w:val="0"/>
          <w:caps w:val="0"/>
          <w:color w:val="auto"/>
          <w:spacing w:val="0"/>
          <w:sz w:val="32"/>
          <w:szCs w:val="32"/>
          <w:lang w:val="en-US" w:eastAsia="zh-CN"/>
        </w:rPr>
        <w:t>和</w:t>
      </w:r>
      <w:r>
        <w:rPr>
          <w:rFonts w:hint="default" w:ascii="Times New Roman" w:hAnsi="Times New Roman" w:eastAsia="仿宋_GB2312" w:cs="Times New Roman"/>
          <w:i w:val="0"/>
          <w:iCs w:val="0"/>
          <w:caps w:val="0"/>
          <w:color w:val="auto"/>
          <w:spacing w:val="0"/>
          <w:sz w:val="32"/>
          <w:szCs w:val="32"/>
        </w:rPr>
        <w:t>行政诉讼情况</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存在的主要问题及改进措施</w:t>
      </w:r>
      <w:r>
        <w:rPr>
          <w:rFonts w:hint="eastAsia"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其他需要报告的事项共6部分组成。报告中所列数据的统计时限自202</w:t>
      </w:r>
      <w:r>
        <w:rPr>
          <w:rFonts w:hint="default"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rPr>
        <w:t>年1月1日起至202</w:t>
      </w:r>
      <w:r>
        <w:rPr>
          <w:rFonts w:hint="default"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rPr>
        <w:t>年12月31日止。报告电子版可在</w:t>
      </w:r>
      <w:r>
        <w:rPr>
          <w:rFonts w:hint="default" w:ascii="Times New Roman" w:hAnsi="Times New Roman" w:eastAsia="仿宋_GB2312" w:cs="Times New Roman"/>
          <w:color w:val="auto"/>
          <w:sz w:val="32"/>
          <w:szCs w:val="32"/>
        </w:rPr>
        <w:t>威海市环翠区人民政府门户网站（http://www.huancui.gov.cn/col/col82465/index.html）下载。 如对本报告有疑问，请与威海市环翠区</w:t>
      </w:r>
      <w:r>
        <w:rPr>
          <w:rFonts w:hint="eastAsia" w:ascii="Times New Roman" w:hAnsi="Times New Roman" w:eastAsia="仿宋_GB2312" w:cs="Times New Roman"/>
          <w:color w:val="auto"/>
          <w:sz w:val="32"/>
          <w:szCs w:val="32"/>
          <w:lang w:eastAsia="zh-CN"/>
        </w:rPr>
        <w:t>政府办公室政务公开</w:t>
      </w:r>
      <w:r>
        <w:rPr>
          <w:rFonts w:hint="default" w:ascii="Times New Roman" w:hAnsi="Times New Roman" w:eastAsia="仿宋_GB2312" w:cs="Times New Roman"/>
          <w:color w:val="auto"/>
          <w:sz w:val="32"/>
          <w:szCs w:val="32"/>
          <w:lang w:val="en-US" w:eastAsia="zh-CN"/>
        </w:rPr>
        <w:t>科</w:t>
      </w:r>
      <w:r>
        <w:rPr>
          <w:rFonts w:hint="default" w:ascii="Times New Roman" w:hAnsi="Times New Roman" w:eastAsia="仿宋_GB2312" w:cs="Times New Roman"/>
          <w:color w:val="auto"/>
          <w:sz w:val="32"/>
          <w:szCs w:val="32"/>
        </w:rPr>
        <w:t>联系（地址</w:t>
      </w:r>
      <w:r>
        <w:rPr>
          <w:rFonts w:hint="default"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威海市新威路75号</w:t>
      </w:r>
      <w:r>
        <w:rPr>
          <w:rFonts w:hint="default" w:ascii="Times New Roman" w:hAnsi="Times New Roman" w:eastAsia="仿宋_GB2312" w:cs="Times New Roman"/>
          <w:color w:val="auto"/>
          <w:sz w:val="32"/>
          <w:szCs w:val="32"/>
        </w:rPr>
        <w:t>；邮编</w:t>
      </w:r>
      <w:r>
        <w:rPr>
          <w:rFonts w:hint="eastAsia" w:ascii="Times New Roman" w:hAnsi="Times New Roman" w:eastAsia="仿宋_GB2312" w:cs="Times New Roman"/>
          <w:color w:val="auto"/>
          <w:sz w:val="32"/>
          <w:szCs w:val="32"/>
          <w:lang w:val="en-US" w:eastAsia="zh-CN"/>
        </w:rPr>
        <w:t>264200</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电话：</w:t>
      </w:r>
      <w:r>
        <w:rPr>
          <w:rFonts w:hint="eastAsia" w:ascii="Times New Roman" w:hAnsi="Times New Roman" w:eastAsia="仿宋_GB2312" w:cs="Times New Roman"/>
          <w:color w:val="auto"/>
          <w:sz w:val="32"/>
          <w:szCs w:val="32"/>
          <w:lang w:val="en-US" w:eastAsia="zh-CN"/>
        </w:rPr>
        <w:t>0631-5210696</w:t>
      </w:r>
      <w:r>
        <w:rPr>
          <w:rFonts w:hint="default" w:ascii="Times New Roman" w:hAnsi="Times New Roman" w:eastAsia="仿宋_GB2312" w:cs="Times New Roman"/>
          <w:color w:val="auto"/>
          <w:sz w:val="32"/>
          <w:szCs w:val="32"/>
        </w:rPr>
        <w:t xml:space="preserve">）。 </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 xml:space="preserve">总体情况 </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202</w:t>
      </w:r>
      <w:r>
        <w:rPr>
          <w:rFonts w:hint="eastAsia"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eastAsia="zh-CN"/>
        </w:rPr>
        <w:t>年，</w:t>
      </w:r>
      <w:r>
        <w:rPr>
          <w:rFonts w:hint="eastAsia" w:ascii="Times New Roman" w:hAnsi="Times New Roman" w:eastAsia="仿宋_GB2312" w:cs="Times New Roman"/>
          <w:color w:val="auto"/>
          <w:sz w:val="32"/>
          <w:szCs w:val="32"/>
          <w:lang w:eastAsia="zh-CN"/>
        </w:rPr>
        <w:t>威海市环翠</w:t>
      </w:r>
      <w:r>
        <w:rPr>
          <w:rFonts w:hint="default" w:ascii="Times New Roman" w:hAnsi="Times New Roman" w:eastAsia="仿宋_GB2312" w:cs="Times New Roman"/>
          <w:color w:val="auto"/>
          <w:sz w:val="32"/>
          <w:szCs w:val="32"/>
          <w:lang w:eastAsia="zh-CN"/>
        </w:rPr>
        <w:t>区</w:t>
      </w:r>
      <w:r>
        <w:rPr>
          <w:rFonts w:hint="eastAsia" w:ascii="Times New Roman" w:hAnsi="Times New Roman" w:eastAsia="仿宋_GB2312" w:cs="Times New Roman"/>
          <w:color w:val="auto"/>
          <w:sz w:val="32"/>
          <w:szCs w:val="32"/>
          <w:lang w:eastAsia="zh-CN"/>
        </w:rPr>
        <w:t>人民</w:t>
      </w:r>
      <w:r>
        <w:rPr>
          <w:rFonts w:hint="default" w:ascii="Times New Roman" w:hAnsi="Times New Roman" w:eastAsia="仿宋_GB2312" w:cs="Times New Roman"/>
          <w:color w:val="auto"/>
          <w:sz w:val="32"/>
          <w:szCs w:val="32"/>
          <w:lang w:eastAsia="zh-CN"/>
        </w:rPr>
        <w:t>政府</w:t>
      </w:r>
      <w:r>
        <w:rPr>
          <w:rFonts w:hint="eastAsia" w:ascii="Times New Roman" w:hAnsi="Times New Roman" w:eastAsia="仿宋_GB2312" w:cs="Times New Roman"/>
          <w:color w:val="auto"/>
          <w:sz w:val="32"/>
          <w:szCs w:val="32"/>
          <w:lang w:eastAsia="zh-CN"/>
        </w:rPr>
        <w:t>坚持以习近平新时代中国特色社会主义思想为指导，认真学习贯彻党的二十大精神，紧紧围绕国家、省、市关于政务公开工作的决策部署和区委、区政府年度重点工作，持续推动政务公开工作平稳有序展开，以公开促落实、促规范、促服务作用日益凸显。</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2" w:firstLineChars="200"/>
        <w:jc w:val="left"/>
        <w:textAlignment w:val="auto"/>
        <w:rPr>
          <w:rFonts w:hint="eastAsia" w:ascii="Times New Roman" w:hAnsi="Times New Roman" w:eastAsia="仿宋_GB2312" w:cs="Times New Roman"/>
          <w:color w:val="auto"/>
          <w:sz w:val="32"/>
          <w:szCs w:val="32"/>
          <w:lang w:val="en-US" w:eastAsia="zh-CN"/>
        </w:rPr>
      </w:pPr>
      <w:r>
        <w:rPr>
          <w:rFonts w:hint="default" w:ascii="Times New Roman" w:hAnsi="Times New Roman" w:eastAsia="楷体_GB2312" w:cs="Times New Roman"/>
          <w:b/>
          <w:bCs/>
          <w:color w:val="auto"/>
          <w:sz w:val="32"/>
          <w:szCs w:val="32"/>
          <w:highlight w:val="none"/>
          <w:lang w:val="en-US" w:eastAsia="zh-CN"/>
        </w:rPr>
        <w:t>1.</w:t>
      </w:r>
      <w:r>
        <w:rPr>
          <w:rFonts w:hint="default" w:ascii="Times New Roman" w:hAnsi="Times New Roman" w:eastAsia="楷体_GB2312" w:cs="Times New Roman"/>
          <w:b/>
          <w:bCs/>
          <w:color w:val="auto"/>
          <w:sz w:val="32"/>
          <w:szCs w:val="32"/>
          <w:highlight w:val="none"/>
        </w:rPr>
        <w:t>主动公开</w:t>
      </w:r>
      <w:r>
        <w:rPr>
          <w:rFonts w:hint="default" w:ascii="Times New Roman" w:hAnsi="Times New Roman" w:eastAsia="楷体_GB2312" w:cs="Times New Roman"/>
          <w:b/>
          <w:bCs/>
          <w:color w:val="auto"/>
          <w:sz w:val="32"/>
          <w:szCs w:val="32"/>
          <w:highlight w:val="none"/>
          <w:lang w:eastAsia="zh-CN"/>
        </w:rPr>
        <w:t>。</w:t>
      </w:r>
      <w:r>
        <w:rPr>
          <w:rFonts w:hint="eastAsia" w:ascii="Times New Roman" w:hAnsi="Times New Roman" w:eastAsia="仿宋_GB2312" w:cs="Times New Roman"/>
          <w:color w:val="auto"/>
          <w:sz w:val="32"/>
          <w:szCs w:val="32"/>
          <w:lang w:val="en-US" w:eastAsia="zh-CN"/>
        </w:rPr>
        <w:t>一是加强法定基础内容信息公开。做好政府文件公开，全年主动公开政府发文203件，发布多种形式的解读材料152件。做好政府会议公开，主动公开政府常务会议13次、全体会议1次和专题会议6次，发布会议解读材料89件。做好政务服务事项动态调整，完善事项办理指南616条，其中行政处罚事项536条、行政强制事项32条、其他政务服务事项48条。二是推进重点领域信息公开。主动公开营商要闻874条、政策文件612条，发布防疫工作信息150条、疫情通报信息214条，公开义务教育、食药安全、社会救助、稳岗就业、养老服务、公共文化服务、涉农补贴等领域信息804条。</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2"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楷体_GB2312" w:cs="Times New Roman"/>
          <w:b/>
          <w:bCs/>
          <w:color w:val="auto"/>
          <w:sz w:val="32"/>
          <w:szCs w:val="32"/>
          <w:highlight w:val="none"/>
        </w:rPr>
        <w:t>2.</w:t>
      </w:r>
      <w:r>
        <w:rPr>
          <w:rFonts w:hint="default" w:ascii="Times New Roman" w:hAnsi="Times New Roman" w:eastAsia="楷体_GB2312" w:cs="Times New Roman"/>
          <w:b/>
          <w:bCs/>
          <w:color w:val="auto"/>
          <w:sz w:val="32"/>
          <w:szCs w:val="32"/>
          <w:highlight w:val="none"/>
          <w:lang w:eastAsia="zh-CN"/>
        </w:rPr>
        <w:t>依申请公开</w:t>
      </w:r>
      <w:r>
        <w:rPr>
          <w:rFonts w:hint="default" w:ascii="Times New Roman" w:hAnsi="Times New Roman" w:eastAsia="楷体_GB2312" w:cs="Times New Roman"/>
          <w:b/>
          <w:bCs/>
          <w:color w:val="auto"/>
          <w:sz w:val="32"/>
          <w:szCs w:val="32"/>
          <w:highlight w:val="none"/>
        </w:rPr>
        <w:t>。</w:t>
      </w:r>
      <w:r>
        <w:rPr>
          <w:rFonts w:hint="default" w:ascii="Times New Roman" w:hAnsi="Times New Roman" w:eastAsia="仿宋_GB2312" w:cs="Times New Roman"/>
          <w:color w:val="auto"/>
          <w:sz w:val="32"/>
          <w:szCs w:val="32"/>
        </w:rPr>
        <w:t>20</w:t>
      </w:r>
      <w:r>
        <w:rPr>
          <w:rFonts w:hint="default" w:ascii="Times New Roman" w:hAnsi="Times New Roman" w:eastAsia="仿宋_GB2312" w:cs="Times New Roman"/>
          <w:color w:val="auto"/>
          <w:sz w:val="32"/>
          <w:szCs w:val="32"/>
          <w:lang w:val="en-US" w:eastAsia="zh-CN"/>
        </w:rPr>
        <w:t>22</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环翠区新收</w:t>
      </w:r>
      <w:r>
        <w:rPr>
          <w:rFonts w:hint="default" w:ascii="Times New Roman" w:hAnsi="Times New Roman" w:eastAsia="仿宋_GB2312" w:cs="Times New Roman"/>
          <w:color w:val="auto"/>
          <w:sz w:val="32"/>
          <w:szCs w:val="32"/>
        </w:rPr>
        <w:t>政府信息公开申请</w:t>
      </w:r>
      <w:r>
        <w:rPr>
          <w:rFonts w:hint="eastAsia" w:ascii="Times New Roman" w:hAnsi="Times New Roman" w:eastAsia="仿宋_GB2312" w:cs="Times New Roman"/>
          <w:color w:val="auto"/>
          <w:sz w:val="32"/>
          <w:szCs w:val="32"/>
          <w:lang w:val="en-US" w:eastAsia="zh-CN"/>
        </w:rPr>
        <w:t>85</w:t>
      </w:r>
      <w:r>
        <w:rPr>
          <w:rFonts w:hint="default" w:ascii="Times New Roman" w:hAnsi="Times New Roman" w:eastAsia="仿宋_GB2312" w:cs="Times New Roman"/>
          <w:color w:val="auto"/>
          <w:sz w:val="32"/>
          <w:szCs w:val="32"/>
        </w:rPr>
        <w:t>件，</w:t>
      </w:r>
      <w:r>
        <w:rPr>
          <w:rFonts w:hint="eastAsia" w:ascii="Times New Roman" w:hAnsi="Times New Roman" w:eastAsia="仿宋_GB2312" w:cs="Times New Roman"/>
          <w:color w:val="auto"/>
          <w:sz w:val="32"/>
          <w:szCs w:val="32"/>
          <w:lang w:eastAsia="zh-CN"/>
        </w:rPr>
        <w:t>上年度结转办理</w:t>
      </w:r>
      <w:r>
        <w:rPr>
          <w:rFonts w:hint="eastAsia" w:ascii="Times New Roman" w:hAnsi="Times New Roman" w:eastAsia="仿宋_GB2312" w:cs="Times New Roman"/>
          <w:color w:val="auto"/>
          <w:sz w:val="32"/>
          <w:szCs w:val="32"/>
          <w:lang w:val="en-US" w:eastAsia="zh-CN"/>
        </w:rPr>
        <w:t>3件，均在规定时间内办理答复，和去年政府信息公开申请的数量相比增加32.8</w:t>
      </w:r>
      <w:bookmarkStart w:id="1" w:name="_GoBack"/>
      <w:bookmarkEnd w:id="1"/>
      <w:r>
        <w:rPr>
          <w:rFonts w:hint="eastAsia" w:ascii="Times New Roman" w:hAnsi="Times New Roman" w:eastAsia="仿宋_GB2312" w:cs="Times New Roman"/>
          <w:color w:val="auto"/>
          <w:sz w:val="32"/>
          <w:szCs w:val="32"/>
          <w:lang w:val="en-US" w:eastAsia="zh-CN"/>
        </w:rPr>
        <w:t>%，其中关于房地产行业监管方面的信息申请数占总量的比例达50%以上。本年度共收到政府信息公开申请方面的行政复议1件，结果维持1件；未发生行政诉讼案件。</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2" w:firstLineChars="200"/>
        <w:jc w:val="left"/>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楷体_GB2312" w:cs="Times New Roman"/>
          <w:b/>
          <w:bCs/>
          <w:color w:val="auto"/>
          <w:sz w:val="32"/>
          <w:szCs w:val="32"/>
          <w:highlight w:val="none"/>
        </w:rPr>
        <w:t>3.政府信息管理。</w:t>
      </w:r>
      <w:r>
        <w:rPr>
          <w:rFonts w:hint="eastAsia" w:ascii="Times New Roman" w:hAnsi="Times New Roman" w:eastAsia="仿宋_GB2312" w:cs="Times New Roman"/>
          <w:color w:val="auto"/>
          <w:sz w:val="32"/>
          <w:szCs w:val="32"/>
          <w:lang w:val="en-US" w:eastAsia="zh-CN"/>
        </w:rPr>
        <w:t>一是严格落实政府信息发布审核制度和保密审查制度，确保信息公开工作规范高效。二是优化调整《2022年政府信息主动公开目录》。三是做好山东省政府文件集中公开和数据联通工作，按照“应公开、尽公开”的原则，累计公开规范性文件34条、区政府和区政府办公室文件76条、部门文件778条。四是做好政府信息全生命周期管理，</w:t>
      </w:r>
      <w:r>
        <w:rPr>
          <w:rFonts w:hint="default" w:ascii="Times New Roman" w:hAnsi="Times New Roman" w:eastAsia="仿宋_GB2312" w:cs="Times New Roman"/>
          <w:color w:val="auto"/>
          <w:sz w:val="32"/>
          <w:szCs w:val="32"/>
          <w:lang w:val="en-US" w:eastAsia="zh-CN"/>
        </w:rPr>
        <w:t>20</w:t>
      </w:r>
      <w:r>
        <w:rPr>
          <w:rFonts w:hint="eastAsia" w:ascii="Times New Roman" w:hAnsi="Times New Roman" w:eastAsia="仿宋_GB2312" w:cs="Times New Roman"/>
          <w:color w:val="auto"/>
          <w:sz w:val="32"/>
          <w:szCs w:val="32"/>
          <w:lang w:val="en-US" w:eastAsia="zh-CN"/>
        </w:rPr>
        <w:t>22年新制发规范性文件14件，宣布废止和失</w:t>
      </w:r>
      <w:r>
        <w:rPr>
          <w:rFonts w:hint="eastAsia" w:ascii="Times New Roman" w:hAnsi="Times New Roman" w:eastAsia="仿宋_GB2312" w:cs="Times New Roman"/>
          <w:color w:val="auto"/>
          <w:sz w:val="32"/>
          <w:szCs w:val="32"/>
          <w:highlight w:val="none"/>
          <w:lang w:val="en-US" w:eastAsia="zh-CN"/>
        </w:rPr>
        <w:t>效9件</w:t>
      </w:r>
      <w:r>
        <w:rPr>
          <w:rFonts w:hint="default"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lang w:val="en-US" w:eastAsia="zh-CN"/>
        </w:rPr>
        <w:t>均</w:t>
      </w:r>
      <w:r>
        <w:rPr>
          <w:rFonts w:hint="eastAsia" w:ascii="Times New Roman" w:hAnsi="Times New Roman" w:eastAsia="仿宋_GB2312" w:cs="Times New Roman"/>
          <w:color w:val="auto"/>
          <w:sz w:val="32"/>
          <w:szCs w:val="32"/>
          <w:lang w:val="en-US" w:eastAsia="zh-CN"/>
        </w:rPr>
        <w:t>动态</w:t>
      </w:r>
      <w:r>
        <w:rPr>
          <w:rFonts w:hint="default" w:ascii="Times New Roman" w:hAnsi="Times New Roman" w:eastAsia="仿宋_GB2312" w:cs="Times New Roman"/>
          <w:color w:val="auto"/>
          <w:sz w:val="32"/>
          <w:szCs w:val="32"/>
          <w:lang w:val="en-US" w:eastAsia="zh-CN"/>
        </w:rPr>
        <w:t>标注</w:t>
      </w:r>
      <w:r>
        <w:rPr>
          <w:rFonts w:hint="eastAsia" w:ascii="Times New Roman" w:hAnsi="Times New Roman" w:eastAsia="仿宋_GB2312" w:cs="Times New Roman"/>
          <w:color w:val="auto"/>
          <w:sz w:val="32"/>
          <w:szCs w:val="32"/>
          <w:lang w:val="en-US" w:eastAsia="zh-CN"/>
        </w:rPr>
        <w:t>文件</w:t>
      </w:r>
      <w:r>
        <w:rPr>
          <w:rFonts w:hint="default" w:ascii="Times New Roman" w:hAnsi="Times New Roman" w:eastAsia="仿宋_GB2312" w:cs="Times New Roman"/>
          <w:color w:val="auto"/>
          <w:sz w:val="32"/>
          <w:szCs w:val="32"/>
          <w:lang w:val="en-US" w:eastAsia="zh-CN"/>
        </w:rPr>
        <w:t>有效性。</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楷体_GB2312" w:cs="Times New Roman"/>
          <w:b/>
          <w:bCs/>
          <w:color w:val="auto"/>
          <w:sz w:val="32"/>
          <w:szCs w:val="32"/>
          <w:highlight w:val="none"/>
        </w:rPr>
        <w:t>4.</w:t>
      </w:r>
      <w:r>
        <w:rPr>
          <w:rFonts w:hint="default" w:ascii="Times New Roman" w:hAnsi="Times New Roman" w:eastAsia="楷体_GB2312" w:cs="Times New Roman"/>
          <w:b/>
          <w:bCs/>
          <w:color w:val="auto"/>
          <w:sz w:val="32"/>
          <w:szCs w:val="32"/>
          <w:highlight w:val="none"/>
          <w:lang w:eastAsia="zh-CN"/>
        </w:rPr>
        <w:t>政府信息</w:t>
      </w:r>
      <w:r>
        <w:rPr>
          <w:rFonts w:hint="default" w:ascii="Times New Roman" w:hAnsi="Times New Roman" w:eastAsia="楷体_GB2312" w:cs="Times New Roman"/>
          <w:b/>
          <w:bCs/>
          <w:color w:val="auto"/>
          <w:sz w:val="32"/>
          <w:szCs w:val="32"/>
          <w:highlight w:val="none"/>
        </w:rPr>
        <w:t>公开平台建设。</w:t>
      </w:r>
      <w:r>
        <w:rPr>
          <w:rFonts w:hint="eastAsia" w:ascii="Times New Roman" w:hAnsi="Times New Roman" w:eastAsia="仿宋_GB2312" w:cs="Times New Roman"/>
          <w:color w:val="auto"/>
          <w:sz w:val="32"/>
          <w:szCs w:val="32"/>
          <w:lang w:eastAsia="zh-CN"/>
        </w:rPr>
        <w:t>一是做好政府门户网站建设，以加强</w:t>
      </w:r>
      <w:r>
        <w:rPr>
          <w:rFonts w:hint="default" w:ascii="Times New Roman" w:hAnsi="Times New Roman" w:eastAsia="仿宋_GB2312" w:cs="Times New Roman"/>
          <w:color w:val="auto"/>
          <w:sz w:val="32"/>
          <w:szCs w:val="32"/>
          <w:lang w:eastAsia="zh-CN"/>
        </w:rPr>
        <w:t>政务公开、</w:t>
      </w:r>
      <w:r>
        <w:rPr>
          <w:rFonts w:hint="eastAsia" w:ascii="Times New Roman" w:hAnsi="Times New Roman" w:eastAsia="仿宋_GB2312" w:cs="Times New Roman"/>
          <w:color w:val="auto"/>
          <w:sz w:val="32"/>
          <w:szCs w:val="32"/>
          <w:lang w:eastAsia="zh-CN"/>
        </w:rPr>
        <w:t>提高</w:t>
      </w:r>
      <w:r>
        <w:rPr>
          <w:rFonts w:hint="default" w:ascii="Times New Roman" w:hAnsi="Times New Roman" w:eastAsia="仿宋_GB2312" w:cs="Times New Roman"/>
          <w:color w:val="auto"/>
          <w:sz w:val="32"/>
          <w:szCs w:val="32"/>
          <w:lang w:eastAsia="zh-CN"/>
        </w:rPr>
        <w:t>办事服务</w:t>
      </w:r>
      <w:r>
        <w:rPr>
          <w:rFonts w:hint="eastAsia" w:ascii="Times New Roman" w:hAnsi="Times New Roman" w:eastAsia="仿宋_GB2312" w:cs="Times New Roman"/>
          <w:color w:val="auto"/>
          <w:sz w:val="32"/>
          <w:szCs w:val="32"/>
          <w:lang w:eastAsia="zh-CN"/>
        </w:rPr>
        <w:t>便利度为目标</w:t>
      </w:r>
      <w:r>
        <w:rPr>
          <w:rFonts w:hint="default" w:ascii="Times New Roman" w:hAnsi="Times New Roman" w:eastAsia="仿宋_GB2312" w:cs="Times New Roman"/>
          <w:color w:val="auto"/>
          <w:sz w:val="32"/>
          <w:szCs w:val="32"/>
          <w:lang w:eastAsia="zh-CN"/>
        </w:rPr>
        <w:t>，推进信息公开和互动页面改版</w:t>
      </w:r>
      <w:r>
        <w:rPr>
          <w:rFonts w:hint="eastAsia" w:ascii="Times New Roman" w:hAnsi="Times New Roman" w:eastAsia="仿宋_GB2312" w:cs="Times New Roman"/>
          <w:color w:val="auto"/>
          <w:sz w:val="32"/>
          <w:szCs w:val="32"/>
          <w:lang w:eastAsia="zh-CN"/>
        </w:rPr>
        <w:t>升级</w:t>
      </w:r>
      <w:r>
        <w:rPr>
          <w:rFonts w:hint="default" w:ascii="Times New Roman" w:hAnsi="Times New Roman" w:eastAsia="仿宋_GB2312" w:cs="Times New Roman"/>
          <w:color w:val="auto"/>
          <w:sz w:val="32"/>
          <w:szCs w:val="32"/>
          <w:lang w:eastAsia="zh-CN"/>
        </w:rPr>
        <w:t>，开拓信息公开的多元展现模式。</w:t>
      </w:r>
      <w:r>
        <w:rPr>
          <w:rFonts w:hint="eastAsia" w:ascii="Times New Roman" w:hAnsi="Times New Roman" w:eastAsia="仿宋_GB2312" w:cs="Times New Roman"/>
          <w:color w:val="auto"/>
          <w:sz w:val="32"/>
          <w:szCs w:val="32"/>
          <w:lang w:eastAsia="zh-CN"/>
        </w:rPr>
        <w:t>二是做好政务新媒体管理，</w:t>
      </w:r>
      <w:r>
        <w:rPr>
          <w:rFonts w:hint="default" w:ascii="Times New Roman" w:hAnsi="Times New Roman" w:eastAsia="仿宋_GB2312" w:cs="Times New Roman"/>
          <w:color w:val="auto"/>
          <w:sz w:val="32"/>
          <w:szCs w:val="32"/>
          <w:lang w:eastAsia="zh-CN"/>
        </w:rPr>
        <w:t>健全新媒体14天预警监管和定期抽查通报机制，强化内容建设</w:t>
      </w:r>
      <w:r>
        <w:rPr>
          <w:rFonts w:hint="eastAsia" w:ascii="Times New Roman" w:hAnsi="Times New Roman" w:eastAsia="仿宋_GB2312" w:cs="Times New Roman"/>
          <w:color w:val="auto"/>
          <w:sz w:val="32"/>
          <w:szCs w:val="32"/>
          <w:lang w:eastAsia="zh-CN"/>
        </w:rPr>
        <w:t>和</w:t>
      </w:r>
      <w:r>
        <w:rPr>
          <w:rFonts w:hint="default" w:ascii="Times New Roman" w:hAnsi="Times New Roman" w:eastAsia="仿宋_GB2312" w:cs="Times New Roman"/>
          <w:color w:val="auto"/>
          <w:sz w:val="32"/>
          <w:szCs w:val="32"/>
          <w:lang w:eastAsia="zh-CN"/>
        </w:rPr>
        <w:t>部门协同联动，及时准确传递党和政府权威声音</w:t>
      </w:r>
      <w:r>
        <w:rPr>
          <w:rFonts w:hint="eastAsia" w:ascii="Times New Roman" w:hAnsi="Times New Roman" w:eastAsia="仿宋_GB2312" w:cs="Times New Roman"/>
          <w:color w:val="auto"/>
          <w:sz w:val="32"/>
          <w:szCs w:val="32"/>
          <w:lang w:eastAsia="zh-CN"/>
        </w:rPr>
        <w:t>。三是高质量编辑《环翠区人民政府公报》，全年发行公报</w:t>
      </w:r>
      <w:r>
        <w:rPr>
          <w:rFonts w:hint="eastAsia" w:ascii="Times New Roman" w:hAnsi="Times New Roman" w:eastAsia="仿宋_GB2312" w:cs="Times New Roman"/>
          <w:color w:val="auto"/>
          <w:sz w:val="32"/>
          <w:szCs w:val="32"/>
          <w:lang w:val="en-US" w:eastAsia="zh-CN"/>
        </w:rPr>
        <w:t>4</w:t>
      </w:r>
      <w:r>
        <w:rPr>
          <w:rFonts w:hint="eastAsia" w:ascii="Times New Roman" w:hAnsi="Times New Roman" w:eastAsia="仿宋_GB2312" w:cs="Times New Roman"/>
          <w:color w:val="auto"/>
          <w:sz w:val="32"/>
          <w:szCs w:val="32"/>
          <w:lang w:eastAsia="zh-CN"/>
        </w:rPr>
        <w:t>期，实现数字化检索。四是优化政务服务大厅信息公开平台建设，开设政策咨询窗口，提高政策咨询服务水平。</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2" w:firstLineChars="200"/>
        <w:jc w:val="lef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楷体_GB2312" w:cs="Times New Roman"/>
          <w:b/>
          <w:bCs/>
          <w:color w:val="auto"/>
          <w:sz w:val="32"/>
          <w:szCs w:val="32"/>
          <w:highlight w:val="none"/>
        </w:rPr>
        <w:t>5.监督保障。</w:t>
      </w:r>
      <w:r>
        <w:rPr>
          <w:rFonts w:hint="eastAsia" w:ascii="Times New Roman" w:hAnsi="Times New Roman" w:eastAsia="仿宋_GB2312" w:cs="Times New Roman"/>
          <w:color w:val="auto"/>
          <w:sz w:val="32"/>
          <w:szCs w:val="32"/>
          <w:lang w:eastAsia="zh-CN"/>
        </w:rPr>
        <w:t>一是加强组织领导。年内召开政务公开领导小组会议</w:t>
      </w:r>
      <w:r>
        <w:rPr>
          <w:rFonts w:hint="eastAsia" w:ascii="Times New Roman" w:hAnsi="Times New Roman" w:eastAsia="仿宋_GB2312" w:cs="Times New Roman"/>
          <w:color w:val="auto"/>
          <w:sz w:val="32"/>
          <w:szCs w:val="32"/>
          <w:lang w:val="en-US" w:eastAsia="zh-CN"/>
        </w:rPr>
        <w:t>1次，印发《2022年威海市环翠区政务公开重点工作及责任分工方案》。二是做好培训指导。年初制定政务公开专项培训计划，年内开展培训3次，累计培训150余人次。三是强化考核督导。采用“日常抽测、季度检查、年度评估”相结合的方式对各单位政务公开工作进行常态化监管，推进各项评估指标内容落实。</w:t>
      </w:r>
    </w:p>
    <w:p>
      <w:pPr>
        <w:pStyle w:val="10"/>
        <w:keepNext w:val="0"/>
        <w:keepLines w:val="0"/>
        <w:pageBreakBefore w:val="0"/>
        <w:widowControl w:val="0"/>
        <w:numPr>
          <w:ilvl w:val="0"/>
          <w:numId w:val="1"/>
        </w:numPr>
        <w:shd w:val="clear" w:color="auto" w:fill="auto"/>
        <w:kinsoku/>
        <w:wordWrap/>
        <w:topLinePunct w:val="0"/>
        <w:bidi w:val="0"/>
        <w:adjustRightInd/>
        <w:snapToGrid/>
        <w:spacing w:before="0" w:line="600" w:lineRule="exact"/>
        <w:ind w:left="0" w:leftChars="0" w:right="0" w:rightChars="0" w:firstLine="640" w:firstLineChars="200"/>
        <w:jc w:val="both"/>
        <w:textAlignment w:val="auto"/>
        <w:outlineLvl w:val="9"/>
        <w:rPr>
          <w:rFonts w:hint="default" w:ascii="Times New Roman" w:hAnsi="Times New Roman" w:eastAsia="黑体" w:cs="Times New Roman"/>
          <w:color w:val="auto"/>
          <w:spacing w:val="0"/>
          <w:w w:val="100"/>
          <w:position w:val="0"/>
          <w:sz w:val="32"/>
          <w:szCs w:val="32"/>
        </w:rPr>
      </w:pPr>
      <w:r>
        <w:rPr>
          <w:rFonts w:hint="default" w:ascii="Times New Roman" w:hAnsi="Times New Roman" w:eastAsia="黑体" w:cs="Times New Roman"/>
          <w:color w:val="auto"/>
          <w:spacing w:val="0"/>
          <w:w w:val="100"/>
          <w:position w:val="0"/>
          <w:sz w:val="32"/>
          <w:szCs w:val="32"/>
        </w:rPr>
        <w:t>主动公开政府信息情况</w:t>
      </w:r>
    </w:p>
    <w:tbl>
      <w:tblPr>
        <w:tblStyle w:val="8"/>
        <w:tblW w:w="8722" w:type="dxa"/>
        <w:jc w:val="center"/>
        <w:tblLayout w:type="fixed"/>
        <w:tblCellMar>
          <w:top w:w="0" w:type="dxa"/>
          <w:left w:w="10" w:type="dxa"/>
          <w:bottom w:w="0" w:type="dxa"/>
          <w:right w:w="10" w:type="dxa"/>
        </w:tblCellMar>
      </w:tblPr>
      <w:tblGrid>
        <w:gridCol w:w="3115"/>
        <w:gridCol w:w="2146"/>
        <w:gridCol w:w="1474"/>
        <w:gridCol w:w="1987"/>
      </w:tblGrid>
      <w:tr>
        <w:tblPrEx>
          <w:tblCellMar>
            <w:top w:w="0" w:type="dxa"/>
            <w:left w:w="10" w:type="dxa"/>
            <w:bottom w:w="0" w:type="dxa"/>
            <w:right w:w="10" w:type="dxa"/>
          </w:tblCellMar>
        </w:tblPrEx>
        <w:trPr>
          <w:trHeight w:val="581"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第二十条第（一）项</w:t>
            </w:r>
          </w:p>
        </w:tc>
      </w:tr>
      <w:tr>
        <w:tblPrEx>
          <w:tblCellMar>
            <w:top w:w="0" w:type="dxa"/>
            <w:left w:w="10" w:type="dxa"/>
            <w:bottom w:w="0" w:type="dxa"/>
            <w:right w:w="10" w:type="dxa"/>
          </w:tblCellMar>
        </w:tblPrEx>
        <w:trPr>
          <w:trHeight w:val="566" w:hRule="exact"/>
          <w:jc w:val="center"/>
        </w:trPr>
        <w:tc>
          <w:tcPr>
            <w:tcW w:w="3115"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106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信息内容</w:t>
            </w:r>
          </w:p>
        </w:tc>
        <w:tc>
          <w:tcPr>
            <w:tcW w:w="2146"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center"/>
              <w:rPr>
                <w:rFonts w:hint="default" w:ascii="Times New Roman" w:hAnsi="Times New Roman" w:eastAsia="宋体" w:cs="Times New Roman"/>
                <w:color w:val="auto"/>
                <w:sz w:val="22"/>
                <w:szCs w:val="22"/>
                <w:lang w:eastAsia="zh-CN"/>
              </w:rPr>
            </w:pPr>
            <w:r>
              <w:rPr>
                <w:rFonts w:hint="default" w:ascii="Times New Roman" w:hAnsi="Times New Roman" w:cs="Times New Roman"/>
                <w:color w:val="auto"/>
                <w:spacing w:val="0"/>
                <w:w w:val="100"/>
                <w:position w:val="0"/>
                <w:sz w:val="22"/>
                <w:szCs w:val="22"/>
              </w:rPr>
              <w:t>本年</w:t>
            </w:r>
            <w:r>
              <w:rPr>
                <w:rFonts w:hint="default" w:ascii="Times New Roman" w:hAnsi="Times New Roman" w:cs="Times New Roman"/>
                <w:color w:val="auto"/>
                <w:spacing w:val="0"/>
                <w:w w:val="100"/>
                <w:position w:val="0"/>
                <w:sz w:val="22"/>
                <w:szCs w:val="22"/>
                <w:lang w:eastAsia="zh-CN"/>
              </w:rPr>
              <w:t>制发件数</w:t>
            </w:r>
          </w:p>
        </w:tc>
        <w:tc>
          <w:tcPr>
            <w:tcW w:w="1474"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93" w:lineRule="exact"/>
              <w:ind w:left="0" w:right="0" w:firstLine="0"/>
              <w:jc w:val="center"/>
              <w:rPr>
                <w:rFonts w:hint="default" w:ascii="Times New Roman" w:hAnsi="Times New Roman" w:eastAsia="宋体" w:cs="Times New Roman"/>
                <w:color w:val="auto"/>
                <w:sz w:val="22"/>
                <w:szCs w:val="22"/>
                <w:lang w:eastAsia="zh-CN"/>
              </w:rPr>
            </w:pPr>
            <w:r>
              <w:rPr>
                <w:rFonts w:hint="default" w:ascii="Times New Roman" w:hAnsi="Times New Roman" w:cs="Times New Roman"/>
                <w:color w:val="auto"/>
                <w:spacing w:val="0"/>
                <w:w w:val="100"/>
                <w:position w:val="0"/>
                <w:sz w:val="22"/>
                <w:szCs w:val="22"/>
              </w:rPr>
              <w:t>本年</w:t>
            </w:r>
            <w:r>
              <w:rPr>
                <w:rFonts w:hint="default" w:ascii="Times New Roman" w:hAnsi="Times New Roman" w:cs="Times New Roman"/>
                <w:color w:val="auto"/>
                <w:spacing w:val="0"/>
                <w:w w:val="100"/>
                <w:position w:val="0"/>
                <w:sz w:val="22"/>
                <w:szCs w:val="22"/>
                <w:lang w:eastAsia="zh-CN"/>
              </w:rPr>
              <w:t>废止件数</w:t>
            </w:r>
          </w:p>
        </w:tc>
        <w:tc>
          <w:tcPr>
            <w:tcW w:w="1987" w:type="dxa"/>
            <w:tcBorders>
              <w:top w:val="single" w:color="auto" w:sz="4" w:space="0"/>
              <w:left w:val="single" w:color="auto" w:sz="4" w:space="0"/>
              <w:right w:val="single" w:color="auto" w:sz="4" w:space="0"/>
            </w:tcBorders>
            <w:shd w:val="clear" w:color="auto" w:fill="FFFFFF"/>
            <w:vAlign w:val="center"/>
          </w:tcPr>
          <w:p>
            <w:pPr>
              <w:pStyle w:val="11"/>
              <w:keepNext w:val="0"/>
              <w:keepLines w:val="0"/>
              <w:widowControl w:val="0"/>
              <w:shd w:val="clear" w:color="auto" w:fill="auto"/>
              <w:bidi w:val="0"/>
              <w:spacing w:before="0" w:after="0" w:line="298" w:lineRule="exact"/>
              <w:ind w:left="0" w:right="0" w:firstLine="0"/>
              <w:jc w:val="center"/>
              <w:rPr>
                <w:rFonts w:hint="default" w:ascii="Times New Roman" w:hAnsi="Times New Roman" w:eastAsia="宋体" w:cs="Times New Roman"/>
                <w:color w:val="auto"/>
                <w:sz w:val="22"/>
                <w:szCs w:val="22"/>
                <w:lang w:eastAsia="zh-CN"/>
              </w:rPr>
            </w:pPr>
            <w:r>
              <w:rPr>
                <w:rFonts w:hint="default" w:ascii="Times New Roman" w:hAnsi="Times New Roman" w:cs="Times New Roman"/>
                <w:color w:val="auto"/>
                <w:spacing w:val="0"/>
                <w:w w:val="100"/>
                <w:position w:val="0"/>
                <w:sz w:val="22"/>
                <w:szCs w:val="22"/>
                <w:lang w:eastAsia="zh-CN"/>
              </w:rPr>
              <w:t>现行有效件数</w:t>
            </w:r>
          </w:p>
        </w:tc>
      </w:tr>
      <w:tr>
        <w:tblPrEx>
          <w:tblCellMar>
            <w:top w:w="0" w:type="dxa"/>
            <w:left w:w="10" w:type="dxa"/>
            <w:bottom w:w="0" w:type="dxa"/>
            <w:right w:w="10" w:type="dxa"/>
          </w:tblCellMar>
        </w:tblPrEx>
        <w:trPr>
          <w:trHeight w:val="446" w:hRule="exact"/>
          <w:jc w:val="center"/>
        </w:trPr>
        <w:tc>
          <w:tcPr>
            <w:tcW w:w="3115" w:type="dxa"/>
            <w:tcBorders>
              <w:top w:val="single" w:color="auto" w:sz="4" w:space="0"/>
              <w:left w:val="single" w:color="auto" w:sz="4" w:space="0"/>
            </w:tcBorders>
            <w:shd w:val="clear" w:color="auto" w:fill="FFFFFF"/>
            <w:vAlign w:val="top"/>
          </w:tcPr>
          <w:p>
            <w:pPr>
              <w:pStyle w:val="11"/>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规章</w:t>
            </w:r>
          </w:p>
        </w:tc>
        <w:tc>
          <w:tcPr>
            <w:tcW w:w="214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W w:w="147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1987"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tcBorders>
            <w:shd w:val="clear" w:color="auto" w:fill="FFFFFF"/>
            <w:vAlign w:val="bottom"/>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规范性文件</w:t>
            </w:r>
          </w:p>
        </w:tc>
        <w:tc>
          <w:tcPr>
            <w:tcW w:w="214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14</w:t>
            </w:r>
          </w:p>
        </w:tc>
        <w:tc>
          <w:tcPr>
            <w:tcW w:w="147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highlight w:val="none"/>
                <w:lang w:val="en-US" w:eastAsia="zh-CN"/>
              </w:rPr>
              <w:t>9</w:t>
            </w:r>
          </w:p>
        </w:tc>
        <w:tc>
          <w:tcPr>
            <w:tcW w:w="1987"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24</w:t>
            </w:r>
          </w:p>
        </w:tc>
      </w:tr>
      <w:tr>
        <w:tblPrEx>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pPr>
              <w:pStyle w:val="11"/>
              <w:keepNext w:val="0"/>
              <w:keepLines w:val="0"/>
              <w:widowControl w:val="0"/>
              <w:shd w:val="clear" w:color="auto" w:fill="auto"/>
              <w:bidi w:val="0"/>
              <w:spacing w:before="80" w:after="0" w:line="240" w:lineRule="auto"/>
              <w:ind w:left="0" w:right="0" w:firstLine="0"/>
              <w:jc w:val="center"/>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第二十条第（五）项</w:t>
            </w:r>
          </w:p>
        </w:tc>
      </w:tr>
      <w:tr>
        <w:tblPrEx>
          <w:tblCellMar>
            <w:top w:w="0" w:type="dxa"/>
            <w:left w:w="10" w:type="dxa"/>
            <w:bottom w:w="0" w:type="dxa"/>
            <w:right w:w="10" w:type="dxa"/>
          </w:tblCellMar>
        </w:tblPrEx>
        <w:trPr>
          <w:trHeight w:val="562" w:hRule="exact"/>
          <w:jc w:val="center"/>
        </w:trPr>
        <w:tc>
          <w:tcPr>
            <w:tcW w:w="3115"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106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信息内容</w:t>
            </w:r>
          </w:p>
        </w:tc>
        <w:tc>
          <w:tcPr>
            <w:tcW w:w="5607" w:type="dxa"/>
            <w:gridSpan w:val="3"/>
            <w:tcBorders>
              <w:top w:val="single" w:color="auto" w:sz="4" w:space="0"/>
              <w:left w:val="single" w:color="auto" w:sz="4" w:space="0"/>
              <w:righ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center"/>
              <w:rPr>
                <w:rFonts w:hint="default" w:ascii="Times New Roman" w:hAnsi="Times New Roman" w:eastAsia="宋体" w:cs="Times New Roman"/>
                <w:color w:val="auto"/>
                <w:sz w:val="22"/>
                <w:szCs w:val="22"/>
                <w:lang w:eastAsia="zh-CN"/>
              </w:rPr>
            </w:pPr>
            <w:r>
              <w:rPr>
                <w:rFonts w:hint="default" w:ascii="Times New Roman" w:hAnsi="Times New Roman" w:cs="Times New Roman"/>
                <w:color w:val="auto"/>
                <w:sz w:val="22"/>
                <w:szCs w:val="22"/>
                <w:lang w:eastAsia="zh-CN"/>
              </w:rPr>
              <w:t>本年处理决定数量</w:t>
            </w:r>
          </w:p>
        </w:tc>
      </w:tr>
      <w:tr>
        <w:tblPrEx>
          <w:tblCellMar>
            <w:top w:w="0" w:type="dxa"/>
            <w:left w:w="10" w:type="dxa"/>
            <w:bottom w:w="0" w:type="dxa"/>
            <w:right w:w="10" w:type="dxa"/>
          </w:tblCellMar>
        </w:tblPrEx>
        <w:trPr>
          <w:trHeight w:val="461" w:hRule="exact"/>
          <w:jc w:val="center"/>
        </w:trPr>
        <w:tc>
          <w:tcPr>
            <w:tcW w:w="3115" w:type="dxa"/>
            <w:tcBorders>
              <w:top w:val="single" w:color="auto" w:sz="4" w:space="0"/>
              <w:left w:val="single" w:color="auto" w:sz="4" w:space="0"/>
              <w:bottom w:val="single" w:color="auto" w:sz="4" w:space="0"/>
            </w:tcBorders>
            <w:shd w:val="clear" w:color="auto" w:fill="FFFFFF"/>
            <w:vAlign w:val="top"/>
          </w:tcPr>
          <w:p>
            <w:pPr>
              <w:pStyle w:val="11"/>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行政许可</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41869</w:t>
            </w:r>
          </w:p>
        </w:tc>
      </w:tr>
      <w:tr>
        <w:tblPrEx>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第二十条第（六）项</w:t>
            </w:r>
          </w:p>
        </w:tc>
      </w:tr>
      <w:tr>
        <w:tblPrEx>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bottom w:val="single" w:color="auto" w:sz="4" w:space="0"/>
              <w:right w:val="single" w:color="auto" w:sz="4" w:space="0"/>
            </w:tcBorders>
            <w:shd w:val="clear" w:color="auto" w:fill="FFFFFF"/>
            <w:vAlign w:val="top"/>
          </w:tcPr>
          <w:p>
            <w:pPr>
              <w:pStyle w:val="11"/>
              <w:keepNext w:val="0"/>
              <w:keepLines w:val="0"/>
              <w:widowControl w:val="0"/>
              <w:shd w:val="clear" w:color="auto" w:fill="auto"/>
              <w:bidi w:val="0"/>
              <w:spacing w:before="100" w:after="0" w:line="240" w:lineRule="auto"/>
              <w:ind w:left="106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信息内容</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pStyle w:val="11"/>
              <w:keepNext w:val="0"/>
              <w:keepLines w:val="0"/>
              <w:widowControl w:val="0"/>
              <w:shd w:val="clear" w:color="auto" w:fill="auto"/>
              <w:bidi w:val="0"/>
              <w:spacing w:before="100" w:after="0" w:line="240" w:lineRule="auto"/>
              <w:ind w:left="0" w:right="0" w:firstLine="0"/>
              <w:jc w:val="center"/>
              <w:rPr>
                <w:rFonts w:hint="default" w:ascii="Times New Roman" w:hAnsi="Times New Roman" w:cs="Times New Roman"/>
                <w:color w:val="auto"/>
                <w:sz w:val="22"/>
                <w:szCs w:val="22"/>
              </w:rPr>
            </w:pPr>
            <w:r>
              <w:rPr>
                <w:rFonts w:hint="default" w:ascii="Times New Roman" w:hAnsi="Times New Roman" w:cs="Times New Roman"/>
                <w:color w:val="auto"/>
                <w:sz w:val="22"/>
                <w:szCs w:val="22"/>
                <w:lang w:eastAsia="zh-CN"/>
              </w:rPr>
              <w:t>本年处理决定数量</w:t>
            </w:r>
          </w:p>
          <w:p>
            <w:pPr>
              <w:pStyle w:val="11"/>
              <w:keepNext w:val="0"/>
              <w:keepLines w:val="0"/>
              <w:widowControl w:val="0"/>
              <w:shd w:val="clear" w:color="auto" w:fill="auto"/>
              <w:bidi w:val="0"/>
              <w:spacing w:before="100" w:after="0" w:line="240" w:lineRule="auto"/>
              <w:ind w:left="0" w:right="0" w:firstLine="0"/>
              <w:jc w:val="center"/>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处理决定数量</w:t>
            </w:r>
          </w:p>
        </w:tc>
      </w:tr>
      <w:tr>
        <w:tblPrEx>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bottom w:val="single" w:color="auto" w:sz="4" w:space="0"/>
              <w:right w:val="single" w:color="auto" w:sz="4" w:space="0"/>
            </w:tcBorders>
            <w:shd w:val="clear" w:color="auto" w:fill="FFFFFF"/>
            <w:vAlign w:val="top"/>
          </w:tcPr>
          <w:p>
            <w:pPr>
              <w:pStyle w:val="11"/>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行政处罚</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color w:val="auto"/>
                <w:sz w:val="22"/>
                <w:szCs w:val="22"/>
                <w:lang w:val="en-US" w:eastAsia="zh-CN"/>
              </w:rPr>
            </w:pPr>
            <w:r>
              <w:rPr>
                <w:rFonts w:hint="default" w:ascii="Times New Roman" w:hAnsi="Times New Roman" w:cs="Times New Roman"/>
                <w:color w:val="auto"/>
                <w:sz w:val="22"/>
                <w:szCs w:val="22"/>
                <w:lang w:val="en-US" w:eastAsia="zh-CN"/>
              </w:rPr>
              <w:t>4050</w:t>
            </w:r>
          </w:p>
        </w:tc>
      </w:tr>
      <w:tr>
        <w:tblPrEx>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tcBorders>
            <w:shd w:val="clear" w:color="auto" w:fill="FFFFFF"/>
            <w:vAlign w:val="bottom"/>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行政强制</w:t>
            </w:r>
          </w:p>
        </w:tc>
        <w:tc>
          <w:tcPr>
            <w:tcW w:w="5607" w:type="dxa"/>
            <w:gridSpan w:val="3"/>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color w:val="auto"/>
                <w:sz w:val="22"/>
                <w:szCs w:val="22"/>
                <w:lang w:val="en-US" w:eastAsia="zh-CN"/>
              </w:rPr>
            </w:pPr>
            <w:r>
              <w:rPr>
                <w:rFonts w:hint="default" w:ascii="Times New Roman" w:hAnsi="Times New Roman" w:cs="Times New Roman"/>
                <w:color w:val="auto"/>
                <w:sz w:val="22"/>
                <w:szCs w:val="22"/>
                <w:lang w:val="en-US" w:eastAsia="zh-CN"/>
              </w:rPr>
              <w:t>6731</w:t>
            </w:r>
          </w:p>
        </w:tc>
      </w:tr>
      <w:tr>
        <w:tblPrEx>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pPr>
              <w:pStyle w:val="11"/>
              <w:keepNext w:val="0"/>
              <w:keepLines w:val="0"/>
              <w:widowControl w:val="0"/>
              <w:shd w:val="clear" w:color="auto" w:fill="auto"/>
              <w:bidi w:val="0"/>
              <w:spacing w:before="80" w:after="0" w:line="240" w:lineRule="auto"/>
              <w:ind w:left="0" w:right="0" w:firstLine="0"/>
              <w:jc w:val="center"/>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第二十条第（八）项</w:t>
            </w:r>
          </w:p>
        </w:tc>
      </w:tr>
      <w:tr>
        <w:tblPrEx>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bottom w:val="single" w:color="auto" w:sz="4" w:space="0"/>
              <w:right w:val="single" w:color="auto" w:sz="4" w:space="0"/>
            </w:tcBorders>
            <w:shd w:val="clear" w:color="auto" w:fill="FFFFFF"/>
            <w:vAlign w:val="top"/>
          </w:tcPr>
          <w:p>
            <w:pPr>
              <w:pStyle w:val="11"/>
              <w:keepNext w:val="0"/>
              <w:keepLines w:val="0"/>
              <w:widowControl w:val="0"/>
              <w:shd w:val="clear" w:color="auto" w:fill="auto"/>
              <w:bidi w:val="0"/>
              <w:spacing w:before="100" w:after="0" w:line="240" w:lineRule="auto"/>
              <w:ind w:left="106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信息内容</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pStyle w:val="11"/>
              <w:keepNext w:val="0"/>
              <w:keepLines w:val="0"/>
              <w:widowControl w:val="0"/>
              <w:shd w:val="clear" w:color="auto" w:fill="auto"/>
              <w:bidi w:val="0"/>
              <w:spacing w:before="100" w:after="0" w:line="240" w:lineRule="auto"/>
              <w:ind w:left="0" w:right="0" w:firstLine="0"/>
              <w:jc w:val="center"/>
              <w:rPr>
                <w:rFonts w:hint="default" w:ascii="Times New Roman" w:hAnsi="Times New Roman" w:eastAsia="宋体" w:cs="Times New Roman"/>
                <w:color w:val="auto"/>
                <w:sz w:val="22"/>
                <w:szCs w:val="22"/>
                <w:lang w:eastAsia="zh-CN"/>
              </w:rPr>
            </w:pPr>
            <w:r>
              <w:rPr>
                <w:rFonts w:hint="default" w:ascii="Times New Roman" w:hAnsi="Times New Roman" w:cs="Times New Roman"/>
                <w:color w:val="auto"/>
                <w:spacing w:val="0"/>
                <w:w w:val="100"/>
                <w:position w:val="0"/>
                <w:sz w:val="22"/>
                <w:szCs w:val="22"/>
                <w:lang w:eastAsia="zh-CN"/>
              </w:rPr>
              <w:t>本年收费金额（单位：万元）</w:t>
            </w:r>
          </w:p>
        </w:tc>
      </w:tr>
      <w:tr>
        <w:tblPrEx>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bottom w:val="single" w:color="auto" w:sz="4" w:space="0"/>
              <w:right w:val="single" w:color="auto" w:sz="4" w:space="0"/>
            </w:tcBorders>
            <w:shd w:val="clear" w:color="auto" w:fill="FFFFFF"/>
            <w:vAlign w:val="top"/>
          </w:tcPr>
          <w:p>
            <w:pPr>
              <w:pStyle w:val="11"/>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color w:val="auto"/>
                <w:sz w:val="22"/>
                <w:szCs w:val="22"/>
              </w:rPr>
            </w:pPr>
            <w:r>
              <w:rPr>
                <w:rFonts w:hint="default" w:ascii="Times New Roman" w:hAnsi="Times New Roman" w:cs="Times New Roman"/>
                <w:color w:val="auto"/>
                <w:spacing w:val="0"/>
                <w:w w:val="100"/>
                <w:position w:val="0"/>
                <w:sz w:val="22"/>
                <w:szCs w:val="22"/>
              </w:rPr>
              <w:t>行政事业性收费</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color w:val="auto"/>
                <w:sz w:val="22"/>
                <w:szCs w:val="22"/>
                <w:lang w:val="en-US" w:eastAsia="zh-CN"/>
              </w:rPr>
            </w:pPr>
            <w:r>
              <w:rPr>
                <w:rFonts w:hint="eastAsia" w:ascii="Times New Roman" w:hAnsi="Times New Roman" w:cs="Times New Roman"/>
                <w:color w:val="auto"/>
                <w:sz w:val="22"/>
                <w:szCs w:val="22"/>
                <w:lang w:val="en-US" w:eastAsia="zh-CN"/>
              </w:rPr>
              <w:t>5874</w:t>
            </w:r>
          </w:p>
        </w:tc>
      </w:tr>
    </w:tbl>
    <w:p>
      <w:pPr>
        <w:pStyle w:val="10"/>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before="0" w:line="600" w:lineRule="exact"/>
        <w:ind w:left="0" w:leftChars="0" w:right="0" w:rightChars="0" w:firstLine="640" w:firstLineChars="200"/>
        <w:jc w:val="left"/>
        <w:textAlignment w:val="auto"/>
        <w:rPr>
          <w:rFonts w:hint="default" w:ascii="Times New Roman" w:hAnsi="Times New Roman" w:eastAsia="黑体" w:cs="Times New Roman"/>
          <w:color w:val="auto"/>
          <w:spacing w:val="0"/>
          <w:w w:val="100"/>
          <w:position w:val="0"/>
          <w:sz w:val="32"/>
          <w:szCs w:val="32"/>
        </w:rPr>
      </w:pPr>
      <w:r>
        <w:rPr>
          <w:rFonts w:hint="default" w:ascii="Times New Roman" w:hAnsi="Times New Roman" w:eastAsia="黑体" w:cs="Times New Roman"/>
          <w:color w:val="auto"/>
          <w:spacing w:val="0"/>
          <w:w w:val="100"/>
          <w:position w:val="0"/>
          <w:sz w:val="32"/>
          <w:szCs w:val="32"/>
        </w:rPr>
        <w:t>收到和处理政府信息公开申请情况</w:t>
      </w:r>
    </w:p>
    <w:tbl>
      <w:tblPr>
        <w:tblStyle w:val="8"/>
        <w:tblW w:w="8721" w:type="dxa"/>
        <w:jc w:val="center"/>
        <w:tblLayout w:type="fixed"/>
        <w:tblCellMar>
          <w:top w:w="0" w:type="dxa"/>
          <w:left w:w="10" w:type="dxa"/>
          <w:bottom w:w="0" w:type="dxa"/>
          <w:right w:w="10" w:type="dxa"/>
        </w:tblCellMar>
      </w:tblPr>
      <w:tblGrid>
        <w:gridCol w:w="518"/>
        <w:gridCol w:w="1531"/>
        <w:gridCol w:w="2592"/>
        <w:gridCol w:w="624"/>
        <w:gridCol w:w="562"/>
        <w:gridCol w:w="562"/>
        <w:gridCol w:w="566"/>
        <w:gridCol w:w="566"/>
        <w:gridCol w:w="566"/>
        <w:gridCol w:w="634"/>
      </w:tblGrid>
      <w:tr>
        <w:tblPrEx>
          <w:tblCellMar>
            <w:top w:w="0" w:type="dxa"/>
            <w:left w:w="10" w:type="dxa"/>
            <w:bottom w:w="0" w:type="dxa"/>
            <w:right w:w="10" w:type="dxa"/>
          </w:tblCellMar>
        </w:tblPrEx>
        <w:trPr>
          <w:trHeight w:val="576" w:hRule="exact"/>
          <w:jc w:val="center"/>
        </w:trPr>
        <w:tc>
          <w:tcPr>
            <w:tcW w:w="4641" w:type="dxa"/>
            <w:gridSpan w:val="3"/>
            <w:vMerge w:val="restart"/>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（本列数据的勾稽关系为：第一项加第二项之和， 等于第三项加第四项之和）</w:t>
            </w:r>
          </w:p>
        </w:tc>
        <w:tc>
          <w:tcPr>
            <w:tcW w:w="4080" w:type="dxa"/>
            <w:gridSpan w:val="7"/>
            <w:tcBorders>
              <w:top w:val="single" w:color="auto" w:sz="4" w:space="0"/>
              <w:left w:val="single" w:color="auto" w:sz="4" w:space="0"/>
              <w:righ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申请人情况</w:t>
            </w:r>
          </w:p>
        </w:tc>
      </w:tr>
      <w:tr>
        <w:tblPrEx>
          <w:tblCellMar>
            <w:top w:w="0" w:type="dxa"/>
            <w:left w:w="10" w:type="dxa"/>
            <w:bottom w:w="0" w:type="dxa"/>
            <w:right w:w="10" w:type="dxa"/>
          </w:tblCellMar>
        </w:tblPrEx>
        <w:trPr>
          <w:trHeight w:val="571" w:hRule="exact"/>
          <w:jc w:val="center"/>
        </w:trPr>
        <w:tc>
          <w:tcPr>
            <w:tcW w:w="4641" w:type="dxa"/>
            <w:gridSpan w:val="3"/>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W w:w="624" w:type="dxa"/>
            <w:vMerge w:val="restart"/>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自然人</w:t>
            </w:r>
          </w:p>
        </w:tc>
        <w:tc>
          <w:tcPr>
            <w:tcW w:w="2822" w:type="dxa"/>
            <w:gridSpan w:val="5"/>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法人或其他组织</w:t>
            </w:r>
          </w:p>
        </w:tc>
        <w:tc>
          <w:tcPr>
            <w:tcW w:w="634" w:type="dxa"/>
            <w:vMerge w:val="restart"/>
            <w:tcBorders>
              <w:top w:val="single" w:color="auto" w:sz="4" w:space="0"/>
              <w:left w:val="single" w:color="auto" w:sz="4" w:space="0"/>
              <w:righ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righ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总计</w:t>
            </w:r>
          </w:p>
        </w:tc>
      </w:tr>
      <w:tr>
        <w:tblPrEx>
          <w:tblCellMar>
            <w:top w:w="0" w:type="dxa"/>
            <w:left w:w="10" w:type="dxa"/>
            <w:bottom w:w="0" w:type="dxa"/>
            <w:right w:w="10" w:type="dxa"/>
          </w:tblCellMar>
        </w:tblPrEx>
        <w:trPr>
          <w:trHeight w:val="1134" w:hRule="atLeast"/>
          <w:jc w:val="center"/>
        </w:trPr>
        <w:tc>
          <w:tcPr>
            <w:tcW w:w="4641" w:type="dxa"/>
            <w:gridSpan w:val="3"/>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W w:w="624" w:type="dxa"/>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W w:w="562"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商业 企业</w:t>
            </w:r>
          </w:p>
        </w:tc>
        <w:tc>
          <w:tcPr>
            <w:tcW w:w="562"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科研 机构</w:t>
            </w:r>
          </w:p>
        </w:tc>
        <w:tc>
          <w:tcPr>
            <w:tcW w:w="566" w:type="dxa"/>
            <w:tcBorders>
              <w:top w:val="single" w:color="auto" w:sz="4" w:space="0"/>
              <w:left w:val="single" w:color="auto" w:sz="4" w:space="0"/>
            </w:tcBorders>
            <w:shd w:val="clear" w:color="auto" w:fill="FFFFFF"/>
            <w:vAlign w:val="top"/>
          </w:tcPr>
          <w:p>
            <w:pPr>
              <w:widowControl w:val="0"/>
              <w:ind w:firstLine="0"/>
              <w:rPr>
                <w:rFonts w:hint="default" w:ascii="Times New Roman" w:hAnsi="Times New Roman" w:eastAsia="宋体" w:cs="Times New Roman"/>
                <w:color w:val="auto"/>
                <w:spacing w:val="0"/>
                <w:w w:val="100"/>
                <w:position w:val="0"/>
                <w:sz w:val="15"/>
                <w:szCs w:val="15"/>
                <w:u w:val="none"/>
                <w:shd w:val="clear" w:color="auto" w:fill="auto"/>
                <w:lang w:val="en-US" w:eastAsia="zh-CN" w:bidi="zh-TW"/>
              </w:rPr>
            </w:pPr>
          </w:p>
          <w:p>
            <w:pPr>
              <w:widowControl w:val="0"/>
              <w:ind w:firstLine="0"/>
              <w:rPr>
                <w:rFonts w:hint="default" w:ascii="Times New Roman" w:hAnsi="Times New Roman" w:eastAsia="宋体" w:cs="Times New Roman"/>
                <w:color w:val="auto"/>
                <w:sz w:val="10"/>
                <w:szCs w:val="10"/>
                <w:lang w:val="en-US" w:eastAsia="zh-CN"/>
              </w:rPr>
            </w:pPr>
            <w:r>
              <w:rPr>
                <w:rFonts w:hint="default" w:ascii="Times New Roman" w:hAnsi="Times New Roman" w:eastAsia="宋体" w:cs="Times New Roman"/>
                <w:color w:val="auto"/>
                <w:spacing w:val="0"/>
                <w:w w:val="100"/>
                <w:position w:val="0"/>
                <w:sz w:val="20"/>
                <w:szCs w:val="20"/>
                <w:u w:val="none"/>
                <w:shd w:val="clear" w:color="auto" w:fill="auto"/>
                <w:lang w:val="en-US" w:eastAsia="zh-CN" w:bidi="zh-TW"/>
              </w:rPr>
              <w:t>社会公益组织</w:t>
            </w:r>
          </w:p>
        </w:tc>
        <w:tc>
          <w:tcPr>
            <w:tcW w:w="566"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64" w:lineRule="exact"/>
              <w:ind w:left="0" w:right="0" w:firstLine="0"/>
              <w:jc w:val="lef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法律 服务 机构</w:t>
            </w:r>
          </w:p>
        </w:tc>
        <w:tc>
          <w:tcPr>
            <w:tcW w:w="566"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其他</w:t>
            </w:r>
          </w:p>
        </w:tc>
        <w:tc>
          <w:tcPr>
            <w:tcW w:w="634" w:type="dxa"/>
            <w:vMerge w:val="continue"/>
            <w:tcBorders>
              <w:left w:val="single" w:color="auto" w:sz="4" w:space="0"/>
              <w:right w:val="single" w:color="auto" w:sz="4" w:space="0"/>
            </w:tcBorders>
            <w:shd w:val="clear" w:color="auto" w:fill="FFFFFF"/>
            <w:vAlign w:val="center"/>
          </w:tcPr>
          <w:p>
            <w:pPr>
              <w:rPr>
                <w:rFonts w:hint="default" w:ascii="Times New Roman" w:hAnsi="Times New Roman" w:cs="Times New Roman"/>
                <w:color w:val="auto"/>
              </w:rPr>
            </w:pPr>
          </w:p>
        </w:tc>
      </w:tr>
      <w:tr>
        <w:tblPrEx>
          <w:tblCellMar>
            <w:top w:w="0" w:type="dxa"/>
            <w:left w:w="10" w:type="dxa"/>
            <w:bottom w:w="0" w:type="dxa"/>
            <w:right w:w="10" w:type="dxa"/>
          </w:tblCellMar>
        </w:tblPrEx>
        <w:trPr>
          <w:trHeight w:val="451" w:hRule="exact"/>
          <w:jc w:val="center"/>
        </w:trPr>
        <w:tc>
          <w:tcPr>
            <w:tcW w:w="4641" w:type="dxa"/>
            <w:gridSpan w:val="3"/>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一、本年新收政府信息公开申请数量</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82</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3</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85</w:t>
            </w:r>
          </w:p>
        </w:tc>
      </w:tr>
      <w:tr>
        <w:tblPrEx>
          <w:tblCellMar>
            <w:top w:w="0" w:type="dxa"/>
            <w:left w:w="10" w:type="dxa"/>
            <w:bottom w:w="0" w:type="dxa"/>
            <w:right w:w="10" w:type="dxa"/>
          </w:tblCellMar>
        </w:tblPrEx>
        <w:trPr>
          <w:trHeight w:val="451" w:hRule="exact"/>
          <w:jc w:val="center"/>
        </w:trPr>
        <w:tc>
          <w:tcPr>
            <w:tcW w:w="4641" w:type="dxa"/>
            <w:gridSpan w:val="3"/>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二、上年结转政府信息公开申请数量</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3</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eastAsiaTheme="minorEastAsia"/>
                <w:color w:val="auto"/>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3</w:t>
            </w:r>
          </w:p>
        </w:tc>
      </w:tr>
      <w:tr>
        <w:tblPrEx>
          <w:tblCellMar>
            <w:top w:w="0" w:type="dxa"/>
            <w:left w:w="10" w:type="dxa"/>
            <w:bottom w:w="0" w:type="dxa"/>
            <w:right w:w="10" w:type="dxa"/>
          </w:tblCellMar>
        </w:tblPrEx>
        <w:trPr>
          <w:trHeight w:val="394" w:hRule="exact"/>
          <w:jc w:val="center"/>
        </w:trPr>
        <w:tc>
          <w:tcPr>
            <w:tcW w:w="518" w:type="dxa"/>
            <w:vMerge w:val="restart"/>
            <w:tcBorders>
              <w:top w:val="single" w:color="auto" w:sz="4" w:space="0"/>
              <w:left w:val="single" w:color="auto" w:sz="4" w:space="0"/>
            </w:tcBorders>
            <w:shd w:val="clear" w:color="auto" w:fill="FFFFFF"/>
            <w:textDirection w:val="tbRlV"/>
            <w:vAlign w:val="center"/>
          </w:tcPr>
          <w:p>
            <w:pPr>
              <w:pStyle w:val="12"/>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rPr>
            </w:pPr>
            <w:r>
              <w:rPr>
                <w:rFonts w:hint="default" w:ascii="Times New Roman" w:hAnsi="Times New Roman" w:cs="Times New Roman"/>
                <w:color w:val="auto"/>
                <w:spacing w:val="0"/>
                <w:w w:val="100"/>
                <w:position w:val="0"/>
              </w:rPr>
              <w:t>三、本年度办理结果</w:t>
            </w:r>
          </w:p>
        </w:tc>
        <w:tc>
          <w:tcPr>
            <w:tcW w:w="4123" w:type="dxa"/>
            <w:gridSpan w:val="2"/>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cs="Times New Roman"/>
                <w:color w:val="auto"/>
                <w:spacing w:val="0"/>
                <w:w w:val="100"/>
                <w:position w:val="0"/>
                <w:sz w:val="18"/>
                <w:szCs w:val="18"/>
              </w:rPr>
              <w:t>（一）予以公开</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15</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15</w:t>
            </w:r>
          </w:p>
        </w:tc>
      </w:tr>
      <w:tr>
        <w:tblPrEx>
          <w:tblCellMar>
            <w:top w:w="0" w:type="dxa"/>
            <w:left w:w="10" w:type="dxa"/>
            <w:bottom w:w="0" w:type="dxa"/>
            <w:right w:w="10" w:type="dxa"/>
          </w:tblCellMar>
        </w:tblPrEx>
        <w:trPr>
          <w:trHeight w:val="682"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4123" w:type="dxa"/>
            <w:gridSpan w:val="2"/>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98" w:lineRule="exact"/>
              <w:ind w:left="0" w:right="0" w:firstLine="0"/>
              <w:jc w:val="left"/>
              <w:rPr>
                <w:rFonts w:hint="default" w:ascii="Times New Roman" w:hAnsi="Times New Roman" w:eastAsia="宋体" w:cs="Times New Roman"/>
                <w:color w:val="auto"/>
                <w:sz w:val="18"/>
                <w:szCs w:val="18"/>
                <w:lang w:val="en-US" w:eastAsia="zh-CN"/>
              </w:rPr>
            </w:pPr>
            <w:r>
              <w:rPr>
                <w:rFonts w:hint="default" w:ascii="Times New Roman" w:hAnsi="Times New Roman" w:cs="Times New Roman"/>
                <w:color w:val="auto"/>
                <w:spacing w:val="0"/>
                <w:w w:val="100"/>
                <w:position w:val="0"/>
                <w:sz w:val="18"/>
                <w:szCs w:val="18"/>
              </w:rPr>
              <w:t>（二）部分公开（区分处理的，只计这一情形，不计其他情形）</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4</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4</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1531" w:type="dxa"/>
            <w:vMerge w:val="restart"/>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cs="Times New Roman"/>
                <w:color w:val="auto"/>
                <w:spacing w:val="0"/>
                <w:w w:val="100"/>
                <w:position w:val="0"/>
                <w:sz w:val="18"/>
                <w:szCs w:val="18"/>
              </w:rPr>
              <w:t>（三）不予公开</w:t>
            </w:r>
          </w:p>
        </w:tc>
        <w:tc>
          <w:tcPr>
            <w:tcW w:w="2592"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1.</w:t>
            </w:r>
            <w:r>
              <w:rPr>
                <w:rFonts w:hint="default" w:ascii="Times New Roman" w:hAnsi="Times New Roman" w:cs="Times New Roman"/>
                <w:color w:val="auto"/>
                <w:spacing w:val="0"/>
                <w:w w:val="100"/>
                <w:position w:val="0"/>
                <w:sz w:val="18"/>
                <w:szCs w:val="18"/>
              </w:rPr>
              <w:t>属于国家秘密</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W w:w="2592"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color w:val="auto"/>
                <w:sz w:val="18"/>
                <w:szCs w:val="18"/>
                <w:lang w:val="en-US"/>
              </w:rPr>
            </w:pPr>
            <w:r>
              <w:rPr>
                <w:rFonts w:hint="default" w:ascii="Times New Roman" w:hAnsi="Times New Roman" w:eastAsia="Times New Roman" w:cs="Times New Roman"/>
                <w:color w:val="auto"/>
                <w:spacing w:val="0"/>
                <w:w w:val="100"/>
                <w:position w:val="0"/>
                <w:sz w:val="20"/>
                <w:szCs w:val="20"/>
                <w:lang w:val="en-US" w:eastAsia="en-US" w:bidi="en-US"/>
              </w:rPr>
              <w:t>2.</w:t>
            </w:r>
            <w:r>
              <w:rPr>
                <w:rFonts w:hint="default" w:ascii="Times New Roman" w:hAnsi="Times New Roman" w:cs="Times New Roman"/>
                <w:color w:val="auto"/>
                <w:spacing w:val="0"/>
                <w:w w:val="100"/>
                <w:position w:val="0"/>
                <w:sz w:val="20"/>
                <w:szCs w:val="20"/>
                <w:lang w:val="en-US" w:eastAsia="zh-CN" w:bidi="en-US"/>
              </w:rPr>
              <w:t>其他法律行政法规禁止公开</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W w:w="2592"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3.</w:t>
            </w:r>
            <w:r>
              <w:rPr>
                <w:rFonts w:hint="default" w:ascii="Times New Roman" w:hAnsi="Times New Roman" w:cs="Times New Roman"/>
                <w:color w:val="auto"/>
                <w:spacing w:val="0"/>
                <w:w w:val="100"/>
                <w:position w:val="0"/>
                <w:sz w:val="18"/>
                <w:szCs w:val="18"/>
              </w:rPr>
              <w:t>危及</w:t>
            </w:r>
            <w:r>
              <w:rPr>
                <w:rFonts w:hint="default" w:ascii="Times New Roman" w:hAnsi="Times New Roman" w:cs="Times New Roman"/>
                <w:color w:val="auto"/>
                <w:spacing w:val="0"/>
                <w:w w:val="100"/>
                <w:position w:val="0"/>
                <w:sz w:val="18"/>
                <w:szCs w:val="18"/>
                <w:lang w:val="zh-CN" w:eastAsia="zh-CN" w:bidi="zh-CN"/>
              </w:rPr>
              <w:t>“三</w:t>
            </w:r>
            <w:r>
              <w:rPr>
                <w:rFonts w:hint="default" w:ascii="Times New Roman" w:hAnsi="Times New Roman" w:cs="Times New Roman"/>
                <w:color w:val="auto"/>
                <w:spacing w:val="0"/>
                <w:w w:val="100"/>
                <w:position w:val="0"/>
                <w:sz w:val="18"/>
                <w:szCs w:val="18"/>
              </w:rPr>
              <w:t>安全一稳定”</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W w:w="2592"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4.</w:t>
            </w:r>
            <w:r>
              <w:rPr>
                <w:rFonts w:hint="default" w:ascii="Times New Roman" w:hAnsi="Times New Roman" w:cs="Times New Roman"/>
                <w:color w:val="auto"/>
                <w:spacing w:val="0"/>
                <w:w w:val="100"/>
                <w:position w:val="0"/>
                <w:sz w:val="18"/>
                <w:szCs w:val="18"/>
              </w:rPr>
              <w:t>保护第三方合法权益</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19</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19</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W w:w="2592" w:type="dxa"/>
            <w:tcBorders>
              <w:top w:val="single" w:color="auto" w:sz="4" w:space="0"/>
              <w:left w:val="single" w:color="auto" w:sz="4" w:space="0"/>
            </w:tcBorders>
            <w:shd w:val="clear" w:color="auto" w:fill="FFFFFF"/>
            <w:vAlign w:val="bottom"/>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5.</w:t>
            </w:r>
            <w:r>
              <w:rPr>
                <w:rFonts w:hint="default" w:ascii="Times New Roman" w:hAnsi="Times New Roman" w:cs="Times New Roman"/>
                <w:color w:val="auto"/>
                <w:spacing w:val="0"/>
                <w:w w:val="100"/>
                <w:position w:val="0"/>
                <w:sz w:val="18"/>
                <w:szCs w:val="18"/>
              </w:rPr>
              <w:t>属于三类内部事务信息</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89"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W w:w="2592"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6.</w:t>
            </w:r>
            <w:r>
              <w:rPr>
                <w:rFonts w:hint="default" w:ascii="Times New Roman" w:hAnsi="Times New Roman" w:cs="Times New Roman"/>
                <w:color w:val="auto"/>
                <w:spacing w:val="0"/>
                <w:w w:val="100"/>
                <w:position w:val="0"/>
                <w:sz w:val="18"/>
                <w:szCs w:val="18"/>
              </w:rPr>
              <w:t>属于四类过程性信息</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403"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W w:w="2592"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7.</w:t>
            </w:r>
            <w:r>
              <w:rPr>
                <w:rFonts w:hint="default" w:ascii="Times New Roman" w:hAnsi="Times New Roman" w:cs="Times New Roman"/>
                <w:color w:val="auto"/>
                <w:spacing w:val="0"/>
                <w:w w:val="100"/>
                <w:position w:val="0"/>
                <w:sz w:val="18"/>
                <w:szCs w:val="18"/>
              </w:rPr>
              <w:t>属于行政执法案卷</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2</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2</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W w:w="2592" w:type="dxa"/>
            <w:tcBorders>
              <w:top w:val="single" w:color="auto" w:sz="4" w:space="0"/>
              <w:left w:val="single" w:color="auto" w:sz="4" w:space="0"/>
            </w:tcBorders>
            <w:shd w:val="clear" w:color="auto" w:fill="FFFFFF"/>
            <w:vAlign w:val="bottom"/>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8.</w:t>
            </w:r>
            <w:r>
              <w:rPr>
                <w:rFonts w:hint="default" w:ascii="Times New Roman" w:hAnsi="Times New Roman" w:cs="Times New Roman"/>
                <w:color w:val="auto"/>
                <w:spacing w:val="0"/>
                <w:w w:val="100"/>
                <w:position w:val="0"/>
                <w:sz w:val="18"/>
                <w:szCs w:val="18"/>
              </w:rPr>
              <w:t>属于行政查询事项</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1531" w:type="dxa"/>
            <w:vMerge w:val="restart"/>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cs="Times New Roman"/>
                <w:color w:val="auto"/>
                <w:spacing w:val="0"/>
                <w:w w:val="100"/>
                <w:position w:val="0"/>
                <w:sz w:val="18"/>
                <w:szCs w:val="18"/>
              </w:rPr>
              <w:t>（四）无法提供</w:t>
            </w:r>
          </w:p>
        </w:tc>
        <w:tc>
          <w:tcPr>
            <w:tcW w:w="2592"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1.</w:t>
            </w:r>
            <w:r>
              <w:rPr>
                <w:rFonts w:hint="default" w:ascii="Times New Roman" w:hAnsi="Times New Roman" w:cs="Times New Roman"/>
                <w:color w:val="auto"/>
                <w:spacing w:val="0"/>
                <w:w w:val="100"/>
                <w:position w:val="0"/>
                <w:sz w:val="18"/>
                <w:szCs w:val="18"/>
              </w:rPr>
              <w:t>本机关不掌握相关政府信息</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37</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3</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40</w:t>
            </w:r>
          </w:p>
        </w:tc>
      </w:tr>
      <w:tr>
        <w:tblPrEx>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color w:val="auto"/>
              </w:rPr>
            </w:pPr>
          </w:p>
        </w:tc>
        <w:tc>
          <w:tcPr>
            <w:tcW w:w="2592"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2.</w:t>
            </w:r>
            <w:r>
              <w:rPr>
                <w:rFonts w:hint="default" w:ascii="Times New Roman" w:hAnsi="Times New Roman" w:cs="Times New Roman"/>
                <w:color w:val="auto"/>
                <w:spacing w:val="0"/>
                <w:w w:val="100"/>
                <w:position w:val="0"/>
                <w:sz w:val="18"/>
                <w:szCs w:val="18"/>
              </w:rPr>
              <w:t>没有现成信息需要另行制作</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1</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1</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1531" w:type="dxa"/>
            <w:vMerge w:val="continue"/>
            <w:tcBorders>
              <w:left w:val="single" w:color="auto" w:sz="4" w:space="0"/>
              <w:bottom w:val="single" w:color="auto" w:sz="4" w:space="0"/>
            </w:tcBorders>
            <w:shd w:val="clear" w:color="auto" w:fill="FFFFFF"/>
            <w:vAlign w:val="center"/>
          </w:tcPr>
          <w:p>
            <w:pPr>
              <w:rPr>
                <w:rFonts w:hint="default" w:ascii="Times New Roman" w:hAnsi="Times New Roman" w:cs="Times New Roman"/>
                <w:color w:val="auto"/>
              </w:rPr>
            </w:pPr>
          </w:p>
        </w:tc>
        <w:tc>
          <w:tcPr>
            <w:tcW w:w="2592" w:type="dxa"/>
            <w:tcBorders>
              <w:top w:val="single" w:color="auto" w:sz="4" w:space="0"/>
              <w:left w:val="single" w:color="auto" w:sz="4" w:space="0"/>
              <w:bottom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3.</w:t>
            </w:r>
            <w:r>
              <w:rPr>
                <w:rFonts w:hint="default" w:ascii="Times New Roman" w:hAnsi="Times New Roman" w:cs="Times New Roman"/>
                <w:color w:val="auto"/>
                <w:spacing w:val="0"/>
                <w:w w:val="100"/>
                <w:position w:val="0"/>
                <w:sz w:val="18"/>
                <w:szCs w:val="18"/>
              </w:rPr>
              <w:t>补正后申请内容仍不明确</w:t>
            </w:r>
          </w:p>
        </w:tc>
        <w:tc>
          <w:tcPr>
            <w:tcW w:w="624"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41"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1531"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cs="Times New Roman"/>
                <w:color w:val="auto"/>
                <w:spacing w:val="0"/>
                <w:w w:val="100"/>
                <w:position w:val="0"/>
                <w:sz w:val="18"/>
                <w:szCs w:val="18"/>
              </w:rPr>
              <w:t>（五）不予处理</w:t>
            </w:r>
          </w:p>
        </w:tc>
        <w:tc>
          <w:tcPr>
            <w:tcW w:w="2592" w:type="dxa"/>
            <w:tcBorders>
              <w:top w:val="single" w:color="auto" w:sz="4" w:space="0"/>
              <w:left w:val="single" w:color="auto" w:sz="4" w:space="0"/>
              <w:bottom w:val="single" w:color="auto" w:sz="4" w:space="0"/>
              <w:right w:val="single" w:color="auto" w:sz="4" w:space="0"/>
            </w:tcBorders>
            <w:shd w:val="clear" w:color="auto" w:fill="FFFFFF"/>
            <w:vAlign w:val="top"/>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1.</w:t>
            </w:r>
            <w:r>
              <w:rPr>
                <w:rFonts w:hint="default" w:ascii="Times New Roman" w:hAnsi="Times New Roman" w:cs="Times New Roman"/>
                <w:color w:val="auto"/>
                <w:spacing w:val="0"/>
                <w:w w:val="100"/>
                <w:position w:val="0"/>
                <w:sz w:val="18"/>
                <w:szCs w:val="18"/>
              </w:rPr>
              <w:t>信访举报投诉类申请</w:t>
            </w:r>
          </w:p>
        </w:tc>
        <w:tc>
          <w:tcPr>
            <w:tcW w:w="62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3</w:t>
            </w:r>
          </w:p>
        </w:tc>
        <w:tc>
          <w:tcPr>
            <w:tcW w:w="562"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3</w:t>
            </w:r>
          </w:p>
        </w:tc>
      </w:tr>
      <w:tr>
        <w:tblPrEx>
          <w:tblCellMar>
            <w:top w:w="0" w:type="dxa"/>
            <w:left w:w="10" w:type="dxa"/>
            <w:bottom w:w="0" w:type="dxa"/>
            <w:right w:w="10" w:type="dxa"/>
          </w:tblCellMar>
        </w:tblPrEx>
        <w:trPr>
          <w:trHeight w:val="341"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1531" w:type="dxa"/>
            <w:vMerge w:val="continue"/>
            <w:tcBorders>
              <w:top w:val="single" w:color="auto" w:sz="4" w:space="0"/>
              <w:left w:val="single" w:color="auto" w:sz="4" w:space="0"/>
              <w:bottom w:val="single" w:color="auto" w:sz="4" w:space="0"/>
              <w:right w:val="single" w:color="auto" w:sz="4" w:space="0"/>
            </w:tcBorders>
            <w:shd w:val="clear" w:color="auto" w:fill="FFFFFF"/>
            <w:vAlign w:val="center"/>
          </w:tcPr>
          <w:p>
            <w:pPr>
              <w:rPr>
                <w:rFonts w:hint="default" w:ascii="Times New Roman" w:hAnsi="Times New Roman" w:cs="Times New Roman"/>
                <w:color w:val="auto"/>
              </w:rPr>
            </w:pPr>
          </w:p>
        </w:tc>
        <w:tc>
          <w:tcPr>
            <w:tcW w:w="2592" w:type="dxa"/>
            <w:tcBorders>
              <w:top w:val="single" w:color="auto" w:sz="4" w:space="0"/>
              <w:left w:val="single" w:color="auto" w:sz="4" w:space="0"/>
              <w:bottom w:val="single" w:color="auto" w:sz="4" w:space="0"/>
              <w:right w:val="single" w:color="auto" w:sz="4" w:space="0"/>
            </w:tcBorders>
            <w:shd w:val="clear" w:color="auto" w:fill="FFFFFF"/>
            <w:vAlign w:val="top"/>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2.</w:t>
            </w:r>
            <w:r>
              <w:rPr>
                <w:rFonts w:hint="default" w:ascii="Times New Roman" w:hAnsi="Times New Roman" w:cs="Times New Roman"/>
                <w:color w:val="auto"/>
                <w:spacing w:val="0"/>
                <w:w w:val="100"/>
                <w:position w:val="0"/>
                <w:sz w:val="18"/>
                <w:szCs w:val="18"/>
              </w:rPr>
              <w:t>重复申请</w:t>
            </w:r>
          </w:p>
        </w:tc>
        <w:tc>
          <w:tcPr>
            <w:tcW w:w="62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36"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1531" w:type="dxa"/>
            <w:vMerge w:val="continue"/>
            <w:tcBorders>
              <w:top w:val="single" w:color="auto" w:sz="4" w:space="0"/>
              <w:left w:val="single" w:color="auto" w:sz="4" w:space="0"/>
              <w:bottom w:val="single" w:color="auto" w:sz="4" w:space="0"/>
              <w:right w:val="single" w:color="auto" w:sz="4" w:space="0"/>
            </w:tcBorders>
            <w:shd w:val="clear" w:color="auto" w:fill="FFFFFF"/>
            <w:vAlign w:val="center"/>
          </w:tcPr>
          <w:p>
            <w:pPr>
              <w:rPr>
                <w:rFonts w:hint="default" w:ascii="Times New Roman" w:hAnsi="Times New Roman" w:cs="Times New Roman"/>
                <w:color w:val="auto"/>
              </w:rPr>
            </w:pPr>
          </w:p>
        </w:tc>
        <w:tc>
          <w:tcPr>
            <w:tcW w:w="2592" w:type="dxa"/>
            <w:tcBorders>
              <w:top w:val="single" w:color="auto" w:sz="4" w:space="0"/>
              <w:left w:val="single" w:color="auto" w:sz="4" w:space="0"/>
              <w:bottom w:val="single" w:color="auto" w:sz="4" w:space="0"/>
              <w:right w:val="single" w:color="auto" w:sz="4" w:space="0"/>
            </w:tcBorders>
            <w:shd w:val="clear" w:color="auto" w:fill="FFFFFF"/>
            <w:vAlign w:val="top"/>
          </w:tcPr>
          <w:p>
            <w:pPr>
              <w:pStyle w:val="11"/>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3.</w:t>
            </w:r>
            <w:r>
              <w:rPr>
                <w:rFonts w:hint="default" w:ascii="Times New Roman" w:hAnsi="Times New Roman" w:cs="Times New Roman"/>
                <w:color w:val="auto"/>
                <w:spacing w:val="0"/>
                <w:w w:val="100"/>
                <w:position w:val="0"/>
                <w:sz w:val="18"/>
                <w:szCs w:val="18"/>
              </w:rPr>
              <w:t>要求提供公开出版物</w:t>
            </w:r>
          </w:p>
        </w:tc>
        <w:tc>
          <w:tcPr>
            <w:tcW w:w="62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566"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1531" w:type="dxa"/>
            <w:vMerge w:val="continue"/>
            <w:tcBorders>
              <w:top w:val="single" w:color="auto" w:sz="4" w:space="0"/>
              <w:left w:val="single" w:color="auto" w:sz="4" w:space="0"/>
              <w:bottom w:val="single" w:color="auto" w:sz="4" w:space="0"/>
              <w:right w:val="single" w:color="auto" w:sz="4" w:space="0"/>
            </w:tcBorders>
            <w:shd w:val="clear" w:color="auto" w:fill="FFFFFF"/>
            <w:vAlign w:val="center"/>
          </w:tcPr>
          <w:p>
            <w:pPr>
              <w:rPr>
                <w:rFonts w:hint="default" w:ascii="Times New Roman" w:hAnsi="Times New Roman" w:cs="Times New Roman"/>
                <w:color w:val="auto"/>
              </w:rPr>
            </w:pPr>
          </w:p>
        </w:tc>
        <w:tc>
          <w:tcPr>
            <w:tcW w:w="259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1"/>
              <w:keepNext w:val="0"/>
              <w:keepLines w:val="0"/>
              <w:widowControl w:val="0"/>
              <w:shd w:val="clear" w:color="auto" w:fill="auto"/>
              <w:bidi w:val="0"/>
              <w:spacing w:before="0" w:after="0" w:line="293" w:lineRule="exact"/>
              <w:ind w:left="400" w:right="0" w:hanging="400"/>
              <w:jc w:val="left"/>
              <w:rPr>
                <w:rFonts w:hint="default" w:ascii="Times New Roman" w:hAnsi="Times New Roman" w:cs="Times New Roman"/>
                <w:color w:val="auto"/>
                <w:sz w:val="18"/>
                <w:szCs w:val="18"/>
              </w:rPr>
            </w:pPr>
            <w:r>
              <w:rPr>
                <w:rFonts w:hint="default" w:ascii="Times New Roman" w:hAnsi="Times New Roman" w:eastAsia="Times New Roman" w:cs="Times New Roman"/>
                <w:color w:val="auto"/>
                <w:spacing w:val="0"/>
                <w:w w:val="100"/>
                <w:position w:val="0"/>
                <w:sz w:val="20"/>
                <w:szCs w:val="20"/>
                <w:lang w:val="en-US" w:eastAsia="en-US" w:bidi="en-US"/>
              </w:rPr>
              <w:t>4.</w:t>
            </w:r>
            <w:r>
              <w:rPr>
                <w:rFonts w:hint="default" w:ascii="Times New Roman" w:hAnsi="Times New Roman" w:cs="Times New Roman"/>
                <w:color w:val="auto"/>
                <w:spacing w:val="0"/>
                <w:w w:val="100"/>
                <w:position w:val="0"/>
                <w:sz w:val="18"/>
                <w:szCs w:val="18"/>
              </w:rPr>
              <w:t>无正当理由大量反复申请</w:t>
            </w:r>
          </w:p>
        </w:tc>
        <w:tc>
          <w:tcPr>
            <w:tcW w:w="62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571"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1531" w:type="dxa"/>
            <w:vMerge w:val="continue"/>
            <w:tcBorders>
              <w:top w:val="single" w:color="auto" w:sz="4" w:space="0"/>
              <w:left w:val="single" w:color="auto" w:sz="4" w:space="0"/>
              <w:bottom w:val="single" w:color="auto" w:sz="4" w:space="0"/>
              <w:right w:val="single" w:color="auto" w:sz="4" w:space="0"/>
            </w:tcBorders>
            <w:shd w:val="clear" w:color="auto" w:fill="FFFFFF"/>
            <w:vAlign w:val="center"/>
          </w:tcPr>
          <w:p>
            <w:pPr>
              <w:rPr>
                <w:rFonts w:hint="default" w:ascii="Times New Roman" w:hAnsi="Times New Roman" w:cs="Times New Roman"/>
                <w:color w:val="auto"/>
              </w:rPr>
            </w:pPr>
          </w:p>
        </w:tc>
        <w:tc>
          <w:tcPr>
            <w:tcW w:w="2592" w:type="dxa"/>
            <w:tcBorders>
              <w:top w:val="single" w:color="auto" w:sz="4" w:space="0"/>
              <w:left w:val="single" w:color="auto" w:sz="4" w:space="0"/>
              <w:bottom w:val="single" w:color="auto" w:sz="4" w:space="0"/>
              <w:right w:val="single" w:color="auto" w:sz="4" w:space="0"/>
            </w:tcBorders>
            <w:shd w:val="clear" w:color="auto" w:fill="FFFFFF"/>
            <w:vAlign w:val="top"/>
          </w:tcPr>
          <w:p>
            <w:pPr>
              <w:pStyle w:val="11"/>
              <w:keepNext w:val="0"/>
              <w:keepLines w:val="0"/>
              <w:widowControl w:val="0"/>
              <w:shd w:val="clear" w:color="auto" w:fill="auto"/>
              <w:bidi w:val="0"/>
              <w:spacing w:before="0" w:after="0" w:line="278" w:lineRule="exact"/>
              <w:ind w:left="340" w:right="0" w:hanging="340"/>
              <w:jc w:val="left"/>
              <w:rPr>
                <w:rFonts w:hint="default" w:ascii="Times New Roman" w:hAnsi="Times New Roman" w:eastAsia="宋体" w:cs="Times New Roman"/>
                <w:color w:val="auto"/>
                <w:sz w:val="18"/>
                <w:szCs w:val="18"/>
                <w:lang w:val="en-US" w:eastAsia="zh-CN"/>
              </w:rPr>
            </w:pPr>
            <w:r>
              <w:rPr>
                <w:rFonts w:hint="default" w:ascii="Times New Roman" w:hAnsi="Times New Roman" w:eastAsia="Times New Roman" w:cs="Times New Roman"/>
                <w:color w:val="auto"/>
                <w:spacing w:val="0"/>
                <w:w w:val="100"/>
                <w:position w:val="0"/>
                <w:sz w:val="20"/>
                <w:szCs w:val="20"/>
                <w:lang w:val="en-US" w:eastAsia="en-US" w:bidi="en-US"/>
              </w:rPr>
              <w:t>5.</w:t>
            </w:r>
            <w:r>
              <w:rPr>
                <w:rFonts w:hint="default" w:ascii="Times New Roman" w:hAnsi="Times New Roman" w:cs="Times New Roman"/>
                <w:color w:val="auto"/>
                <w:spacing w:val="0"/>
                <w:w w:val="100"/>
                <w:position w:val="0"/>
                <w:sz w:val="20"/>
                <w:szCs w:val="20"/>
                <w:lang w:val="en-US" w:eastAsia="zh-CN" w:bidi="en-US"/>
              </w:rPr>
              <w:t>要求行政机关确认或重新出具已获取信息</w:t>
            </w:r>
          </w:p>
        </w:tc>
        <w:tc>
          <w:tcPr>
            <w:tcW w:w="62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r>
        <w:tblPrEx>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412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cs="Times New Roman"/>
                <w:color w:val="auto"/>
                <w:spacing w:val="0"/>
                <w:w w:val="100"/>
                <w:position w:val="0"/>
                <w:sz w:val="18"/>
                <w:szCs w:val="18"/>
              </w:rPr>
              <w:t>（六）其他处理</w:t>
            </w:r>
          </w:p>
        </w:tc>
        <w:tc>
          <w:tcPr>
            <w:tcW w:w="62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4</w:t>
            </w:r>
          </w:p>
        </w:tc>
        <w:tc>
          <w:tcPr>
            <w:tcW w:w="562"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4</w:t>
            </w:r>
          </w:p>
        </w:tc>
      </w:tr>
      <w:tr>
        <w:tblPrEx>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color w:val="auto"/>
              </w:rPr>
            </w:pPr>
          </w:p>
        </w:tc>
        <w:tc>
          <w:tcPr>
            <w:tcW w:w="412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18"/>
                <w:szCs w:val="18"/>
              </w:rPr>
            </w:pPr>
            <w:r>
              <w:rPr>
                <w:rFonts w:hint="default" w:ascii="Times New Roman" w:hAnsi="Times New Roman" w:cs="Times New Roman"/>
                <w:color w:val="auto"/>
                <w:spacing w:val="0"/>
                <w:w w:val="100"/>
                <w:position w:val="0"/>
                <w:sz w:val="18"/>
                <w:szCs w:val="18"/>
              </w:rPr>
              <w:t>（七）总计</w:t>
            </w:r>
          </w:p>
        </w:tc>
        <w:tc>
          <w:tcPr>
            <w:tcW w:w="62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85</w:t>
            </w:r>
          </w:p>
        </w:tc>
        <w:tc>
          <w:tcPr>
            <w:tcW w:w="562"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3</w:t>
            </w:r>
          </w:p>
        </w:tc>
        <w:tc>
          <w:tcPr>
            <w:tcW w:w="562"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88</w:t>
            </w:r>
          </w:p>
        </w:tc>
      </w:tr>
      <w:tr>
        <w:tblPrEx>
          <w:tblCellMar>
            <w:top w:w="0" w:type="dxa"/>
            <w:left w:w="10" w:type="dxa"/>
            <w:bottom w:w="0" w:type="dxa"/>
            <w:right w:w="10" w:type="dxa"/>
          </w:tblCellMar>
        </w:tblPrEx>
        <w:trPr>
          <w:trHeight w:val="466" w:hRule="exact"/>
          <w:jc w:val="center"/>
        </w:trPr>
        <w:tc>
          <w:tcPr>
            <w:tcW w:w="4641" w:type="dxa"/>
            <w:gridSpan w:val="3"/>
            <w:tcBorders>
              <w:top w:val="single" w:color="auto" w:sz="4" w:space="0"/>
              <w:left w:val="single" w:color="auto" w:sz="4" w:space="0"/>
              <w:bottom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四、结转下年度继续办理</w:t>
            </w:r>
          </w:p>
        </w:tc>
        <w:tc>
          <w:tcPr>
            <w:tcW w:w="624"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3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bl>
    <w:p>
      <w:pPr>
        <w:pStyle w:val="10"/>
        <w:keepNext w:val="0"/>
        <w:keepLines w:val="0"/>
        <w:pageBreakBefore w:val="0"/>
        <w:widowControl w:val="0"/>
        <w:shd w:val="clear" w:color="auto" w:fill="auto"/>
        <w:kinsoku/>
        <w:wordWrap/>
        <w:overflowPunct/>
        <w:topLinePunct w:val="0"/>
        <w:autoSpaceDE/>
        <w:autoSpaceDN/>
        <w:bidi w:val="0"/>
        <w:adjustRightInd/>
        <w:snapToGrid/>
        <w:spacing w:before="0" w:after="240" w:line="600" w:lineRule="exact"/>
        <w:ind w:left="0" w:right="0" w:firstLine="640" w:firstLineChars="200"/>
        <w:jc w:val="left"/>
        <w:textAlignment w:val="auto"/>
        <w:rPr>
          <w:rFonts w:hint="default" w:ascii="Times New Roman" w:hAnsi="Times New Roman" w:eastAsia="黑体" w:cs="Times New Roman"/>
          <w:color w:val="auto"/>
          <w:sz w:val="32"/>
          <w:szCs w:val="32"/>
        </w:rPr>
      </w:pPr>
      <w:bookmarkStart w:id="0" w:name="bookmark21"/>
      <w:r>
        <w:rPr>
          <w:rFonts w:hint="default" w:ascii="Times New Roman" w:hAnsi="Times New Roman" w:eastAsia="黑体" w:cs="Times New Roman"/>
          <w:color w:val="auto"/>
          <w:spacing w:val="0"/>
          <w:w w:val="100"/>
          <w:position w:val="0"/>
          <w:sz w:val="32"/>
          <w:szCs w:val="32"/>
        </w:rPr>
        <w:t>四</w:t>
      </w:r>
      <w:bookmarkEnd w:id="0"/>
      <w:r>
        <w:rPr>
          <w:rFonts w:hint="default" w:ascii="Times New Roman" w:hAnsi="Times New Roman" w:eastAsia="黑体" w:cs="Times New Roman"/>
          <w:color w:val="auto"/>
          <w:spacing w:val="0"/>
          <w:w w:val="100"/>
          <w:position w:val="0"/>
          <w:sz w:val="32"/>
          <w:szCs w:val="32"/>
        </w:rPr>
        <w:t>、政府信息公开行政复议、行政诉讼情况</w:t>
      </w:r>
    </w:p>
    <w:tbl>
      <w:tblPr>
        <w:tblStyle w:val="8"/>
        <w:tblW w:w="8737" w:type="dxa"/>
        <w:jc w:val="center"/>
        <w:tblLayout w:type="fixed"/>
        <w:tblCellMar>
          <w:top w:w="0" w:type="dxa"/>
          <w:left w:w="10" w:type="dxa"/>
          <w:bottom w:w="0" w:type="dxa"/>
          <w:right w:w="10" w:type="dxa"/>
        </w:tblCellMar>
      </w:tblPr>
      <w:tblGrid>
        <w:gridCol w:w="629"/>
        <w:gridCol w:w="629"/>
        <w:gridCol w:w="624"/>
        <w:gridCol w:w="624"/>
        <w:gridCol w:w="562"/>
        <w:gridCol w:w="562"/>
        <w:gridCol w:w="571"/>
        <w:gridCol w:w="562"/>
        <w:gridCol w:w="566"/>
        <w:gridCol w:w="566"/>
        <w:gridCol w:w="562"/>
        <w:gridCol w:w="571"/>
        <w:gridCol w:w="562"/>
        <w:gridCol w:w="566"/>
        <w:gridCol w:w="581"/>
      </w:tblGrid>
      <w:tr>
        <w:tblPrEx>
          <w:tblCellMar>
            <w:top w:w="0" w:type="dxa"/>
            <w:left w:w="10" w:type="dxa"/>
            <w:bottom w:w="0" w:type="dxa"/>
            <w:right w:w="10" w:type="dxa"/>
          </w:tblCellMar>
        </w:tblPrEx>
        <w:trPr>
          <w:trHeight w:val="466" w:hRule="exact"/>
          <w:jc w:val="center"/>
        </w:trPr>
        <w:tc>
          <w:tcPr>
            <w:tcW w:w="3068" w:type="dxa"/>
            <w:gridSpan w:val="5"/>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行政复议</w:t>
            </w:r>
          </w:p>
        </w:tc>
        <w:tc>
          <w:tcPr>
            <w:tcW w:w="5669" w:type="dxa"/>
            <w:gridSpan w:val="10"/>
            <w:tcBorders>
              <w:top w:val="single" w:color="auto" w:sz="4" w:space="0"/>
              <w:left w:val="single" w:color="auto" w:sz="4" w:space="0"/>
              <w:righ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行政诉讼</w:t>
            </w:r>
          </w:p>
        </w:tc>
      </w:tr>
      <w:tr>
        <w:tblPrEx>
          <w:tblCellMar>
            <w:top w:w="0" w:type="dxa"/>
            <w:left w:w="10" w:type="dxa"/>
            <w:bottom w:w="0" w:type="dxa"/>
            <w:right w:w="10" w:type="dxa"/>
          </w:tblCellMar>
        </w:tblPrEx>
        <w:trPr>
          <w:trHeight w:val="456" w:hRule="exact"/>
          <w:jc w:val="center"/>
        </w:trPr>
        <w:tc>
          <w:tcPr>
            <w:tcW w:w="629" w:type="dxa"/>
            <w:vMerge w:val="restart"/>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结果 维持</w:t>
            </w:r>
          </w:p>
        </w:tc>
        <w:tc>
          <w:tcPr>
            <w:tcW w:w="629" w:type="dxa"/>
            <w:vMerge w:val="restart"/>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54"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结果 纠正</w:t>
            </w:r>
          </w:p>
        </w:tc>
        <w:tc>
          <w:tcPr>
            <w:tcW w:w="624" w:type="dxa"/>
            <w:vMerge w:val="restart"/>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其他 结果</w:t>
            </w:r>
          </w:p>
        </w:tc>
        <w:tc>
          <w:tcPr>
            <w:tcW w:w="624" w:type="dxa"/>
            <w:vMerge w:val="restart"/>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尚未 审结</w:t>
            </w:r>
          </w:p>
        </w:tc>
        <w:tc>
          <w:tcPr>
            <w:tcW w:w="562" w:type="dxa"/>
            <w:vMerge w:val="restart"/>
            <w:tcBorders>
              <w:top w:val="single" w:color="auto" w:sz="4" w:space="0"/>
              <w:left w:val="single" w:color="auto" w:sz="4" w:space="0"/>
            </w:tcBorders>
            <w:shd w:val="clear" w:color="auto" w:fill="FFFFFF"/>
            <w:textDirection w:val="tbRlV"/>
            <w:vAlign w:val="center"/>
          </w:tcPr>
          <w:p>
            <w:pPr>
              <w:pStyle w:val="12"/>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rPr>
            </w:pPr>
            <w:r>
              <w:rPr>
                <w:rFonts w:hint="default" w:ascii="Times New Roman" w:hAnsi="Times New Roman" w:cs="Times New Roman"/>
                <w:color w:val="auto"/>
                <w:spacing w:val="0"/>
                <w:w w:val="100"/>
                <w:position w:val="0"/>
              </w:rPr>
              <w:t>总计</w:t>
            </w:r>
          </w:p>
        </w:tc>
        <w:tc>
          <w:tcPr>
            <w:tcW w:w="2827" w:type="dxa"/>
            <w:gridSpan w:val="5"/>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未经复议直接起诉</w:t>
            </w:r>
          </w:p>
        </w:tc>
        <w:tc>
          <w:tcPr>
            <w:tcW w:w="2842" w:type="dxa"/>
            <w:gridSpan w:val="5"/>
            <w:tcBorders>
              <w:top w:val="single" w:color="auto" w:sz="4" w:space="0"/>
              <w:left w:val="single" w:color="auto" w:sz="4" w:space="0"/>
              <w:right w:val="single" w:color="auto" w:sz="4" w:space="0"/>
            </w:tcBorders>
            <w:shd w:val="clear" w:color="auto" w:fill="FFFFFF"/>
            <w:vAlign w:val="center"/>
          </w:tcPr>
          <w:p>
            <w:pPr>
              <w:pStyle w:val="11"/>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复议后起诉</w:t>
            </w:r>
          </w:p>
        </w:tc>
      </w:tr>
      <w:tr>
        <w:tblPrEx>
          <w:tblCellMar>
            <w:top w:w="0" w:type="dxa"/>
            <w:left w:w="10" w:type="dxa"/>
            <w:bottom w:w="0" w:type="dxa"/>
            <w:right w:w="10" w:type="dxa"/>
          </w:tblCellMar>
        </w:tblPrEx>
        <w:trPr>
          <w:trHeight w:val="850" w:hRule="exact"/>
          <w:jc w:val="center"/>
        </w:trPr>
        <w:tc>
          <w:tcPr>
            <w:tcW w:w="629" w:type="dxa"/>
            <w:vMerge w:val="continue"/>
            <w:tcBorders>
              <w:left w:val="single" w:color="auto" w:sz="4" w:space="0"/>
            </w:tcBorders>
            <w:shd w:val="clear" w:color="auto" w:fill="FFFFFF"/>
            <w:vAlign w:val="center"/>
          </w:tcPr>
          <w:p>
            <w:pPr>
              <w:jc w:val="center"/>
              <w:rPr>
                <w:rFonts w:hint="default" w:ascii="Times New Roman" w:hAnsi="Times New Roman" w:cs="Times New Roman"/>
                <w:color w:val="auto"/>
              </w:rPr>
            </w:pPr>
          </w:p>
        </w:tc>
        <w:tc>
          <w:tcPr>
            <w:tcW w:w="629" w:type="dxa"/>
            <w:vMerge w:val="continue"/>
            <w:tcBorders>
              <w:left w:val="single" w:color="auto" w:sz="4" w:space="0"/>
            </w:tcBorders>
            <w:shd w:val="clear" w:color="auto" w:fill="FFFFFF"/>
            <w:vAlign w:val="center"/>
          </w:tcPr>
          <w:p>
            <w:pPr>
              <w:jc w:val="center"/>
              <w:rPr>
                <w:rFonts w:hint="default" w:ascii="Times New Roman" w:hAnsi="Times New Roman" w:cs="Times New Roman"/>
                <w:color w:val="auto"/>
              </w:rPr>
            </w:pPr>
          </w:p>
        </w:tc>
        <w:tc>
          <w:tcPr>
            <w:tcW w:w="624" w:type="dxa"/>
            <w:vMerge w:val="continue"/>
            <w:tcBorders>
              <w:left w:val="single" w:color="auto" w:sz="4" w:space="0"/>
            </w:tcBorders>
            <w:shd w:val="clear" w:color="auto" w:fill="FFFFFF"/>
            <w:vAlign w:val="center"/>
          </w:tcPr>
          <w:p>
            <w:pPr>
              <w:jc w:val="center"/>
              <w:rPr>
                <w:rFonts w:hint="default" w:ascii="Times New Roman" w:hAnsi="Times New Roman" w:cs="Times New Roman"/>
                <w:color w:val="auto"/>
              </w:rPr>
            </w:pPr>
          </w:p>
        </w:tc>
        <w:tc>
          <w:tcPr>
            <w:tcW w:w="624" w:type="dxa"/>
            <w:vMerge w:val="continue"/>
            <w:tcBorders>
              <w:left w:val="single" w:color="auto" w:sz="4" w:space="0"/>
            </w:tcBorders>
            <w:shd w:val="clear" w:color="auto" w:fill="FFFFFF"/>
            <w:vAlign w:val="center"/>
          </w:tcPr>
          <w:p>
            <w:pPr>
              <w:jc w:val="center"/>
              <w:rPr>
                <w:rFonts w:hint="default" w:ascii="Times New Roman" w:hAnsi="Times New Roman" w:cs="Times New Roman"/>
                <w:color w:val="auto"/>
              </w:rPr>
            </w:pPr>
          </w:p>
        </w:tc>
        <w:tc>
          <w:tcPr>
            <w:tcW w:w="562" w:type="dxa"/>
            <w:vMerge w:val="continue"/>
            <w:tcBorders>
              <w:left w:val="single" w:color="auto" w:sz="4" w:space="0"/>
            </w:tcBorders>
            <w:shd w:val="clear" w:color="auto" w:fill="FFFFFF"/>
            <w:textDirection w:val="tbRlV"/>
            <w:vAlign w:val="center"/>
          </w:tcPr>
          <w:p>
            <w:pPr>
              <w:jc w:val="center"/>
              <w:rPr>
                <w:rFonts w:hint="default" w:ascii="Times New Roman" w:hAnsi="Times New Roman" w:cs="Times New Roman"/>
                <w:color w:val="auto"/>
              </w:rPr>
            </w:pPr>
          </w:p>
        </w:tc>
        <w:tc>
          <w:tcPr>
            <w:tcW w:w="562"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结果 维持</w:t>
            </w:r>
          </w:p>
        </w:tc>
        <w:tc>
          <w:tcPr>
            <w:tcW w:w="571"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54"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结果 纠正</w:t>
            </w:r>
          </w:p>
        </w:tc>
        <w:tc>
          <w:tcPr>
            <w:tcW w:w="562"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其他 结果</w:t>
            </w:r>
          </w:p>
        </w:tc>
        <w:tc>
          <w:tcPr>
            <w:tcW w:w="566"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尚未 审结</w:t>
            </w:r>
          </w:p>
        </w:tc>
        <w:tc>
          <w:tcPr>
            <w:tcW w:w="566" w:type="dxa"/>
            <w:tcBorders>
              <w:top w:val="single" w:color="auto" w:sz="4" w:space="0"/>
              <w:left w:val="single" w:color="auto" w:sz="4" w:space="0"/>
            </w:tcBorders>
            <w:shd w:val="clear" w:color="auto" w:fill="FFFFFF"/>
            <w:textDirection w:val="tbRlV"/>
            <w:vAlign w:val="center"/>
          </w:tcPr>
          <w:p>
            <w:pPr>
              <w:pStyle w:val="12"/>
              <w:keepNext w:val="0"/>
              <w:keepLines w:val="0"/>
              <w:widowControl w:val="0"/>
              <w:shd w:val="clear" w:color="auto" w:fill="auto"/>
              <w:bidi w:val="0"/>
              <w:spacing w:before="160" w:after="0" w:line="240" w:lineRule="auto"/>
              <w:ind w:left="0" w:right="0" w:firstLine="220"/>
              <w:jc w:val="center"/>
              <w:rPr>
                <w:rFonts w:hint="default" w:ascii="Times New Roman" w:hAnsi="Times New Roman" w:cs="Times New Roman"/>
                <w:color w:val="auto"/>
              </w:rPr>
            </w:pPr>
            <w:r>
              <w:rPr>
                <w:rFonts w:hint="default" w:ascii="Times New Roman" w:hAnsi="Times New Roman" w:cs="Times New Roman"/>
                <w:color w:val="auto"/>
                <w:spacing w:val="0"/>
                <w:w w:val="100"/>
                <w:position w:val="0"/>
              </w:rPr>
              <w:t>总计</w:t>
            </w:r>
          </w:p>
        </w:tc>
        <w:tc>
          <w:tcPr>
            <w:tcW w:w="562"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结果 维持</w:t>
            </w:r>
          </w:p>
        </w:tc>
        <w:tc>
          <w:tcPr>
            <w:tcW w:w="571"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结果 纠正</w:t>
            </w:r>
          </w:p>
        </w:tc>
        <w:tc>
          <w:tcPr>
            <w:tcW w:w="562"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64"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其他 结果</w:t>
            </w:r>
          </w:p>
        </w:tc>
        <w:tc>
          <w:tcPr>
            <w:tcW w:w="566" w:type="dxa"/>
            <w:tcBorders>
              <w:top w:val="single" w:color="auto" w:sz="4" w:space="0"/>
              <w:left w:val="single" w:color="auto" w:sz="4" w:space="0"/>
            </w:tcBorders>
            <w:shd w:val="clear" w:color="auto" w:fill="FFFFFF"/>
            <w:vAlign w:val="center"/>
          </w:tcPr>
          <w:p>
            <w:pPr>
              <w:pStyle w:val="11"/>
              <w:keepNext w:val="0"/>
              <w:keepLines w:val="0"/>
              <w:widowControl w:val="0"/>
              <w:shd w:val="clear" w:color="auto" w:fill="auto"/>
              <w:bidi w:val="0"/>
              <w:spacing w:before="0" w:after="0" w:line="264" w:lineRule="exact"/>
              <w:ind w:left="0" w:right="0" w:firstLine="0"/>
              <w:jc w:val="center"/>
              <w:rPr>
                <w:rFonts w:hint="default" w:ascii="Times New Roman" w:hAnsi="Times New Roman" w:cs="Times New Roman"/>
                <w:color w:val="auto"/>
                <w:sz w:val="20"/>
                <w:szCs w:val="20"/>
              </w:rPr>
            </w:pPr>
            <w:r>
              <w:rPr>
                <w:rFonts w:hint="default" w:ascii="Times New Roman" w:hAnsi="Times New Roman" w:cs="Times New Roman"/>
                <w:color w:val="auto"/>
                <w:spacing w:val="0"/>
                <w:w w:val="100"/>
                <w:position w:val="0"/>
                <w:sz w:val="20"/>
                <w:szCs w:val="20"/>
              </w:rPr>
              <w:t>尚未 审结</w:t>
            </w:r>
          </w:p>
        </w:tc>
        <w:tc>
          <w:tcPr>
            <w:tcW w:w="581" w:type="dxa"/>
            <w:tcBorders>
              <w:top w:val="single" w:color="auto" w:sz="4" w:space="0"/>
              <w:left w:val="single" w:color="auto" w:sz="4" w:space="0"/>
              <w:right w:val="single" w:color="auto" w:sz="4" w:space="0"/>
            </w:tcBorders>
            <w:shd w:val="clear" w:color="auto" w:fill="FFFFFF"/>
            <w:textDirection w:val="tbRlV"/>
            <w:vAlign w:val="center"/>
          </w:tcPr>
          <w:p>
            <w:pPr>
              <w:pStyle w:val="12"/>
              <w:keepNext w:val="0"/>
              <w:keepLines w:val="0"/>
              <w:widowControl w:val="0"/>
              <w:shd w:val="clear" w:color="auto" w:fill="auto"/>
              <w:bidi w:val="0"/>
              <w:spacing w:before="180" w:after="0" w:line="240" w:lineRule="auto"/>
              <w:ind w:left="0" w:right="0" w:firstLine="220"/>
              <w:jc w:val="center"/>
              <w:rPr>
                <w:rFonts w:hint="default" w:ascii="Times New Roman" w:hAnsi="Times New Roman" w:cs="Times New Roman"/>
                <w:color w:val="auto"/>
              </w:rPr>
            </w:pPr>
            <w:r>
              <w:rPr>
                <w:rFonts w:hint="default" w:ascii="Times New Roman" w:hAnsi="Times New Roman" w:cs="Times New Roman"/>
                <w:color w:val="auto"/>
                <w:spacing w:val="0"/>
                <w:w w:val="100"/>
                <w:position w:val="0"/>
              </w:rPr>
              <w:t>总计</w:t>
            </w:r>
          </w:p>
        </w:tc>
      </w:tr>
      <w:tr>
        <w:tblPrEx>
          <w:tblCellMar>
            <w:top w:w="0" w:type="dxa"/>
            <w:left w:w="10" w:type="dxa"/>
            <w:bottom w:w="0" w:type="dxa"/>
            <w:right w:w="10" w:type="dxa"/>
          </w:tblCellMar>
        </w:tblPrEx>
        <w:trPr>
          <w:trHeight w:val="355" w:hRule="exact"/>
          <w:jc w:val="center"/>
        </w:trPr>
        <w:tc>
          <w:tcPr>
            <w:tcW w:w="629"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1</w:t>
            </w:r>
          </w:p>
        </w:tc>
        <w:tc>
          <w:tcPr>
            <w:tcW w:w="629"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24"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624"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eastAsia" w:ascii="Times New Roman" w:hAnsi="Times New Roman" w:cs="Times New Roman"/>
                <w:color w:val="auto"/>
                <w:sz w:val="22"/>
                <w:szCs w:val="22"/>
                <w:lang w:val="en-US" w:eastAsia="zh-CN"/>
              </w:rPr>
              <w:t>1</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71"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71"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c>
          <w:tcPr>
            <w:tcW w:w="581"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color w:val="auto"/>
                <w:sz w:val="22"/>
                <w:szCs w:val="22"/>
                <w:lang w:val="en-US" w:eastAsia="zh-CN"/>
              </w:rPr>
            </w:pPr>
            <w:r>
              <w:rPr>
                <w:rFonts w:hint="default" w:ascii="Times New Roman" w:hAnsi="Times New Roman" w:cs="Times New Roman"/>
                <w:color w:val="auto"/>
                <w:sz w:val="22"/>
                <w:szCs w:val="22"/>
                <w:lang w:val="en-US" w:eastAsia="zh-CN"/>
              </w:rPr>
              <w:t>0</w:t>
            </w:r>
          </w:p>
        </w:tc>
      </w:tr>
    </w:tbl>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color w:val="auto"/>
          <w:sz w:val="32"/>
          <w:szCs w:val="32"/>
          <w:highlight w:val="none"/>
          <w:lang w:eastAsia="zh-CN"/>
        </w:rPr>
      </w:pPr>
      <w:r>
        <w:rPr>
          <w:rFonts w:hint="default" w:ascii="Times New Roman" w:hAnsi="Times New Roman" w:eastAsia="黑体" w:cs="Times New Roman"/>
          <w:color w:val="auto"/>
          <w:sz w:val="32"/>
          <w:szCs w:val="32"/>
          <w:highlight w:val="none"/>
          <w:lang w:eastAsia="zh-CN"/>
        </w:rPr>
        <w:t xml:space="preserve">存在的主要问题及改进情况 </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2" w:firstLineChars="200"/>
        <w:textAlignment w:val="auto"/>
        <w:rPr>
          <w:rFonts w:hint="eastAsia" w:ascii="楷体_GB2312" w:hAnsi="楷体_GB2312" w:eastAsia="楷体_GB2312" w:cs="楷体_GB2312"/>
          <w:b/>
          <w:bCs/>
          <w:color w:val="auto"/>
          <w:sz w:val="32"/>
          <w:szCs w:val="32"/>
          <w:lang w:val="en-US" w:eastAsia="zh-CN"/>
        </w:rPr>
      </w:pPr>
      <w:r>
        <w:rPr>
          <w:rFonts w:hint="eastAsia" w:ascii="楷体_GB2312" w:hAnsi="楷体_GB2312" w:eastAsia="楷体_GB2312" w:cs="楷体_GB2312"/>
          <w:b/>
          <w:bCs/>
          <w:color w:val="auto"/>
          <w:sz w:val="32"/>
          <w:szCs w:val="32"/>
          <w:lang w:val="en-US" w:eastAsia="zh-CN"/>
        </w:rPr>
        <w:t>存在问题：</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一是政策咨询的智能问答和精准推送功能有待进一步优化，二是政策文件解读质量还需进一步提升，三是村务公开标准化规范化工作有待进一步深化。</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2" w:firstLineChars="200"/>
        <w:textAlignment w:val="auto"/>
        <w:rPr>
          <w:rFonts w:hint="eastAsia" w:ascii="楷体_GB2312" w:hAnsi="楷体_GB2312" w:eastAsia="楷体_GB2312" w:cs="楷体_GB2312"/>
          <w:b/>
          <w:bCs/>
          <w:color w:val="auto"/>
          <w:sz w:val="32"/>
          <w:szCs w:val="32"/>
          <w:lang w:val="en-US" w:eastAsia="zh-CN"/>
        </w:rPr>
      </w:pPr>
      <w:r>
        <w:rPr>
          <w:rFonts w:hint="eastAsia" w:ascii="楷体_GB2312" w:hAnsi="楷体_GB2312" w:eastAsia="楷体_GB2312" w:cs="楷体_GB2312"/>
          <w:b/>
          <w:bCs/>
          <w:color w:val="auto"/>
          <w:sz w:val="32"/>
          <w:szCs w:val="32"/>
          <w:lang w:val="en-US" w:eastAsia="zh-CN"/>
        </w:rPr>
        <w:t>解决措施：</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一是不断改进政策咨询方式。搭建政府文件库，规范化录入规范性文件、政府文件和部门文件等，按照主题进行分类展示。探索实施政策精准推送和智能检索服务，推动“人找政策”向“政策找人”转变。加大政策咨询窗口建设力度，提高实体服务大厅的政策咨询服务水平，更好解答有关生育、上学等与群众切身利益密切相关的问题。</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二是全面提升政策解读质量。制发《关于进一步强化政策解读工作的通知》，明确政策解读工作要求，包括解读主体、解读程序、解读范围、解读形式、解读内容等，提高政策解读工作的规范化水平。探索与区委宣传部、融媒体中心开展合作，推动视频、动漫、媒体、专家等多元解读模式。</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三是持续深化村务公开工作。深入推进基层政务公开标准化规范化向农村和社区延伸，动态优化调整村务公开基本目录，相关信息以村为单位通过村务公开栏公开，同时探索搭建统一的村务公开平台，提升村务公开的智能化、信息化水平。</w:t>
      </w:r>
    </w:p>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left="0" w:leftChars="0" w:firstLine="640" w:firstLineChars="200"/>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 xml:space="preserve">其他需要报告的事项 </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2" w:firstLineChars="200"/>
        <w:textAlignment w:val="auto"/>
        <w:rPr>
          <w:rFonts w:hint="default" w:ascii="Times New Roman" w:hAnsi="Times New Roman" w:eastAsia="楷体_GB2312" w:cs="Times New Roman"/>
          <w:b/>
          <w:bCs/>
          <w:color w:val="auto"/>
          <w:sz w:val="32"/>
          <w:szCs w:val="32"/>
          <w:highlight w:val="none"/>
          <w:lang w:val="en-US" w:eastAsia="zh-CN"/>
        </w:rPr>
      </w:pPr>
      <w:r>
        <w:rPr>
          <w:rFonts w:hint="default" w:ascii="Times New Roman" w:hAnsi="Times New Roman" w:eastAsia="楷体_GB2312" w:cs="Times New Roman"/>
          <w:b/>
          <w:bCs/>
          <w:color w:val="auto"/>
          <w:sz w:val="32"/>
          <w:szCs w:val="32"/>
          <w:highlight w:val="none"/>
          <w:lang w:val="en-US" w:eastAsia="zh-CN"/>
        </w:rPr>
        <w:t>1.政府信息公开申请收费情况。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本年度我</w:t>
      </w:r>
      <w:r>
        <w:rPr>
          <w:rFonts w:hint="eastAsia"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eastAsia="zh-CN"/>
        </w:rPr>
        <w:t>依申请公开政府信息未收取任何费用。</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2" w:firstLineChars="200"/>
        <w:textAlignment w:val="auto"/>
        <w:rPr>
          <w:rFonts w:hint="default" w:ascii="Times New Roman" w:hAnsi="Times New Roman" w:eastAsia="方正楷体_GB2312" w:cs="Times New Roman"/>
          <w:b/>
          <w:bCs/>
          <w:color w:val="auto"/>
          <w:sz w:val="32"/>
          <w:szCs w:val="32"/>
          <w:lang w:val="en-US" w:eastAsia="zh-CN"/>
        </w:rPr>
      </w:pPr>
      <w:r>
        <w:rPr>
          <w:rFonts w:hint="default" w:ascii="Times New Roman" w:hAnsi="Times New Roman" w:eastAsia="楷体_GB2312" w:cs="Times New Roman"/>
          <w:b/>
          <w:bCs/>
          <w:color w:val="auto"/>
          <w:sz w:val="32"/>
          <w:szCs w:val="32"/>
          <w:highlight w:val="none"/>
          <w:lang w:val="en-US" w:eastAsia="zh-CN"/>
        </w:rPr>
        <w:t>2.落实</w:t>
      </w:r>
      <w:r>
        <w:rPr>
          <w:rFonts w:hint="eastAsia" w:ascii="Times New Roman" w:hAnsi="Times New Roman" w:eastAsia="楷体_GB2312" w:cs="Times New Roman"/>
          <w:b/>
          <w:bCs/>
          <w:color w:val="auto"/>
          <w:sz w:val="32"/>
          <w:szCs w:val="32"/>
          <w:highlight w:val="none"/>
          <w:lang w:val="en-US" w:eastAsia="zh-CN"/>
        </w:rPr>
        <w:t>威海市</w:t>
      </w:r>
      <w:r>
        <w:rPr>
          <w:rFonts w:hint="default" w:ascii="Times New Roman" w:hAnsi="Times New Roman" w:eastAsia="楷体_GB2312" w:cs="Times New Roman"/>
          <w:b/>
          <w:bCs/>
          <w:color w:val="auto"/>
          <w:sz w:val="32"/>
          <w:szCs w:val="32"/>
          <w:highlight w:val="none"/>
          <w:lang w:val="en-US" w:eastAsia="zh-CN"/>
        </w:rPr>
        <w:t>2022年度政务公开工作要点情况。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一是加强顶层设计。召开政务公开领导小组会议，通过《</w:t>
      </w:r>
      <w:r>
        <w:rPr>
          <w:rFonts w:hint="default" w:ascii="Times New Roman" w:hAnsi="Times New Roman" w:eastAsia="仿宋_GB2312" w:cs="Times New Roman"/>
          <w:color w:val="auto"/>
          <w:sz w:val="32"/>
          <w:szCs w:val="32"/>
          <w:lang w:val="en-US" w:eastAsia="zh-CN"/>
        </w:rPr>
        <w:t>环翠区202</w:t>
      </w:r>
      <w:r>
        <w:rPr>
          <w:rFonts w:hint="eastAsia"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val="en-US" w:eastAsia="zh-CN"/>
        </w:rPr>
        <w:t>年度政务公开重点工作及责任分工方案</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w:t>
      </w:r>
      <w:r>
        <w:rPr>
          <w:rFonts w:hint="eastAsia" w:ascii="Times New Roman" w:hAnsi="Times New Roman" w:eastAsia="仿宋_GB2312" w:cs="Times New Roman"/>
          <w:color w:val="auto"/>
          <w:sz w:val="32"/>
          <w:szCs w:val="32"/>
          <w:lang w:val="en-US" w:eastAsia="zh-CN"/>
        </w:rPr>
        <w:t>方案包括</w:t>
      </w:r>
      <w:r>
        <w:rPr>
          <w:rFonts w:hint="default" w:ascii="Times New Roman" w:hAnsi="Times New Roman" w:eastAsia="仿宋_GB2312" w:cs="Times New Roman"/>
          <w:color w:val="auto"/>
          <w:sz w:val="32"/>
          <w:szCs w:val="32"/>
          <w:lang w:val="en-US" w:eastAsia="zh-CN"/>
        </w:rPr>
        <w:t>9个工作任务，共32类公开事项、67项重点公开内容</w:t>
      </w:r>
      <w:r>
        <w:rPr>
          <w:rFonts w:hint="eastAsia" w:ascii="Times New Roman" w:hAnsi="Times New Roman" w:eastAsia="仿宋_GB2312" w:cs="Times New Roman"/>
          <w:color w:val="auto"/>
          <w:sz w:val="32"/>
          <w:szCs w:val="32"/>
          <w:lang w:val="en-US" w:eastAsia="zh-CN"/>
        </w:rPr>
        <w:t>。要求各镇街、各部门对照重点工作及责任分工认真梳理，结合实际制定具体实施计划，配套建立工作台账，推进工作落实到位。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二是抓好任务落实。围绕决策公开，推进重大行政决策全生命周期管理公开，对今年实施的12项重大行政决策逐项公开政策意见征集、决策会议、决策文件、决策解读等，实现全流程可视化公开。围绕执行和结果公开，持续推进权责清单、行政执法公示、政务服务事项等领域政府信息公开，坚持政务服务事项动态调整，完善事项办理指南616条，其中行政处罚事项536条、行政强制事项32条、其他政务服务事项48条。围绕管理和服务公开，统筹推进为民实事项目和政府工作报告执行情况信息公开，今年以来，动态更新工作进展情况247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三是强化组织保障。健全日常考核和集中考核相结合的工作机制，进一步加大日常督促、指导力度。加强政务公开工作队伍建设，定期组织业务培训和研讨交流，不断提升业务能力。</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2" w:firstLineChars="200"/>
        <w:textAlignment w:val="auto"/>
        <w:rPr>
          <w:rFonts w:hint="default" w:ascii="Times New Roman" w:hAnsi="Times New Roman" w:eastAsia="楷体_GB2312" w:cs="Times New Roman"/>
          <w:b/>
          <w:bCs/>
          <w:color w:val="auto"/>
          <w:sz w:val="32"/>
          <w:szCs w:val="32"/>
          <w:highlight w:val="none"/>
          <w:lang w:val="en-US" w:eastAsia="zh-CN"/>
        </w:rPr>
      </w:pPr>
      <w:r>
        <w:rPr>
          <w:rFonts w:hint="default" w:ascii="Times New Roman" w:hAnsi="Times New Roman" w:eastAsia="楷体_GB2312" w:cs="Times New Roman"/>
          <w:b/>
          <w:bCs/>
          <w:color w:val="auto"/>
          <w:sz w:val="32"/>
          <w:szCs w:val="32"/>
          <w:highlight w:val="none"/>
          <w:lang w:val="en-US" w:eastAsia="zh-CN"/>
        </w:rPr>
        <w:t>3.人大代表建议、政协委员提案办理情况。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bCs/>
          <w:color w:val="auto"/>
          <w:sz w:val="32"/>
          <w:szCs w:val="32"/>
          <w:highlight w:val="none"/>
          <w:lang w:val="en-US" w:eastAsia="zh-CN"/>
        </w:rPr>
      </w:pPr>
      <w:r>
        <w:rPr>
          <w:rFonts w:hint="eastAsia" w:ascii="Times New Roman" w:hAnsi="Times New Roman" w:eastAsia="仿宋_GB2312" w:cs="Times New Roman"/>
          <w:color w:val="auto"/>
          <w:sz w:val="32"/>
          <w:szCs w:val="32"/>
          <w:lang w:val="en-US" w:eastAsia="zh-CN"/>
        </w:rPr>
        <w:t>开设建议提案专栏，集中公开全区人大代表建议和政协委员提案办理情况，其中政协委员提案110件、人大代表建议46件。</w:t>
      </w:r>
      <w:r>
        <w:rPr>
          <w:rFonts w:hint="eastAsia" w:ascii="Times New Roman" w:hAnsi="Times New Roman" w:eastAsia="仿宋_GB2312" w:cs="Times New Roman"/>
          <w:color w:val="auto"/>
          <w:sz w:val="32"/>
          <w:szCs w:val="32"/>
          <w:highlight w:val="none"/>
          <w:lang w:val="en-US" w:eastAsia="zh-CN"/>
        </w:rPr>
        <w:t>2022年，人大代表建议、政协委员提案已全部落实、办结，</w:t>
      </w:r>
      <w:r>
        <w:rPr>
          <w:rFonts w:hint="eastAsia" w:ascii="Times New Roman" w:hAnsi="Times New Roman" w:eastAsia="仿宋_GB2312" w:cs="Times New Roman"/>
          <w:color w:val="auto"/>
          <w:sz w:val="32"/>
          <w:szCs w:val="32"/>
          <w:lang w:val="en-US" w:eastAsia="zh-CN"/>
        </w:rPr>
        <w:t>面复率及满意率均为100%。</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2" w:firstLineChars="200"/>
        <w:textAlignment w:val="auto"/>
        <w:rPr>
          <w:rFonts w:hint="default" w:ascii="Times New Roman" w:hAnsi="Times New Roman" w:eastAsia="楷体_GB2312" w:cs="Times New Roman"/>
          <w:b/>
          <w:bCs/>
          <w:color w:val="auto"/>
          <w:sz w:val="32"/>
          <w:szCs w:val="32"/>
          <w:lang w:val="en-US" w:eastAsia="zh-CN"/>
        </w:rPr>
      </w:pPr>
      <w:r>
        <w:rPr>
          <w:rFonts w:hint="default" w:ascii="Times New Roman" w:hAnsi="Times New Roman" w:eastAsia="楷体_GB2312" w:cs="Times New Roman"/>
          <w:b/>
          <w:bCs/>
          <w:color w:val="auto"/>
          <w:sz w:val="32"/>
          <w:szCs w:val="32"/>
          <w:lang w:val="en-US" w:eastAsia="zh-CN"/>
        </w:rPr>
        <w:t>4.政务公开工作创新情况。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一是推进公共企事业单位信息公开。加强顶层设计，出台公共企事业单位信息公开主动公开基本目录和信息发布审核制度，进一步提升企事业单位信息公开的规范化水平。推进信息公开专题优化，划分卫生健康和教育版面，归集展示37家普通中小学和14家医疗卫生机构信息，设置信息标签查询功能，对各领域公共企事业单位的类别、性质字段进行分类检索，实现企事业单位信息的精准查询，并做好移动端使用场景功能适配，确保群众通过手机、平板电脑等设备查询信息时完整、准确、便捷。</w:t>
      </w:r>
    </w:p>
    <w:p>
      <w:pPr>
        <w:keepNext w:val="0"/>
        <w:keepLines w:val="0"/>
        <w:pageBreakBefore w:val="0"/>
        <w:widowControl w:val="0"/>
        <w:numPr>
          <w:ilvl w:val="0"/>
          <w:numId w:val="0"/>
        </w:numPr>
        <w:kinsoku/>
        <w:wordWrap/>
        <w:overflowPunct/>
        <w:topLinePunct w:val="0"/>
        <w:autoSpaceDE/>
        <w:autoSpaceDN/>
        <w:bidi w:val="0"/>
        <w:adjustRightInd/>
        <w:snapToGrid/>
        <w:spacing w:line="558"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二是推进基层政务公开标准化规范化工作提质升级。完善本级政务公开事项标准目录，对目录进行跟踪评估，以基层群众实际需求为导向及时优化调整完善。集成公开重点领域基层政务公开标准目录的落实情况公开专题，实现目录与主动公开内容融合。推进基层政务公开工作向村居延伸，指导镇街重点围绕脱贫攻坚、乡村振兴、惠农政策、养老服务等方面，梳理村务公开标准目录，明确公开事项、内容和时限，充分利用现有宣传栏，以“窗口标准化、内容动态化、管理规范化”为目标，做到公开内容符合村（居）情民意、公开时间按要求进行。</w:t>
      </w:r>
    </w:p>
    <w:p>
      <w:pPr>
        <w:keepNext w:val="0"/>
        <w:keepLines w:val="0"/>
        <w:pageBreakBefore w:val="0"/>
        <w:widowControl w:val="0"/>
        <w:numPr>
          <w:ilvl w:val="0"/>
          <w:numId w:val="0"/>
        </w:numPr>
        <w:kinsoku/>
        <w:wordWrap/>
        <w:overflowPunct/>
        <w:topLinePunct w:val="0"/>
        <w:autoSpaceDE/>
        <w:autoSpaceDN/>
        <w:bidi w:val="0"/>
        <w:adjustRightInd/>
        <w:snapToGrid/>
        <w:spacing w:line="558"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三是推进政策咨询与解读方式优化。在政务服务大厅开设政策咨询窗口，提高政务服务便民热线、实体服务大厅的政策咨询服务水平，更好解答有关生育、上学、就业、养老、医疗、纳税、疫情防控等与人民群众切身利益密切相关的问题。推动惠企政策精准公开，创新编制了《2022年度环翠区惠企政策汇编》，按行业类别梳理成政策目录，列明政策干货、适用对象、适用条件、申报流程等核心要素，并提供政策原文的二维码，让企业“按图索骥”、一目了然。领导干部带头上门宣传解读政策，同时向企业征集意见建议，及时协调解决企业、人才、项目、园区遇到的困难问题。</w:t>
      </w:r>
    </w:p>
    <w:p>
      <w:pPr>
        <w:keepNext w:val="0"/>
        <w:keepLines w:val="0"/>
        <w:pageBreakBefore w:val="0"/>
        <w:widowControl w:val="0"/>
        <w:numPr>
          <w:ilvl w:val="0"/>
          <w:numId w:val="0"/>
        </w:numPr>
        <w:kinsoku/>
        <w:wordWrap/>
        <w:overflowPunct/>
        <w:topLinePunct w:val="0"/>
        <w:autoSpaceDE/>
        <w:autoSpaceDN/>
        <w:bidi w:val="0"/>
        <w:adjustRightInd/>
        <w:snapToGrid/>
        <w:spacing w:line="558"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四是推进旅游领域基层政务公开标准化工作落实。设计开发旅游服务领域基层政务公开专题，分为旅游景区、旅游路线、旅游活动三大版块，其中旅游景区版块重点公开环翠区特色旅游景点，详细介绍了各景点的位置与观赏特色；旅游路线版块重点推出环翠区特色旅游路线，包括非遗体验游和海滨风情游；旅游活动版块重点公开环翠区开展的旅游活动预告与开展情况信息，同时按季节动态公开区域特色打卡景点，为群众及时提供旅游服务信息。</w:t>
      </w:r>
    </w:p>
    <w:p>
      <w:pPr>
        <w:keepNext w:val="0"/>
        <w:keepLines w:val="0"/>
        <w:pageBreakBefore w:val="0"/>
        <w:widowControl w:val="0"/>
        <w:numPr>
          <w:ilvl w:val="0"/>
          <w:numId w:val="0"/>
        </w:numPr>
        <w:kinsoku/>
        <w:wordWrap/>
        <w:overflowPunct/>
        <w:topLinePunct w:val="0"/>
        <w:autoSpaceDE/>
        <w:autoSpaceDN/>
        <w:bidi w:val="0"/>
        <w:adjustRightInd/>
        <w:snapToGrid/>
        <w:spacing w:line="558" w:lineRule="exact"/>
        <w:ind w:firstLine="642" w:firstLineChars="200"/>
        <w:textAlignment w:val="auto"/>
        <w:rPr>
          <w:rFonts w:hint="eastAsia" w:ascii="Times New Roman" w:hAnsi="Times New Roman" w:eastAsia="楷体_GB2312" w:cs="Times New Roman"/>
          <w:b/>
          <w:bCs/>
          <w:color w:val="auto"/>
          <w:sz w:val="32"/>
          <w:szCs w:val="32"/>
          <w:lang w:val="en-US" w:eastAsia="zh-CN"/>
        </w:rPr>
      </w:pPr>
      <w:r>
        <w:rPr>
          <w:rFonts w:hint="eastAsia" w:ascii="Times New Roman" w:hAnsi="Times New Roman" w:eastAsia="楷体_GB2312" w:cs="Times New Roman"/>
          <w:b/>
          <w:bCs/>
          <w:color w:val="auto"/>
          <w:sz w:val="32"/>
          <w:szCs w:val="32"/>
          <w:lang w:val="en-US" w:eastAsia="zh-CN"/>
        </w:rPr>
        <w:t>5.其他需要报告事项。</w:t>
      </w:r>
    </w:p>
    <w:p>
      <w:pPr>
        <w:keepNext w:val="0"/>
        <w:keepLines w:val="0"/>
        <w:pageBreakBefore w:val="0"/>
        <w:widowControl w:val="0"/>
        <w:numPr>
          <w:ilvl w:val="0"/>
          <w:numId w:val="0"/>
        </w:numPr>
        <w:kinsoku/>
        <w:wordWrap/>
        <w:overflowPunct/>
        <w:topLinePunct w:val="0"/>
        <w:autoSpaceDE/>
        <w:autoSpaceDN/>
        <w:bidi w:val="0"/>
        <w:adjustRightInd/>
        <w:snapToGrid/>
        <w:spacing w:line="558"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无。</w:t>
      </w:r>
    </w:p>
    <w:sectPr>
      <w:footerReference r:id="rId3" w:type="default"/>
      <w:pgSz w:w="11906" w:h="16838"/>
      <w:pgMar w:top="1701" w:right="1418" w:bottom="1701" w:left="141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楷体_GB2312">
    <w:altName w:val="宋体"/>
    <w:panose1 w:val="02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5"/>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BAAFF5"/>
    <w:multiLevelType w:val="singleLevel"/>
    <w:tmpl w:val="89BAAFF5"/>
    <w:lvl w:ilvl="0" w:tentative="0">
      <w:start w:val="1"/>
      <w:numFmt w:val="chineseCounting"/>
      <w:suff w:val="nothing"/>
      <w:lvlText w:val="%1、"/>
      <w:lvlJc w:val="left"/>
      <w:rPr>
        <w:rFonts w:hint="eastAsia"/>
      </w:rPr>
    </w:lvl>
  </w:abstractNum>
  <w:abstractNum w:abstractNumId="1">
    <w:nsid w:val="A8ABE86A"/>
    <w:multiLevelType w:val="singleLevel"/>
    <w:tmpl w:val="A8ABE86A"/>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diY2QyZDU3NjdlNTIyZTJiNWU5NTdiM2ZiY2YwOWYifQ=="/>
  </w:docVars>
  <w:rsids>
    <w:rsidRoot w:val="00000000"/>
    <w:rsid w:val="0008361F"/>
    <w:rsid w:val="00D23242"/>
    <w:rsid w:val="00F0308A"/>
    <w:rsid w:val="013577AC"/>
    <w:rsid w:val="01C92466"/>
    <w:rsid w:val="03392D36"/>
    <w:rsid w:val="0463118C"/>
    <w:rsid w:val="04C2468E"/>
    <w:rsid w:val="0501370E"/>
    <w:rsid w:val="05BC550E"/>
    <w:rsid w:val="062326B9"/>
    <w:rsid w:val="06B807E5"/>
    <w:rsid w:val="07413183"/>
    <w:rsid w:val="07B77D29"/>
    <w:rsid w:val="082E105B"/>
    <w:rsid w:val="09030A93"/>
    <w:rsid w:val="0A5E16A3"/>
    <w:rsid w:val="0B2E5519"/>
    <w:rsid w:val="0C636DD8"/>
    <w:rsid w:val="0D6E7E4F"/>
    <w:rsid w:val="0D9F5A17"/>
    <w:rsid w:val="0DEBEEE4"/>
    <w:rsid w:val="142357A8"/>
    <w:rsid w:val="142D3CA5"/>
    <w:rsid w:val="15072425"/>
    <w:rsid w:val="169A6998"/>
    <w:rsid w:val="19334076"/>
    <w:rsid w:val="199D5F29"/>
    <w:rsid w:val="1A91517D"/>
    <w:rsid w:val="1ABC2A04"/>
    <w:rsid w:val="1BBF604E"/>
    <w:rsid w:val="1BCE4B75"/>
    <w:rsid w:val="1DAF0231"/>
    <w:rsid w:val="1DFCC49F"/>
    <w:rsid w:val="1EE135F3"/>
    <w:rsid w:val="1EFE01F5"/>
    <w:rsid w:val="1FC77D4B"/>
    <w:rsid w:val="21A50B34"/>
    <w:rsid w:val="22587648"/>
    <w:rsid w:val="241D650E"/>
    <w:rsid w:val="242C1780"/>
    <w:rsid w:val="261D0FA9"/>
    <w:rsid w:val="2784713D"/>
    <w:rsid w:val="278A3680"/>
    <w:rsid w:val="279F278F"/>
    <w:rsid w:val="27AF470B"/>
    <w:rsid w:val="295B49DC"/>
    <w:rsid w:val="295E4994"/>
    <w:rsid w:val="2AFFED4D"/>
    <w:rsid w:val="2BB35523"/>
    <w:rsid w:val="2BBF553A"/>
    <w:rsid w:val="2CB4622E"/>
    <w:rsid w:val="2CBE62A5"/>
    <w:rsid w:val="2CFE17E6"/>
    <w:rsid w:val="2E0F3B03"/>
    <w:rsid w:val="2E493C90"/>
    <w:rsid w:val="2E62595A"/>
    <w:rsid w:val="2EFD5413"/>
    <w:rsid w:val="2FF8FA63"/>
    <w:rsid w:val="31254D9C"/>
    <w:rsid w:val="324C7EAF"/>
    <w:rsid w:val="32F04CDF"/>
    <w:rsid w:val="36772C3A"/>
    <w:rsid w:val="369616B9"/>
    <w:rsid w:val="37CFAB87"/>
    <w:rsid w:val="37DD091B"/>
    <w:rsid w:val="386FAB75"/>
    <w:rsid w:val="38BD1B07"/>
    <w:rsid w:val="38E2A6F4"/>
    <w:rsid w:val="39383221"/>
    <w:rsid w:val="396B393C"/>
    <w:rsid w:val="3A1157B7"/>
    <w:rsid w:val="3B3C4D37"/>
    <w:rsid w:val="3B7F2F55"/>
    <w:rsid w:val="3BCEE875"/>
    <w:rsid w:val="3DABFC76"/>
    <w:rsid w:val="3F93C173"/>
    <w:rsid w:val="41195BFF"/>
    <w:rsid w:val="413279EE"/>
    <w:rsid w:val="42CA37F1"/>
    <w:rsid w:val="43FC3E73"/>
    <w:rsid w:val="454E44B9"/>
    <w:rsid w:val="45AE06B3"/>
    <w:rsid w:val="47B31CFF"/>
    <w:rsid w:val="487FBB0B"/>
    <w:rsid w:val="4A487FDE"/>
    <w:rsid w:val="4B456772"/>
    <w:rsid w:val="4B6650BF"/>
    <w:rsid w:val="4C246A68"/>
    <w:rsid w:val="4DC04BAC"/>
    <w:rsid w:val="4E4D546F"/>
    <w:rsid w:val="4F7B6E4B"/>
    <w:rsid w:val="4FCE4806"/>
    <w:rsid w:val="500E459E"/>
    <w:rsid w:val="50191771"/>
    <w:rsid w:val="50AE6CAE"/>
    <w:rsid w:val="5153C3FB"/>
    <w:rsid w:val="515416D5"/>
    <w:rsid w:val="51C85A81"/>
    <w:rsid w:val="52065E75"/>
    <w:rsid w:val="53D10A00"/>
    <w:rsid w:val="540957A8"/>
    <w:rsid w:val="54DF0C6B"/>
    <w:rsid w:val="55DE6E82"/>
    <w:rsid w:val="55FD30EB"/>
    <w:rsid w:val="58E92FBE"/>
    <w:rsid w:val="598AF4B5"/>
    <w:rsid w:val="5A6266B0"/>
    <w:rsid w:val="5BA529F7"/>
    <w:rsid w:val="5BFF8664"/>
    <w:rsid w:val="5C8000FD"/>
    <w:rsid w:val="5C964BFE"/>
    <w:rsid w:val="5D5812EC"/>
    <w:rsid w:val="5DBBE9C8"/>
    <w:rsid w:val="5E07266A"/>
    <w:rsid w:val="5E1E349F"/>
    <w:rsid w:val="5EFF2A49"/>
    <w:rsid w:val="5EFF9D46"/>
    <w:rsid w:val="5F3376FB"/>
    <w:rsid w:val="5FA719A4"/>
    <w:rsid w:val="5FAF4B39"/>
    <w:rsid w:val="5FDE1D1C"/>
    <w:rsid w:val="5FEA20BB"/>
    <w:rsid w:val="5FFC638B"/>
    <w:rsid w:val="60B511B4"/>
    <w:rsid w:val="629616EA"/>
    <w:rsid w:val="63EF49BB"/>
    <w:rsid w:val="66FEF430"/>
    <w:rsid w:val="66FF05AA"/>
    <w:rsid w:val="66FFC4DA"/>
    <w:rsid w:val="674B0E3B"/>
    <w:rsid w:val="68735867"/>
    <w:rsid w:val="68D26659"/>
    <w:rsid w:val="6A8E549C"/>
    <w:rsid w:val="6B856C99"/>
    <w:rsid w:val="6BF055A8"/>
    <w:rsid w:val="6BF6AC88"/>
    <w:rsid w:val="6D7A52BA"/>
    <w:rsid w:val="6EBB79A1"/>
    <w:rsid w:val="6EEF7505"/>
    <w:rsid w:val="6EEF9097"/>
    <w:rsid w:val="6FF0149F"/>
    <w:rsid w:val="70330580"/>
    <w:rsid w:val="711B17F7"/>
    <w:rsid w:val="734D3842"/>
    <w:rsid w:val="75066E2C"/>
    <w:rsid w:val="75EE90ED"/>
    <w:rsid w:val="75FE7A6B"/>
    <w:rsid w:val="76C4943D"/>
    <w:rsid w:val="76EF7E60"/>
    <w:rsid w:val="776DA29A"/>
    <w:rsid w:val="776DA2E8"/>
    <w:rsid w:val="7797256F"/>
    <w:rsid w:val="77AFE4EC"/>
    <w:rsid w:val="77C22EDF"/>
    <w:rsid w:val="77F543FE"/>
    <w:rsid w:val="77F91177"/>
    <w:rsid w:val="77FF0781"/>
    <w:rsid w:val="77FF16FF"/>
    <w:rsid w:val="78066F6E"/>
    <w:rsid w:val="79AF4F05"/>
    <w:rsid w:val="79FBD78E"/>
    <w:rsid w:val="7A4153ED"/>
    <w:rsid w:val="7A601A23"/>
    <w:rsid w:val="7ABE6A3D"/>
    <w:rsid w:val="7AEA69F0"/>
    <w:rsid w:val="7B377F3A"/>
    <w:rsid w:val="7B5F261B"/>
    <w:rsid w:val="7B77D2FA"/>
    <w:rsid w:val="7B9F214F"/>
    <w:rsid w:val="7BFFF969"/>
    <w:rsid w:val="7D3D5455"/>
    <w:rsid w:val="7E4E5BEE"/>
    <w:rsid w:val="7ED694B3"/>
    <w:rsid w:val="7EF6C695"/>
    <w:rsid w:val="7EFEDB7D"/>
    <w:rsid w:val="7F625BE9"/>
    <w:rsid w:val="7F6E8B30"/>
    <w:rsid w:val="7F7F7986"/>
    <w:rsid w:val="7FEF5381"/>
    <w:rsid w:val="7FEF9C73"/>
    <w:rsid w:val="7FEFD415"/>
    <w:rsid w:val="7FF32DC7"/>
    <w:rsid w:val="7FFFC944"/>
    <w:rsid w:val="825F2A53"/>
    <w:rsid w:val="85AE0CFB"/>
    <w:rsid w:val="8F3D5B70"/>
    <w:rsid w:val="98FFBBEE"/>
    <w:rsid w:val="9F6FA050"/>
    <w:rsid w:val="9F7FCD79"/>
    <w:rsid w:val="9FC9AEFB"/>
    <w:rsid w:val="9FFD86FA"/>
    <w:rsid w:val="A64C9268"/>
    <w:rsid w:val="B20DEAE0"/>
    <w:rsid w:val="B5AF20DD"/>
    <w:rsid w:val="B7BFA043"/>
    <w:rsid w:val="BAFF2B7B"/>
    <w:rsid w:val="BBFB0D79"/>
    <w:rsid w:val="BDFF6195"/>
    <w:rsid w:val="BF37649B"/>
    <w:rsid w:val="BF6F74FB"/>
    <w:rsid w:val="BF790CD0"/>
    <w:rsid w:val="BFF6C2AB"/>
    <w:rsid w:val="CD7B1999"/>
    <w:rsid w:val="CE7A8BC8"/>
    <w:rsid w:val="DCEFC5D6"/>
    <w:rsid w:val="DEDFC077"/>
    <w:rsid w:val="DEEE9875"/>
    <w:rsid w:val="DF5FDE79"/>
    <w:rsid w:val="DF9CB10C"/>
    <w:rsid w:val="DFFA6A16"/>
    <w:rsid w:val="DFFF14AD"/>
    <w:rsid w:val="E54FA990"/>
    <w:rsid w:val="E7FE4902"/>
    <w:rsid w:val="E9DDD22C"/>
    <w:rsid w:val="EB2FB4FA"/>
    <w:rsid w:val="EBDE40FD"/>
    <w:rsid w:val="EE77F724"/>
    <w:rsid w:val="EEF60FF4"/>
    <w:rsid w:val="EEFB76B3"/>
    <w:rsid w:val="EFDFBA0D"/>
    <w:rsid w:val="F3BCAED7"/>
    <w:rsid w:val="F3CF3110"/>
    <w:rsid w:val="F3FF950A"/>
    <w:rsid w:val="F57F62A5"/>
    <w:rsid w:val="F5BD9279"/>
    <w:rsid w:val="F5DF3F09"/>
    <w:rsid w:val="F7AF863E"/>
    <w:rsid w:val="F7B9AFB0"/>
    <w:rsid w:val="F7BB24F5"/>
    <w:rsid w:val="F7EBAD57"/>
    <w:rsid w:val="F7F52BFF"/>
    <w:rsid w:val="F9BF32B2"/>
    <w:rsid w:val="FB0FB693"/>
    <w:rsid w:val="FBD430BF"/>
    <w:rsid w:val="FBE3A1AA"/>
    <w:rsid w:val="FC5F52D9"/>
    <w:rsid w:val="FCFFD200"/>
    <w:rsid w:val="FD953DAC"/>
    <w:rsid w:val="FDBD3814"/>
    <w:rsid w:val="FDEC3240"/>
    <w:rsid w:val="FDFBDF12"/>
    <w:rsid w:val="FDFED3AD"/>
    <w:rsid w:val="FDFF8023"/>
    <w:rsid w:val="FEDF18DC"/>
    <w:rsid w:val="FEFD4175"/>
    <w:rsid w:val="FF5C93A9"/>
    <w:rsid w:val="FFDF34AC"/>
    <w:rsid w:val="FFDFE0EC"/>
    <w:rsid w:val="FFE90517"/>
    <w:rsid w:val="FFECF92D"/>
    <w:rsid w:val="FFEF9CEF"/>
    <w:rsid w:val="FFFDED81"/>
    <w:rsid w:val="FFFE25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Title"/>
    <w:basedOn w:val="1"/>
    <w:next w:val="3"/>
    <w:qFormat/>
    <w:uiPriority w:val="0"/>
    <w:pPr>
      <w:jc w:val="center"/>
      <w:outlineLvl w:val="0"/>
    </w:pPr>
    <w:rPr>
      <w:rFonts w:ascii="Arial" w:hAnsi="Arial"/>
      <w:b/>
    </w:rPr>
  </w:style>
  <w:style w:type="paragraph" w:customStyle="1" w:styleId="3">
    <w:name w:val="文章附标题"/>
    <w:basedOn w:val="1"/>
    <w:next w:val="4"/>
    <w:qFormat/>
    <w:uiPriority w:val="0"/>
    <w:pPr>
      <w:spacing w:before="104" w:beforeLines="0" w:after="104" w:afterLines="0" w:line="0" w:lineRule="atLeast"/>
      <w:ind w:firstLine="0" w:firstLineChars="0"/>
      <w:jc w:val="center"/>
    </w:pPr>
    <w:rPr>
      <w:rFonts w:ascii="Calibri" w:hAnsi="Calibri" w:eastAsia="宋体" w:cs="Times New Roman"/>
      <w:sz w:val="36"/>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100" w:beforeAutospacing="1" w:after="100" w:afterAutospacing="1"/>
      <w:ind w:left="0" w:right="0"/>
      <w:jc w:val="left"/>
    </w:pPr>
    <w:rPr>
      <w:kern w:val="0"/>
      <w:sz w:val="24"/>
      <w:lang w:val="en-US" w:eastAsia="zh-CN" w:bidi="ar"/>
    </w:rPr>
  </w:style>
  <w:style w:type="paragraph" w:customStyle="1" w:styleId="10">
    <w:name w:val="Body text|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11">
    <w:name w:val="Other|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12">
    <w:name w:val="Other|2"/>
    <w:basedOn w:val="1"/>
    <w:qFormat/>
    <w:uiPriority w:val="0"/>
    <w:pPr>
      <w:widowControl w:val="0"/>
      <w:shd w:val="clear" w:color="auto" w:fill="auto"/>
      <w:spacing w:before="80"/>
      <w:ind w:firstLine="110"/>
    </w:pPr>
    <w:rPr>
      <w:rFonts w:ascii="宋体" w:hAnsi="宋体" w:eastAsia="宋体" w:cs="宋体"/>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1899</Words>
  <Characters>2015</Characters>
  <Lines>0</Lines>
  <Paragraphs>0</Paragraphs>
  <TotalTime>18</TotalTime>
  <ScaleCrop>false</ScaleCrop>
  <LinksUpToDate>false</LinksUpToDate>
  <CharactersWithSpaces>2037</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2014-11-04T04:08:00Z</dcterms:created>
  <dc:creator>Administrator</dc:creator>
  <cp:lastModifiedBy>WPS_1528096066</cp:lastModifiedBy>
  <cp:lastPrinted>2023-02-11T08:27:00Z</cp:lastPrinted>
  <dcterms:modified xsi:type="dcterms:W3CDTF">2023-02-21T16:06:11Z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C572666A6F1B4635A951FB1178BB458E</vt:lpwstr>
  </property>
</Properties>
</file>