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widowControl/>
        <w:shd w:val="clear" w:color="auto" w:fill="FFFFFF"/>
        <w:spacing w:beforeAutospacing="0" w:afterAutospacing="0" w:line="560" w:lineRule="exact"/>
        <w:jc w:val="both"/>
        <w:rPr>
          <w:rFonts w:ascii="方正小标宋简体" w:hAnsi="方正小标宋简体" w:eastAsia="方正小标宋简体" w:cs="方正小标宋简体"/>
          <w:bCs/>
          <w:color w:val="333333"/>
          <w:sz w:val="44"/>
          <w:szCs w:val="44"/>
          <w:shd w:val="clear" w:color="auto" w:fill="FFFFFF"/>
        </w:rPr>
      </w:pPr>
    </w:p>
    <w:p>
      <w:pPr>
        <w:pStyle w:val="5"/>
        <w:widowControl/>
        <w:shd w:val="clear" w:color="auto" w:fill="FFFFFF"/>
        <w:spacing w:beforeAutospacing="0" w:afterAutospacing="0" w:line="560" w:lineRule="exact"/>
        <w:jc w:val="center"/>
        <w:rPr>
          <w:rFonts w:ascii="方正小标宋简体" w:hAnsi="方正小标宋简体" w:eastAsia="方正小标宋简体" w:cs="方正小标宋简体"/>
          <w:bCs/>
          <w:spacing w:val="-17"/>
          <w:sz w:val="44"/>
          <w:szCs w:val="44"/>
          <w:shd w:val="clear" w:color="auto" w:fill="FFFFFF"/>
          <w:lang w:val="en"/>
        </w:rPr>
      </w:pPr>
      <w:r>
        <w:rPr>
          <w:rFonts w:hint="eastAsia" w:ascii="方正小标宋简体" w:hAnsi="方正小标宋简体" w:eastAsia="方正小标宋简体" w:cs="方正小标宋简体"/>
          <w:bCs/>
          <w:spacing w:val="-17"/>
          <w:sz w:val="44"/>
          <w:szCs w:val="44"/>
          <w:shd w:val="clear" w:color="auto" w:fill="FFFFFF"/>
        </w:rPr>
        <w:t>威海市环翠区司法局</w:t>
      </w:r>
    </w:p>
    <w:p>
      <w:pPr>
        <w:pStyle w:val="5"/>
        <w:widowControl/>
        <w:shd w:val="clear" w:color="auto" w:fill="FFFFFF"/>
        <w:spacing w:beforeAutospacing="0" w:afterAutospacing="0" w:line="560" w:lineRule="exact"/>
        <w:jc w:val="center"/>
        <w:rPr>
          <w:rFonts w:ascii="方正小标宋简体" w:hAnsi="方正小标宋简体" w:eastAsia="方正小标宋简体" w:cs="方正小标宋简体"/>
          <w:bCs/>
          <w:spacing w:val="-17"/>
          <w:sz w:val="44"/>
          <w:szCs w:val="44"/>
          <w:shd w:val="clear" w:color="auto" w:fill="FFFFFF"/>
        </w:rPr>
      </w:pPr>
      <w:r>
        <w:rPr>
          <w:rFonts w:hint="eastAsia" w:ascii="方正小标宋简体" w:hAnsi="方正小标宋简体" w:eastAsia="方正小标宋简体" w:cs="方正小标宋简体"/>
          <w:bCs/>
          <w:spacing w:val="-17"/>
          <w:sz w:val="44"/>
          <w:szCs w:val="44"/>
          <w:shd w:val="clear" w:color="auto" w:fill="FFFFFF"/>
        </w:rPr>
        <w:t>2023年政府信息公开工作年度报告</w:t>
      </w:r>
    </w:p>
    <w:p>
      <w:pPr>
        <w:pStyle w:val="5"/>
        <w:widowControl/>
        <w:shd w:val="clear" w:color="auto" w:fill="FFFFFF"/>
        <w:spacing w:beforeAutospacing="0" w:afterAutospacing="0" w:line="560" w:lineRule="exact"/>
        <w:jc w:val="center"/>
        <w:rPr>
          <w:rFonts w:ascii="楷体_GB2312" w:hAnsi="楷体_GB2312" w:eastAsia="楷体_GB2312" w:cs="楷体_GB2312"/>
          <w:bCs/>
          <w:color w:val="333333"/>
          <w:sz w:val="32"/>
          <w:szCs w:val="32"/>
          <w:shd w:val="clear" w:color="auto" w:fill="FFFFFF"/>
        </w:rPr>
      </w:pPr>
    </w:p>
    <w:p>
      <w:pPr>
        <w:pStyle w:val="5"/>
        <w:widowControl/>
        <w:autoSpaceDE w:val="0"/>
        <w:spacing w:beforeAutospacing="0" w:afterAutospacing="0" w:line="560" w:lineRule="exact"/>
        <w:jc w:val="both"/>
        <w:rPr>
          <w:rFonts w:ascii="Times New Roman" w:hAnsi="Times New Roman" w:eastAsia="仿宋_GB2312"/>
          <w:color w:val="000000"/>
          <w:sz w:val="32"/>
          <w:szCs w:val="32"/>
        </w:rPr>
      </w:pPr>
    </w:p>
    <w:p>
      <w:pPr>
        <w:pStyle w:val="5"/>
        <w:widowControl/>
        <w:autoSpaceDE w:val="0"/>
        <w:spacing w:beforeAutospacing="0" w:afterAutospacing="0" w:line="560" w:lineRule="exact"/>
        <w:ind w:firstLine="645"/>
        <w:jc w:val="both"/>
        <w:rPr>
          <w:rFonts w:ascii="Times New Roman" w:hAnsi="Times New Roman"/>
          <w:sz w:val="32"/>
          <w:szCs w:val="32"/>
        </w:rPr>
      </w:pPr>
      <w:r>
        <w:rPr>
          <w:rFonts w:ascii="Times New Roman" w:hAnsi="Times New Roman" w:eastAsia="仿宋_GB2312"/>
          <w:color w:val="000000"/>
          <w:sz w:val="32"/>
          <w:szCs w:val="32"/>
        </w:rPr>
        <w:t>根据《中华人民共和国政府信息公开条例》（国务院令第</w:t>
      </w:r>
      <w:r>
        <w:rPr>
          <w:rFonts w:ascii="Times New Roman" w:hAnsi="Times New Roman"/>
          <w:color w:val="000000"/>
          <w:sz w:val="32"/>
          <w:szCs w:val="32"/>
        </w:rPr>
        <w:t>711</w:t>
      </w:r>
      <w:r>
        <w:rPr>
          <w:rFonts w:ascii="Times New Roman" w:hAnsi="Times New Roman" w:eastAsia="仿宋_GB2312"/>
          <w:color w:val="000000"/>
          <w:sz w:val="32"/>
          <w:szCs w:val="32"/>
        </w:rPr>
        <w:t>号，以下简称《条例》）和《中华人民共和国政府信息公开工</w:t>
      </w:r>
      <w:r>
        <w:rPr>
          <w:rFonts w:ascii="Times New Roman" w:hAnsi="Times New Roman" w:eastAsia="仿宋_GB2312"/>
          <w:sz w:val="32"/>
          <w:szCs w:val="32"/>
        </w:rPr>
        <w:t>作年度报告格式》（国办公开办函〔</w:t>
      </w:r>
      <w:r>
        <w:rPr>
          <w:rFonts w:ascii="Times New Roman" w:hAnsi="Times New Roman"/>
          <w:sz w:val="32"/>
          <w:szCs w:val="32"/>
        </w:rPr>
        <w:t>2021</w:t>
      </w:r>
      <w:r>
        <w:rPr>
          <w:rFonts w:ascii="Times New Roman" w:hAnsi="Times New Roman" w:eastAsia="仿宋_GB2312"/>
          <w:sz w:val="32"/>
          <w:szCs w:val="32"/>
        </w:rPr>
        <w:t>〕30号）要求，结合</w:t>
      </w:r>
      <w:r>
        <w:rPr>
          <w:rFonts w:ascii="Times New Roman" w:hAnsi="Times New Roman"/>
          <w:sz w:val="32"/>
          <w:szCs w:val="32"/>
        </w:rPr>
        <w:t>202</w:t>
      </w:r>
      <w:r>
        <w:rPr>
          <w:rFonts w:hint="eastAsia" w:ascii="Times New Roman" w:hAnsi="Times New Roman"/>
          <w:sz w:val="32"/>
          <w:szCs w:val="32"/>
        </w:rPr>
        <w:t>3</w:t>
      </w:r>
      <w:r>
        <w:rPr>
          <w:rFonts w:ascii="Times New Roman" w:hAnsi="Times New Roman" w:eastAsia="仿宋_GB2312"/>
          <w:sz w:val="32"/>
          <w:szCs w:val="32"/>
        </w:rPr>
        <w:t>年威海市环翠区</w:t>
      </w:r>
      <w:r>
        <w:rPr>
          <w:rFonts w:hint="eastAsia" w:ascii="Times New Roman" w:hAnsi="Times New Roman" w:eastAsia="仿宋_GB2312"/>
          <w:sz w:val="32"/>
          <w:szCs w:val="32"/>
        </w:rPr>
        <w:t>司法局</w:t>
      </w:r>
      <w:r>
        <w:rPr>
          <w:rFonts w:ascii="Times New Roman" w:hAnsi="Times New Roman" w:eastAsia="仿宋_GB2312"/>
          <w:sz w:val="32"/>
          <w:szCs w:val="32"/>
        </w:rPr>
        <w:t>政府信息公开工作实际，编制发布本报告。</w:t>
      </w:r>
    </w:p>
    <w:p>
      <w:pPr>
        <w:pStyle w:val="5"/>
        <w:widowControl/>
        <w:autoSpaceDE w:val="0"/>
        <w:spacing w:beforeAutospacing="0" w:afterAutospacing="0" w:line="560" w:lineRule="exact"/>
        <w:ind w:firstLine="645"/>
        <w:jc w:val="both"/>
        <w:rPr>
          <w:rFonts w:ascii="Times New Roman" w:hAnsi="Times New Roman"/>
          <w:sz w:val="32"/>
          <w:szCs w:val="32"/>
        </w:rPr>
      </w:pPr>
      <w:r>
        <w:rPr>
          <w:rFonts w:ascii="Times New Roman" w:hAnsi="Times New Roman" w:eastAsia="仿宋_GB2312"/>
          <w:sz w:val="32"/>
          <w:szCs w:val="32"/>
        </w:rPr>
        <w:t>本报告内容包括：总体情况、主动公开政府信息情况、收到和处理政府信息公开申请情况、政府信息公开行政复议</w:t>
      </w:r>
      <w:r>
        <w:rPr>
          <w:rFonts w:hint="eastAsia" w:ascii="Times New Roman" w:hAnsi="Times New Roman" w:eastAsia="仿宋_GB2312"/>
          <w:sz w:val="32"/>
          <w:szCs w:val="32"/>
        </w:rPr>
        <w:t>及</w:t>
      </w:r>
      <w:r>
        <w:rPr>
          <w:rFonts w:ascii="Times New Roman" w:hAnsi="Times New Roman" w:eastAsia="仿宋_GB2312"/>
          <w:sz w:val="32"/>
          <w:szCs w:val="32"/>
        </w:rPr>
        <w:t>行政诉讼情况、存在的主要问题及改进情况、其他事项，以及相关指标统计附表等。报告中所列数据统计期限从</w:t>
      </w:r>
      <w:r>
        <w:rPr>
          <w:rFonts w:ascii="Times New Roman" w:hAnsi="Times New Roman"/>
          <w:sz w:val="32"/>
          <w:szCs w:val="32"/>
        </w:rPr>
        <w:t>202</w:t>
      </w:r>
      <w:r>
        <w:rPr>
          <w:rFonts w:hint="eastAsia" w:ascii="Times New Roman" w:hAnsi="Times New Roman"/>
          <w:sz w:val="32"/>
          <w:szCs w:val="32"/>
        </w:rPr>
        <w:t>3</w:t>
      </w:r>
      <w:r>
        <w:rPr>
          <w:rFonts w:ascii="Times New Roman" w:hAnsi="Times New Roman" w:eastAsia="仿宋_GB2312"/>
          <w:sz w:val="32"/>
          <w:szCs w:val="32"/>
        </w:rPr>
        <w:t>年</w:t>
      </w:r>
      <w:r>
        <w:rPr>
          <w:rFonts w:ascii="Times New Roman" w:hAnsi="Times New Roman"/>
          <w:sz w:val="32"/>
          <w:szCs w:val="32"/>
        </w:rPr>
        <w:t>1</w:t>
      </w:r>
      <w:r>
        <w:rPr>
          <w:rFonts w:ascii="Times New Roman" w:hAnsi="Times New Roman" w:eastAsia="仿宋_GB2312"/>
          <w:sz w:val="32"/>
          <w:szCs w:val="32"/>
        </w:rPr>
        <w:t>月</w:t>
      </w:r>
      <w:r>
        <w:rPr>
          <w:rFonts w:ascii="Times New Roman" w:hAnsi="Times New Roman"/>
          <w:sz w:val="32"/>
          <w:szCs w:val="32"/>
        </w:rPr>
        <w:t>1</w:t>
      </w:r>
      <w:r>
        <w:rPr>
          <w:rFonts w:ascii="Times New Roman" w:hAnsi="Times New Roman" w:eastAsia="仿宋_GB2312"/>
          <w:sz w:val="32"/>
          <w:szCs w:val="32"/>
        </w:rPr>
        <w:t>日到</w:t>
      </w:r>
      <w:r>
        <w:rPr>
          <w:rFonts w:ascii="Times New Roman" w:hAnsi="Times New Roman"/>
          <w:sz w:val="32"/>
          <w:szCs w:val="32"/>
        </w:rPr>
        <w:t>12</w:t>
      </w:r>
      <w:r>
        <w:rPr>
          <w:rFonts w:ascii="Times New Roman" w:hAnsi="Times New Roman" w:eastAsia="仿宋_GB2312"/>
          <w:sz w:val="32"/>
          <w:szCs w:val="32"/>
        </w:rPr>
        <w:t>月</w:t>
      </w:r>
      <w:r>
        <w:rPr>
          <w:rFonts w:ascii="Times New Roman" w:hAnsi="Times New Roman"/>
          <w:sz w:val="32"/>
          <w:szCs w:val="32"/>
        </w:rPr>
        <w:t>31</w:t>
      </w:r>
      <w:r>
        <w:rPr>
          <w:rFonts w:ascii="Times New Roman" w:hAnsi="Times New Roman" w:eastAsia="仿宋_GB2312"/>
          <w:sz w:val="32"/>
          <w:szCs w:val="32"/>
        </w:rPr>
        <w:t>日止。报告电子版可从</w:t>
      </w:r>
      <w:r>
        <w:rPr>
          <w:rFonts w:hint="eastAsia" w:ascii="Times New Roman" w:hAnsi="Times New Roman" w:eastAsia="仿宋_GB2312"/>
          <w:sz w:val="32"/>
          <w:szCs w:val="32"/>
        </w:rPr>
        <w:t>威海市环翠区人民政府网站</w:t>
      </w:r>
      <w:r>
        <w:rPr>
          <w:rFonts w:ascii="Times New Roman" w:hAnsi="Times New Roman" w:eastAsia="仿宋_GB2312"/>
          <w:sz w:val="32"/>
          <w:szCs w:val="32"/>
        </w:rPr>
        <w:t>（</w:t>
      </w:r>
      <w:r>
        <w:rPr>
          <w:rFonts w:hint="eastAsia" w:ascii="Times New Roman" w:hAnsi="Times New Roman" w:eastAsia="仿宋_GB2312"/>
          <w:sz w:val="32"/>
          <w:szCs w:val="32"/>
        </w:rPr>
        <w:t>网址：http://www.huancui.gov.cn/</w:t>
      </w:r>
      <w:r>
        <w:rPr>
          <w:rFonts w:ascii="Times New Roman" w:hAnsi="Times New Roman" w:eastAsia="仿宋_GB2312"/>
          <w:sz w:val="32"/>
          <w:szCs w:val="32"/>
        </w:rPr>
        <w:t>查阅或下载。公众如需进一步咨询了解相关信息，请与</w:t>
      </w:r>
      <w:r>
        <w:rPr>
          <w:rFonts w:hint="eastAsia" w:ascii="Times New Roman" w:hAnsi="Times New Roman" w:eastAsia="仿宋_GB2312"/>
          <w:sz w:val="32"/>
          <w:szCs w:val="32"/>
        </w:rPr>
        <w:t>威海市环翠区司法局</w:t>
      </w:r>
      <w:r>
        <w:rPr>
          <w:rFonts w:ascii="Times New Roman" w:hAnsi="Times New Roman" w:eastAsia="仿宋_GB2312"/>
          <w:sz w:val="32"/>
          <w:szCs w:val="32"/>
        </w:rPr>
        <w:t>联系（地址：</w:t>
      </w:r>
      <w:r>
        <w:rPr>
          <w:rFonts w:hint="eastAsia" w:ascii="Times New Roman" w:hAnsi="Times New Roman" w:eastAsia="仿宋_GB2312"/>
          <w:sz w:val="32"/>
          <w:szCs w:val="32"/>
        </w:rPr>
        <w:t>威海市环翠区望岛路10号</w:t>
      </w:r>
      <w:r>
        <w:rPr>
          <w:rFonts w:ascii="Times New Roman" w:hAnsi="Times New Roman" w:eastAsia="仿宋_GB2312"/>
          <w:sz w:val="32"/>
          <w:szCs w:val="32"/>
        </w:rPr>
        <w:t>，电话：</w:t>
      </w:r>
      <w:r>
        <w:rPr>
          <w:rFonts w:hint="eastAsia" w:ascii="Times New Roman" w:hAnsi="Times New Roman" w:eastAsia="仿宋_GB2312"/>
          <w:color w:val="auto"/>
          <w:sz w:val="32"/>
          <w:szCs w:val="32"/>
        </w:rPr>
        <w:t>0</w:t>
      </w:r>
      <w:r>
        <w:rPr>
          <w:rFonts w:ascii="Times New Roman" w:hAnsi="Times New Roman" w:eastAsia="仿宋_GB2312"/>
          <w:color w:val="auto"/>
          <w:sz w:val="32"/>
          <w:szCs w:val="32"/>
        </w:rPr>
        <w:t>631-</w:t>
      </w:r>
      <w:r>
        <w:rPr>
          <w:rFonts w:hint="eastAsia" w:ascii="Times New Roman" w:hAnsi="Times New Roman" w:eastAsia="仿宋_GB2312"/>
          <w:color w:val="auto"/>
          <w:sz w:val="32"/>
          <w:szCs w:val="32"/>
        </w:rPr>
        <w:t>5232583</w:t>
      </w:r>
      <w:r>
        <w:rPr>
          <w:rFonts w:ascii="Times New Roman" w:hAnsi="Times New Roman" w:eastAsia="仿宋_GB2312"/>
          <w:sz w:val="32"/>
          <w:szCs w:val="32"/>
        </w:rPr>
        <w:t>）。</w:t>
      </w:r>
    </w:p>
    <w:p>
      <w:pPr>
        <w:pStyle w:val="5"/>
        <w:widowControl/>
        <w:shd w:val="clear" w:color="auto" w:fill="FFFFFF"/>
        <w:spacing w:beforeAutospacing="0" w:afterAutospacing="0" w:line="560" w:lineRule="exact"/>
        <w:ind w:firstLine="640" w:firstLineChars="200"/>
        <w:jc w:val="both"/>
        <w:rPr>
          <w:rFonts w:ascii="黑体" w:hAnsi="黑体" w:eastAsia="黑体" w:cs="黑体"/>
          <w:bCs/>
          <w:color w:val="333333"/>
          <w:sz w:val="32"/>
          <w:szCs w:val="32"/>
        </w:rPr>
      </w:pPr>
      <w:r>
        <w:rPr>
          <w:rFonts w:hint="eastAsia" w:ascii="黑体" w:hAnsi="黑体" w:eastAsia="黑体" w:cs="黑体"/>
          <w:bCs/>
          <w:color w:val="333333"/>
          <w:sz w:val="32"/>
          <w:szCs w:val="32"/>
          <w:shd w:val="clear" w:color="auto" w:fill="FFFFFF"/>
        </w:rPr>
        <w:t>一、总体情况</w:t>
      </w:r>
    </w:p>
    <w:p>
      <w:pPr>
        <w:spacing w:line="560" w:lineRule="exact"/>
        <w:ind w:firstLine="640" w:firstLineChars="200"/>
        <w:rPr>
          <w:rFonts w:ascii="Times New Roman" w:hAnsi="Times New Roman" w:eastAsia="仿宋_GB2312" w:cs="Times New Roman"/>
          <w:color w:val="FF0000"/>
          <w:kern w:val="0"/>
          <w:sz w:val="32"/>
          <w:szCs w:val="32"/>
          <w:lang w:bidi="ar"/>
        </w:rPr>
      </w:pPr>
      <w:r>
        <w:rPr>
          <w:rFonts w:hint="eastAsia" w:ascii="Times New Roman" w:hAnsi="Times New Roman" w:eastAsia="仿宋_GB2312" w:cs="Times New Roman"/>
          <w:color w:val="000000" w:themeColor="text1"/>
          <w:kern w:val="0"/>
          <w:sz w:val="32"/>
          <w:szCs w:val="32"/>
          <w:lang w:bidi="ar"/>
          <w14:textFill>
            <w14:solidFill>
              <w14:schemeClr w14:val="tx1"/>
            </w14:solidFill>
          </w14:textFill>
        </w:rPr>
        <w:t>我局认真贯彻落实《中华人民共和国政府信息公开条例》要求，以公开为常态、不公开为例外，把政务公开贯穿于司法行政各项工作全过程，进一步拓宽社会公众了解和监督本单位各项业务工作的途径。</w:t>
      </w:r>
    </w:p>
    <w:p>
      <w:pPr>
        <w:numPr>
          <w:ilvl w:val="0"/>
          <w:numId w:val="1"/>
        </w:numPr>
        <w:spacing w:line="560" w:lineRule="exact"/>
        <w:ind w:firstLine="640" w:firstLineChars="200"/>
        <w:rPr>
          <w:rFonts w:ascii="Times New Roman" w:hAnsi="Times New Roman" w:eastAsia="仿宋_GB2312" w:cs="Times New Roman"/>
          <w:sz w:val="32"/>
          <w:szCs w:val="32"/>
        </w:rPr>
      </w:pPr>
      <w:r>
        <w:rPr>
          <w:rFonts w:hint="eastAsia" w:ascii="楷体_GB2312" w:hAnsi="楷体_GB2312" w:eastAsia="楷体_GB2312" w:cs="楷体_GB2312"/>
          <w:bCs/>
          <w:sz w:val="32"/>
          <w:szCs w:val="32"/>
        </w:rPr>
        <w:t>主动公开方面。</w:t>
      </w:r>
      <w:r>
        <w:rPr>
          <w:rFonts w:ascii="Times New Roman" w:hAnsi="Times New Roman" w:eastAsia="仿宋_GB2312" w:cs="Times New Roman"/>
          <w:bCs/>
          <w:sz w:val="32"/>
          <w:szCs w:val="32"/>
        </w:rPr>
        <w:t>2023年我局政府信息公开工作有效推进，全年在政府门户网站上发布信息103篇。</w:t>
      </w:r>
      <w:r>
        <w:rPr>
          <w:rFonts w:hint="eastAsia" w:ascii="Times New Roman" w:hAnsi="Times New Roman" w:eastAsia="仿宋_GB2312" w:cs="Times New Roman"/>
          <w:bCs/>
          <w:sz w:val="32"/>
          <w:szCs w:val="32"/>
        </w:rPr>
        <w:t>其中结合本区实际，起草了《环翠区行政应诉管理办法》并发布媒体解读、视频解读、专家解读、领导干部解读和图文解读五种解读形式，进一步提高行政应诉工作法治化水平，推进法治政府建设进程。</w:t>
      </w:r>
      <w:r>
        <w:rPr>
          <w:rFonts w:hint="eastAsia" w:ascii="Times New Roman" w:hAnsi="Times New Roman" w:eastAsia="仿宋_GB2312" w:cs="Times New Roman"/>
          <w:sz w:val="32"/>
          <w:szCs w:val="32"/>
        </w:rPr>
        <w:t>发布了环翠区四个季度的行政规范性文件备案目录和四个季度的政府工作报告进展情况。</w:t>
      </w:r>
    </w:p>
    <w:p>
      <w:pPr>
        <w:spacing w:line="560" w:lineRule="exact"/>
        <w:ind w:firstLine="640" w:firstLineChars="200"/>
        <w:rPr>
          <w:rFonts w:ascii="Times New Roman" w:hAnsi="Times New Roman" w:eastAsia="仿宋_GB2312" w:cs="Times New Roman"/>
          <w:bCs/>
          <w:sz w:val="32"/>
          <w:szCs w:val="32"/>
        </w:rPr>
      </w:pPr>
      <w:r>
        <w:rPr>
          <w:rFonts w:hint="eastAsia" w:ascii="Times New Roman" w:hAnsi="Times New Roman" w:eastAsia="仿宋_GB2312" w:cs="Times New Roman"/>
          <w:bCs/>
          <w:sz w:val="32"/>
          <w:szCs w:val="32"/>
        </w:rPr>
        <w:t>严格依照</w:t>
      </w:r>
      <w:r>
        <w:rPr>
          <w:rFonts w:ascii="Times New Roman" w:hAnsi="Times New Roman" w:eastAsia="仿宋_GB2312" w:cs="Times New Roman"/>
          <w:bCs/>
          <w:sz w:val="32"/>
          <w:szCs w:val="32"/>
        </w:rPr>
        <w:t>《</w:t>
      </w:r>
      <w:r>
        <w:rPr>
          <w:rFonts w:hint="eastAsia" w:ascii="Times New Roman" w:hAnsi="Times New Roman" w:eastAsia="仿宋_GB2312" w:cs="Times New Roman"/>
          <w:bCs/>
          <w:sz w:val="32"/>
          <w:szCs w:val="32"/>
        </w:rPr>
        <w:t>威海市</w:t>
      </w:r>
      <w:r>
        <w:rPr>
          <w:rFonts w:ascii="Times New Roman" w:hAnsi="Times New Roman" w:eastAsia="仿宋_GB2312" w:cs="Times New Roman"/>
          <w:bCs/>
          <w:sz w:val="32"/>
          <w:szCs w:val="32"/>
        </w:rPr>
        <w:t>政府信息主动公开基本目录》</w:t>
      </w:r>
      <w:r>
        <w:rPr>
          <w:rFonts w:hint="eastAsia" w:ascii="Times New Roman" w:hAnsi="Times New Roman" w:eastAsia="仿宋_GB2312" w:cs="Times New Roman"/>
          <w:bCs/>
          <w:sz w:val="32"/>
          <w:szCs w:val="32"/>
        </w:rPr>
        <w:t>发布本年度部门财政预决算4篇。对重点领域的行政执法公示专题，事前公开《威海市环翠区区级实行告知承诺制的证明事项通用清单（2023年版）》，事中公开执法人员查询网址，事后公开年度行政执法统计数据和行政复议决定书12篇。对重点领域的“双随机</w:t>
      </w:r>
      <w:r>
        <w:rPr>
          <w:rFonts w:hint="eastAsia" w:ascii="Times New Roman" w:hAnsi="Times New Roman" w:eastAsia="仿宋_GB2312" w:cs="Times New Roman"/>
          <w:bCs/>
          <w:sz w:val="32"/>
          <w:szCs w:val="32"/>
          <w:lang w:eastAsia="zh-CN"/>
        </w:rPr>
        <w:t>、</w:t>
      </w:r>
      <w:bookmarkStart w:id="10" w:name="_GoBack"/>
      <w:bookmarkEnd w:id="10"/>
      <w:r>
        <w:rPr>
          <w:rFonts w:hint="eastAsia" w:ascii="Times New Roman" w:hAnsi="Times New Roman" w:eastAsia="仿宋_GB2312" w:cs="Times New Roman"/>
          <w:bCs/>
          <w:sz w:val="32"/>
          <w:szCs w:val="32"/>
        </w:rPr>
        <w:t>一公开”板块，发布本年度抽查事项计划、抽查事项清单和抽查结果3篇。</w:t>
      </w:r>
    </w:p>
    <w:p>
      <w:pPr>
        <w:pStyle w:val="2"/>
      </w:pPr>
      <w:r>
        <w:rPr>
          <w:rFonts w:hint="eastAsia" w:ascii="Times New Roman" w:hAnsi="Times New Roman" w:eastAsia="仿宋_GB2312" w:cs="Times New Roman"/>
          <w:bCs/>
          <w:sz w:val="32"/>
          <w:szCs w:val="32"/>
        </w:rPr>
        <w:t xml:space="preserve">  业务动态共发布57篇，包括10篇通知公告，47篇部门工作。其中有公开选聘威海市环翠区法治建设监督员的公告，公开选聘环翠区公共法律服务中心和诉讼服务中心值班律师的通知，公开选聘环翠区“一学校（幼儿园）一法律辅导员”的通知，并将所拟聘用名单予以公示。</w:t>
      </w:r>
    </w:p>
    <w:p>
      <w:pPr>
        <w:spacing w:line="560" w:lineRule="exact"/>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2.</w:t>
      </w:r>
      <w:r>
        <w:rPr>
          <w:rFonts w:ascii="楷体_GB2312" w:hAnsi="楷体_GB2312" w:eastAsia="楷体_GB2312" w:cs="楷体_GB2312"/>
          <w:bCs/>
          <w:sz w:val="32"/>
          <w:szCs w:val="32"/>
        </w:rPr>
        <w:t>依申请公开工作方面。</w:t>
      </w:r>
      <w:r>
        <w:rPr>
          <w:rFonts w:hint="eastAsia" w:ascii="楷体_GB2312" w:hAnsi="楷体_GB2312" w:eastAsia="楷体_GB2312" w:cs="楷体_GB2312"/>
          <w:bCs/>
          <w:sz w:val="32"/>
          <w:szCs w:val="32"/>
        </w:rPr>
        <w:t>2023</w:t>
      </w:r>
      <w:r>
        <w:rPr>
          <w:rFonts w:hint="eastAsia" w:ascii="Times New Roman" w:hAnsi="Times New Roman" w:eastAsia="仿宋_GB2312" w:cs="Times New Roman"/>
          <w:bCs/>
          <w:sz w:val="32"/>
          <w:szCs w:val="32"/>
        </w:rPr>
        <w:t>年,我局受理政府信息公开申请1件，按照依申请公开的规范要求在法定时间内给予回复。全年未发生涉及信息公开方面的行政复议和行政诉讼。</w:t>
      </w:r>
    </w:p>
    <w:p>
      <w:pPr>
        <w:spacing w:line="560" w:lineRule="exact"/>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3.</w:t>
      </w:r>
      <w:r>
        <w:rPr>
          <w:rFonts w:ascii="楷体_GB2312" w:hAnsi="楷体_GB2312" w:eastAsia="楷体_GB2312" w:cs="楷体_GB2312"/>
          <w:bCs/>
          <w:sz w:val="32"/>
          <w:szCs w:val="32"/>
        </w:rPr>
        <w:t>政府信息管理方面。</w:t>
      </w:r>
      <w:r>
        <w:rPr>
          <w:rFonts w:hint="eastAsia" w:ascii="Times New Roman" w:hAnsi="Times New Roman" w:eastAsia="仿宋_GB2312" w:cs="Times New Roman"/>
          <w:bCs/>
          <w:sz w:val="32"/>
          <w:szCs w:val="32"/>
        </w:rPr>
        <w:t>建立</w:t>
      </w:r>
      <w:r>
        <w:rPr>
          <w:rFonts w:ascii="Times New Roman" w:hAnsi="Times New Roman" w:eastAsia="仿宋_GB2312" w:cs="Times New Roman"/>
          <w:bCs/>
          <w:sz w:val="32"/>
          <w:szCs w:val="32"/>
        </w:rPr>
        <w:t>政府信息公开</w:t>
      </w:r>
      <w:r>
        <w:rPr>
          <w:rFonts w:hint="eastAsia" w:ascii="Times New Roman" w:hAnsi="Times New Roman" w:eastAsia="仿宋_GB2312" w:cs="Times New Roman"/>
          <w:bCs/>
          <w:sz w:val="32"/>
          <w:szCs w:val="32"/>
        </w:rPr>
        <w:t>保密审查制度。对拟公开的政务信息进行保密审查，经审查后，确定可以公开的予以公开，不能确定的报上级主管部门或同级保密部门审定。涉及国家秘密、商业秘密、个人隐私等敏感信息，一律不予公开。</w:t>
      </w:r>
    </w:p>
    <w:p>
      <w:pPr>
        <w:spacing w:line="560" w:lineRule="exact"/>
        <w:ind w:firstLine="640" w:firstLineChars="200"/>
        <w:rPr>
          <w:rFonts w:ascii="Times New Roman" w:hAnsi="Times New Roman" w:eastAsia="仿宋_GB2312" w:cs="Times New Roman"/>
          <w:bCs/>
          <w:sz w:val="32"/>
          <w:szCs w:val="32"/>
        </w:rPr>
      </w:pPr>
      <w:r>
        <w:rPr>
          <w:rFonts w:ascii="Times New Roman" w:hAnsi="Times New Roman" w:eastAsia="仿宋_GB2312" w:cs="Times New Roman"/>
          <w:bCs/>
          <w:sz w:val="32"/>
          <w:szCs w:val="32"/>
        </w:rPr>
        <w:t>4.</w:t>
      </w:r>
      <w:r>
        <w:rPr>
          <w:rFonts w:ascii="楷体_GB2312" w:hAnsi="楷体_GB2312" w:eastAsia="楷体_GB2312" w:cs="楷体_GB2312"/>
          <w:bCs/>
          <w:sz w:val="32"/>
          <w:szCs w:val="32"/>
        </w:rPr>
        <w:t>平台建设方面。</w:t>
      </w:r>
      <w:r>
        <w:rPr>
          <w:rFonts w:hint="eastAsia" w:ascii="Times New Roman" w:hAnsi="Times New Roman" w:eastAsia="仿宋_GB2312" w:cs="Times New Roman"/>
          <w:bCs/>
          <w:sz w:val="32"/>
          <w:szCs w:val="32"/>
        </w:rPr>
        <w:t>我局以线上线下公开相结合的方式进行政府信息公开，搭建好公开平台。线上依托环翠区政府网站和政务新媒体“最威海是环翠”及时准确做好宣传工作。线下村居法律顾问、法律援助和司法鉴定进社区、进商圈、进企业进行普法宣传，针对性地解答群众提问，积极参与政务公开活动。</w:t>
      </w:r>
    </w:p>
    <w:p>
      <w:pPr>
        <w:spacing w:line="560" w:lineRule="exact"/>
        <w:ind w:firstLine="640" w:firstLineChars="200"/>
        <w:rPr>
          <w:rFonts w:ascii="Times New Roman" w:hAnsi="Times New Roman" w:eastAsia="仿宋_GB2312" w:cs="Times New Roman"/>
          <w:bCs/>
          <w:color w:val="FF0000"/>
          <w:sz w:val="32"/>
          <w:szCs w:val="32"/>
        </w:rPr>
      </w:pPr>
      <w:r>
        <w:rPr>
          <w:rFonts w:ascii="Times New Roman" w:hAnsi="Times New Roman" w:eastAsia="仿宋_GB2312" w:cs="Times New Roman"/>
          <w:bCs/>
          <w:sz w:val="32"/>
          <w:szCs w:val="32"/>
        </w:rPr>
        <w:t>5.</w:t>
      </w:r>
      <w:r>
        <w:rPr>
          <w:rFonts w:ascii="楷体_GB2312" w:hAnsi="楷体_GB2312" w:eastAsia="楷体_GB2312" w:cs="楷体_GB2312"/>
          <w:bCs/>
          <w:sz w:val="32"/>
          <w:szCs w:val="32"/>
        </w:rPr>
        <w:t>监督保障方面。</w:t>
      </w:r>
      <w:r>
        <w:rPr>
          <w:rFonts w:ascii="Times New Roman" w:hAnsi="Times New Roman" w:eastAsia="仿宋_GB2312" w:cs="Times New Roman"/>
          <w:bCs/>
          <w:sz w:val="32"/>
          <w:szCs w:val="32"/>
        </w:rPr>
        <w:t>明确局办公室负责政务公开相关工作</w:t>
      </w:r>
      <w:r>
        <w:rPr>
          <w:rFonts w:hint="eastAsia" w:ascii="Times New Roman" w:hAnsi="Times New Roman" w:eastAsia="仿宋_GB2312" w:cs="Times New Roman"/>
          <w:bCs/>
          <w:sz w:val="32"/>
          <w:szCs w:val="32"/>
        </w:rPr>
        <w:t>，</w:t>
      </w:r>
      <w:r>
        <w:rPr>
          <w:rFonts w:ascii="Times New Roman" w:hAnsi="Times New Roman" w:eastAsia="仿宋_GB2312" w:cs="Times New Roman"/>
          <w:bCs/>
          <w:sz w:val="32"/>
          <w:szCs w:val="32"/>
        </w:rPr>
        <w:t>主要领导年内至少听取1次工作汇报。</w:t>
      </w:r>
      <w:r>
        <w:rPr>
          <w:rFonts w:hint="eastAsia" w:ascii="Times New Roman" w:hAnsi="Times New Roman" w:eastAsia="仿宋_GB2312" w:cs="Times New Roman"/>
          <w:bCs/>
          <w:sz w:val="32"/>
          <w:szCs w:val="32"/>
        </w:rPr>
        <w:t>落实</w:t>
      </w:r>
      <w:r>
        <w:rPr>
          <w:rFonts w:ascii="Times New Roman" w:hAnsi="Times New Roman" w:eastAsia="仿宋_GB2312" w:cs="Times New Roman"/>
          <w:bCs/>
          <w:sz w:val="32"/>
          <w:szCs w:val="32"/>
        </w:rPr>
        <w:t>专人负责网站运维管理工作，</w:t>
      </w:r>
      <w:r>
        <w:rPr>
          <w:rFonts w:hint="eastAsia" w:ascii="Times New Roman" w:hAnsi="Times New Roman" w:eastAsia="仿宋_GB2312" w:cs="Times New Roman"/>
          <w:bCs/>
          <w:sz w:val="32"/>
          <w:szCs w:val="32"/>
        </w:rPr>
        <w:t>不</w:t>
      </w:r>
      <w:r>
        <w:rPr>
          <w:rFonts w:ascii="Times New Roman" w:hAnsi="Times New Roman" w:eastAsia="仿宋_GB2312" w:cs="Times New Roman"/>
          <w:bCs/>
          <w:sz w:val="32"/>
          <w:szCs w:val="32"/>
        </w:rPr>
        <w:t>定期开展网站</w:t>
      </w:r>
      <w:r>
        <w:rPr>
          <w:rFonts w:hint="eastAsia" w:ascii="Times New Roman" w:hAnsi="Times New Roman" w:eastAsia="仿宋_GB2312" w:cs="Times New Roman"/>
          <w:bCs/>
          <w:sz w:val="32"/>
          <w:szCs w:val="32"/>
        </w:rPr>
        <w:t>信息排查</w:t>
      </w:r>
      <w:r>
        <w:rPr>
          <w:rFonts w:ascii="Times New Roman" w:hAnsi="Times New Roman" w:eastAsia="仿宋_GB2312" w:cs="Times New Roman"/>
          <w:bCs/>
          <w:sz w:val="32"/>
          <w:szCs w:val="32"/>
        </w:rPr>
        <w:t>，加大敏感信息保密审查力度</w:t>
      </w:r>
      <w:r>
        <w:rPr>
          <w:rFonts w:hint="eastAsia" w:ascii="Times New Roman" w:hAnsi="Times New Roman" w:eastAsia="仿宋_GB2312" w:cs="Times New Roman"/>
          <w:bCs/>
          <w:sz w:val="32"/>
          <w:szCs w:val="32"/>
        </w:rPr>
        <w:t>。</w:t>
      </w:r>
    </w:p>
    <w:p>
      <w:pPr>
        <w:pStyle w:val="5"/>
        <w:widowControl/>
        <w:shd w:val="clear" w:color="auto" w:fill="FFFFFF"/>
        <w:spacing w:beforeAutospacing="0" w:afterAutospacing="0" w:line="560" w:lineRule="exact"/>
        <w:ind w:firstLine="640" w:firstLineChars="200"/>
        <w:jc w:val="both"/>
        <w:rPr>
          <w:rFonts w:ascii="黑体" w:hAnsi="黑体" w:eastAsia="黑体" w:cs="黑体"/>
          <w:bCs/>
          <w:color w:val="333333"/>
          <w:sz w:val="32"/>
          <w:szCs w:val="32"/>
          <w:shd w:val="clear" w:color="auto" w:fill="FFFFFF"/>
        </w:rPr>
      </w:pPr>
      <w:r>
        <w:rPr>
          <w:rFonts w:hint="eastAsia" w:ascii="黑体" w:hAnsi="黑体" w:eastAsia="黑体" w:cs="黑体"/>
          <w:bCs/>
          <w:color w:val="333333"/>
          <w:sz w:val="32"/>
          <w:szCs w:val="32"/>
          <w:shd w:val="clear" w:color="auto" w:fill="FFFFFF"/>
        </w:rPr>
        <w:t>二、主动公开政府信息情况</w:t>
      </w:r>
    </w:p>
    <w:tbl>
      <w:tblPr>
        <w:tblStyle w:val="6"/>
        <w:tblW w:w="8824" w:type="dxa"/>
        <w:tblInd w:w="0" w:type="dxa"/>
        <w:tblLayout w:type="fixed"/>
        <w:tblCellMar>
          <w:top w:w="0" w:type="dxa"/>
          <w:left w:w="108" w:type="dxa"/>
          <w:bottom w:w="0" w:type="dxa"/>
          <w:right w:w="108" w:type="dxa"/>
        </w:tblCellMar>
      </w:tblPr>
      <w:tblGrid>
        <w:gridCol w:w="2206"/>
        <w:gridCol w:w="2206"/>
        <w:gridCol w:w="2206"/>
        <w:gridCol w:w="2206"/>
      </w:tblGrid>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第二十条第（一）项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现行有效件数</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themeColor="text1"/>
                <w:kern w:val="0"/>
                <w:szCs w:val="21"/>
                <w:lang w:val="en"/>
                <w14:textFill>
                  <w14:solidFill>
                    <w14:schemeClr w14:val="tx1"/>
                  </w14:solidFill>
                </w14:textFill>
              </w:rPr>
            </w:pPr>
            <w:r>
              <w:rPr>
                <w:rFonts w:ascii="仿宋_GB2312" w:hAnsi="宋体" w:eastAsia="仿宋_GB2312" w:cs="宋体"/>
                <w:color w:val="000000" w:themeColor="text1"/>
                <w:kern w:val="0"/>
                <w:szCs w:val="21"/>
                <w:lang w:val="en"/>
                <w14:textFill>
                  <w14:solidFill>
                    <w14:schemeClr w14:val="tx1"/>
                  </w14:solidFill>
                </w14:textFill>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themeColor="text1"/>
                <w:kern w:val="0"/>
                <w:szCs w:val="21"/>
                <w:lang w:val="en"/>
                <w14:textFill>
                  <w14:solidFill>
                    <w14:schemeClr w14:val="tx1"/>
                  </w14:solidFill>
                </w14:textFill>
              </w:rPr>
            </w:pPr>
            <w:r>
              <w:rPr>
                <w:rFonts w:ascii="仿宋_GB2312" w:hAnsi="宋体" w:eastAsia="仿宋_GB2312" w:cs="宋体"/>
                <w:color w:val="000000" w:themeColor="text1"/>
                <w:kern w:val="0"/>
                <w:szCs w:val="21"/>
                <w:lang w:val="en"/>
                <w14:textFill>
                  <w14:solidFill>
                    <w14:schemeClr w14:val="tx1"/>
                  </w14:solidFill>
                </w14:textFill>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Calibri" w:eastAsia="仿宋_GB2312" w:cs="Calibri"/>
                <w:color w:val="000000" w:themeColor="text1"/>
                <w:kern w:val="0"/>
                <w:szCs w:val="21"/>
                <w:lang w:val="en"/>
                <w14:textFill>
                  <w14:solidFill>
                    <w14:schemeClr w14:val="tx1"/>
                  </w14:solidFill>
                </w14:textFill>
              </w:rPr>
            </w:pPr>
            <w:r>
              <w:rPr>
                <w:rFonts w:ascii="仿宋_GB2312" w:hAnsi="Calibri" w:eastAsia="仿宋_GB2312" w:cs="Calibri"/>
                <w:color w:val="000000" w:themeColor="text1"/>
                <w:kern w:val="0"/>
                <w:szCs w:val="21"/>
                <w:lang w:val="en"/>
                <w14:textFill>
                  <w14:solidFill>
                    <w14:schemeClr w14:val="tx1"/>
                  </w14:solidFill>
                </w14:textFill>
              </w:rPr>
              <w:t>0</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themeColor="text1"/>
                <w:kern w:val="0"/>
                <w:szCs w:val="21"/>
                <w:lang w:val="en"/>
                <w14:textFill>
                  <w14:solidFill>
                    <w14:schemeClr w14:val="tx1"/>
                  </w14:solidFill>
                </w14:textFill>
              </w:rPr>
            </w:pPr>
            <w:r>
              <w:rPr>
                <w:rFonts w:ascii="仿宋_GB2312" w:hAnsi="宋体" w:eastAsia="仿宋_GB2312" w:cs="宋体"/>
                <w:color w:val="000000" w:themeColor="text1"/>
                <w:kern w:val="0"/>
                <w:szCs w:val="21"/>
                <w:lang w:val="en"/>
                <w14:textFill>
                  <w14:solidFill>
                    <w14:schemeClr w14:val="tx1"/>
                  </w14:solidFill>
                </w14:textFill>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themeColor="text1"/>
                <w:kern w:val="0"/>
                <w:szCs w:val="21"/>
                <w:lang w:val="en"/>
                <w14:textFill>
                  <w14:solidFill>
                    <w14:schemeClr w14:val="tx1"/>
                  </w14:solidFill>
                </w14:textFill>
              </w:rPr>
            </w:pPr>
            <w:r>
              <w:rPr>
                <w:rFonts w:ascii="仿宋_GB2312" w:hAnsi="宋体" w:eastAsia="仿宋_GB2312" w:cs="宋体"/>
                <w:color w:val="000000" w:themeColor="text1"/>
                <w:kern w:val="0"/>
                <w:szCs w:val="21"/>
                <w:lang w:val="en"/>
                <w14:textFill>
                  <w14:solidFill>
                    <w14:schemeClr w14:val="tx1"/>
                  </w14:solidFill>
                </w14:textFill>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themeColor="text1"/>
                <w:kern w:val="0"/>
                <w:szCs w:val="21"/>
                <w:lang w:val="en"/>
                <w14:textFill>
                  <w14:solidFill>
                    <w14:schemeClr w14:val="tx1"/>
                  </w14:solidFill>
                </w14:textFill>
              </w:rPr>
            </w:pPr>
            <w:r>
              <w:rPr>
                <w:rFonts w:ascii="仿宋_GB2312" w:hAnsi="宋体" w:eastAsia="仿宋_GB2312" w:cs="宋体"/>
                <w:color w:val="000000" w:themeColor="text1"/>
                <w:kern w:val="0"/>
                <w:szCs w:val="21"/>
                <w:lang w:val="en"/>
                <w14:textFill>
                  <w14:solidFill>
                    <w14:schemeClr w14:val="tx1"/>
                  </w14:solidFill>
                </w14:textFill>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第二十条第（五）项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Calibri" w:eastAsia="仿宋_GB2312" w:cs="Calibri"/>
                <w:color w:val="000000"/>
                <w:kern w:val="0"/>
                <w:szCs w:val="21"/>
                <w:lang w:val="en"/>
              </w:rPr>
            </w:pPr>
            <w:r>
              <w:rPr>
                <w:rFonts w:ascii="仿宋_GB2312" w:hAnsi="Calibri" w:eastAsia="仿宋_GB2312" w:cs="Calibri"/>
                <w:color w:val="000000"/>
                <w:kern w:val="0"/>
                <w:szCs w:val="21"/>
                <w:lang w:val="e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第二十条第（六）项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Calibri" w:eastAsia="仿宋_GB2312" w:cs="Calibri"/>
                <w:kern w:val="0"/>
                <w:szCs w:val="21"/>
                <w:lang w:val="en"/>
              </w:rPr>
            </w:pPr>
            <w:r>
              <w:rPr>
                <w:rFonts w:ascii="仿宋_GB2312" w:hAnsi="Calibri" w:eastAsia="仿宋_GB2312" w:cs="Calibri"/>
                <w:kern w:val="0"/>
                <w:szCs w:val="21"/>
                <w:lang w:val="en"/>
              </w:rPr>
              <w:t>1</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Calibri" w:eastAsia="仿宋_GB2312" w:cs="Calibri"/>
                <w:kern w:val="0"/>
                <w:szCs w:val="21"/>
                <w:lang w:val="en"/>
              </w:rPr>
            </w:pPr>
            <w:r>
              <w:rPr>
                <w:rFonts w:ascii="仿宋_GB2312" w:hAnsi="Calibri" w:eastAsia="仿宋_GB2312" w:cs="Calibri"/>
                <w:kern w:val="0"/>
                <w:szCs w:val="21"/>
                <w:lang w:val="e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第二十条第（八）项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本年收费金额（单位：万元）</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Calibri" w:eastAsia="仿宋_GB2312" w:cs="Calibri"/>
                <w:color w:val="000000"/>
                <w:kern w:val="0"/>
                <w:szCs w:val="21"/>
                <w:lang w:val="en"/>
              </w:rPr>
            </w:pPr>
            <w:r>
              <w:rPr>
                <w:rFonts w:ascii="仿宋_GB2312" w:hAnsi="Calibri" w:eastAsia="仿宋_GB2312" w:cs="Calibri"/>
                <w:color w:val="000000" w:themeColor="text1"/>
                <w:kern w:val="0"/>
                <w:szCs w:val="21"/>
                <w:lang w:val="en"/>
                <w14:textFill>
                  <w14:solidFill>
                    <w14:schemeClr w14:val="tx1"/>
                  </w14:solidFill>
                </w14:textFill>
              </w:rPr>
              <w:t>0</w:t>
            </w:r>
          </w:p>
        </w:tc>
      </w:tr>
    </w:tbl>
    <w:p>
      <w:pPr>
        <w:spacing w:line="560" w:lineRule="exact"/>
        <w:ind w:firstLine="640" w:firstLineChars="200"/>
        <w:rPr>
          <w:rFonts w:ascii="仿宋_GB2312" w:hAnsi="仿宋_GB2312" w:eastAsia="仿宋_GB2312" w:cs="仿宋_GB2312"/>
          <w:color w:val="FF0000"/>
          <w:sz w:val="32"/>
          <w:szCs w:val="32"/>
        </w:rPr>
      </w:pPr>
      <w:r>
        <w:rPr>
          <w:rFonts w:hint="eastAsia" w:ascii="黑体" w:hAnsi="黑体" w:eastAsia="黑体" w:cs="黑体"/>
          <w:bCs/>
          <w:kern w:val="0"/>
          <w:sz w:val="32"/>
          <w:szCs w:val="32"/>
          <w:shd w:val="clear" w:color="auto" w:fill="FFFFFF"/>
          <w:lang w:bidi="ar"/>
        </w:rPr>
        <w:t>三、收</w:t>
      </w:r>
      <w:r>
        <w:rPr>
          <w:rFonts w:hint="eastAsia" w:ascii="黑体" w:hAnsi="黑体" w:eastAsia="黑体" w:cs="黑体"/>
          <w:bCs/>
          <w:color w:val="333333"/>
          <w:kern w:val="0"/>
          <w:sz w:val="32"/>
          <w:szCs w:val="32"/>
          <w:shd w:val="clear" w:color="auto" w:fill="FFFFFF"/>
          <w:lang w:bidi="ar"/>
        </w:rPr>
        <w:t>到和处理政府信息公开申请情况</w:t>
      </w:r>
    </w:p>
    <w:tbl>
      <w:tblPr>
        <w:tblStyle w:val="6"/>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699"/>
        <w:gridCol w:w="2972"/>
        <w:gridCol w:w="751"/>
        <w:gridCol w:w="9"/>
        <w:gridCol w:w="10"/>
        <w:gridCol w:w="521"/>
        <w:gridCol w:w="8"/>
        <w:gridCol w:w="9"/>
        <w:gridCol w:w="527"/>
        <w:gridCol w:w="719"/>
        <w:gridCol w:w="674"/>
        <w:gridCol w:w="526"/>
        <w:gridCol w:w="70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pPr>
              <w:widowControl/>
              <w:jc w:val="center"/>
              <w:rPr>
                <w:rFonts w:ascii="楷体_GB2312" w:hAnsi="黑体" w:eastAsia="楷体_GB2312"/>
                <w:kern w:val="0"/>
                <w:szCs w:val="21"/>
              </w:rPr>
            </w:pPr>
            <w:r>
              <w:rPr>
                <w:rFonts w:hint="eastAsia" w:ascii="楷体_GB2312" w:hAnsi="黑体" w:eastAsia="楷体_GB2312"/>
                <w:kern w:val="0"/>
                <w:szCs w:val="21"/>
              </w:rPr>
              <w:t>（本列数据的勾稽关系为：第一项加第二项之和，</w:t>
            </w:r>
          </w:p>
          <w:p>
            <w:pPr>
              <w:widowControl/>
              <w:jc w:val="center"/>
              <w:rPr>
                <w:rFonts w:ascii="仿宋_GB2312" w:hAnsi="Times New Roman" w:eastAsia="仿宋_GB2312"/>
                <w:szCs w:val="21"/>
              </w:rPr>
            </w:pPr>
            <w:r>
              <w:rPr>
                <w:rFonts w:hint="eastAsia" w:ascii="楷体_GB2312" w:hAnsi="黑体" w:eastAsia="楷体_GB2312"/>
                <w:kern w:val="0"/>
                <w:szCs w:val="21"/>
              </w:rPr>
              <w:t>等于第三项加第四项之和）</w:t>
            </w:r>
          </w:p>
        </w:tc>
        <w:tc>
          <w:tcPr>
            <w:tcW w:w="4448" w:type="dxa"/>
            <w:gridSpan w:val="11"/>
            <w:shd w:val="clear" w:color="auto" w:fill="auto"/>
            <w:tcMar>
              <w:left w:w="108" w:type="dxa"/>
              <w:right w:w="108" w:type="dxa"/>
            </w:tcMar>
            <w:vAlign w:val="center"/>
          </w:tcPr>
          <w:p>
            <w:pPr>
              <w:widowControl/>
              <w:spacing w:line="320" w:lineRule="exact"/>
              <w:jc w:val="center"/>
              <w:rPr>
                <w:rFonts w:ascii="黑体" w:hAnsi="黑体" w:eastAsia="黑体"/>
                <w:szCs w:val="21"/>
              </w:rPr>
            </w:pPr>
            <w:r>
              <w:rPr>
                <w:rFonts w:hint="eastAsia" w:ascii="黑体" w:hAnsi="黑体" w:eastAsia="黑体"/>
                <w:kern w:val="0"/>
                <w:szCs w:val="21"/>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pPr>
              <w:jc w:val="center"/>
              <w:rPr>
                <w:rFonts w:ascii="仿宋_GB2312" w:hAnsi="Times New Roman" w:eastAsia="仿宋_GB2312"/>
                <w:szCs w:val="21"/>
              </w:rPr>
            </w:pPr>
          </w:p>
        </w:tc>
        <w:tc>
          <w:tcPr>
            <w:tcW w:w="747" w:type="dxa"/>
            <w:vMerge w:val="restart"/>
            <w:shd w:val="clear" w:color="auto" w:fill="auto"/>
            <w:tcMar>
              <w:left w:w="108" w:type="dxa"/>
              <w:right w:w="108" w:type="dxa"/>
            </w:tcMar>
            <w:vAlign w:val="center"/>
          </w:tcPr>
          <w:p>
            <w:pPr>
              <w:widowControl/>
              <w:jc w:val="center"/>
              <w:rPr>
                <w:rFonts w:ascii="黑体" w:hAnsi="黑体" w:eastAsia="黑体"/>
                <w:szCs w:val="21"/>
              </w:rPr>
            </w:pPr>
            <w:r>
              <w:rPr>
                <w:rFonts w:hint="eastAsia" w:ascii="黑体" w:hAnsi="黑体" w:eastAsia="黑体"/>
                <w:kern w:val="0"/>
                <w:szCs w:val="21"/>
              </w:rPr>
              <w:t>自然人</w:t>
            </w:r>
          </w:p>
        </w:tc>
        <w:tc>
          <w:tcPr>
            <w:tcW w:w="3000" w:type="dxa"/>
            <w:gridSpan w:val="9"/>
            <w:shd w:val="clear" w:color="auto" w:fill="auto"/>
            <w:tcMar>
              <w:left w:w="108" w:type="dxa"/>
              <w:right w:w="108" w:type="dxa"/>
            </w:tcMar>
            <w:vAlign w:val="center"/>
          </w:tcPr>
          <w:p>
            <w:pPr>
              <w:widowControl/>
              <w:spacing w:line="320" w:lineRule="exact"/>
              <w:jc w:val="center"/>
              <w:rPr>
                <w:rFonts w:ascii="黑体" w:hAnsi="黑体" w:eastAsia="黑体"/>
                <w:szCs w:val="21"/>
              </w:rPr>
            </w:pPr>
            <w:r>
              <w:rPr>
                <w:rFonts w:hint="eastAsia" w:ascii="黑体" w:hAnsi="黑体" w:eastAsia="黑体"/>
                <w:kern w:val="0"/>
                <w:szCs w:val="21"/>
              </w:rPr>
              <w:t>法人或其他组织</w:t>
            </w:r>
          </w:p>
        </w:tc>
        <w:tc>
          <w:tcPr>
            <w:tcW w:w="701" w:type="dxa"/>
            <w:vMerge w:val="restart"/>
            <w:shd w:val="clear" w:color="auto" w:fill="auto"/>
            <w:tcMar>
              <w:left w:w="108" w:type="dxa"/>
              <w:right w:w="108" w:type="dxa"/>
            </w:tcMar>
            <w:vAlign w:val="center"/>
          </w:tcPr>
          <w:p>
            <w:pPr>
              <w:widowControl/>
              <w:jc w:val="center"/>
              <w:rPr>
                <w:rFonts w:ascii="黑体" w:hAnsi="黑体" w:eastAsia="黑体"/>
                <w:szCs w:val="21"/>
              </w:rPr>
            </w:pPr>
            <w:r>
              <w:rPr>
                <w:rFonts w:hint="eastAsia" w:ascii="黑体" w:hAnsi="黑体" w:eastAsia="黑体"/>
                <w:kern w:val="0"/>
                <w:szCs w:val="21"/>
              </w:rPr>
              <w:t>总计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pPr>
              <w:jc w:val="center"/>
              <w:rPr>
                <w:rFonts w:ascii="仿宋_GB2312" w:hAnsi="Times New Roman" w:eastAsia="仿宋_GB2312"/>
                <w:szCs w:val="21"/>
              </w:rPr>
            </w:pPr>
          </w:p>
        </w:tc>
        <w:tc>
          <w:tcPr>
            <w:tcW w:w="747" w:type="dxa"/>
            <w:vMerge w:val="continue"/>
            <w:shd w:val="clear" w:color="auto" w:fill="auto"/>
            <w:tcMar>
              <w:left w:w="108" w:type="dxa"/>
              <w:right w:w="108" w:type="dxa"/>
            </w:tcMar>
            <w:vAlign w:val="center"/>
          </w:tcPr>
          <w:p>
            <w:pPr>
              <w:jc w:val="center"/>
              <w:rPr>
                <w:rFonts w:ascii="黑体" w:hAnsi="黑体" w:eastAsia="黑体"/>
                <w:szCs w:val="21"/>
              </w:rPr>
            </w:pPr>
          </w:p>
        </w:tc>
        <w:tc>
          <w:tcPr>
            <w:tcW w:w="540" w:type="dxa"/>
            <w:gridSpan w:val="3"/>
            <w:shd w:val="clear" w:color="auto" w:fill="auto"/>
            <w:tcMar>
              <w:left w:w="108" w:type="dxa"/>
              <w:right w:w="108" w:type="dxa"/>
            </w:tcMar>
            <w:vAlign w:val="center"/>
          </w:tcPr>
          <w:p>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商业企业</w:t>
            </w:r>
          </w:p>
        </w:tc>
        <w:tc>
          <w:tcPr>
            <w:tcW w:w="540" w:type="dxa"/>
            <w:gridSpan w:val="3"/>
            <w:shd w:val="clear" w:color="auto" w:fill="auto"/>
            <w:tcMar>
              <w:left w:w="108" w:type="dxa"/>
              <w:right w:w="108" w:type="dxa"/>
            </w:tcMar>
            <w:vAlign w:val="center"/>
          </w:tcPr>
          <w:p>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科研机构</w:t>
            </w:r>
          </w:p>
        </w:tc>
        <w:tc>
          <w:tcPr>
            <w:tcW w:w="720" w:type="dxa"/>
            <w:shd w:val="clear" w:color="auto" w:fill="auto"/>
            <w:tcMar>
              <w:left w:w="108" w:type="dxa"/>
              <w:right w:w="108" w:type="dxa"/>
            </w:tcMar>
            <w:vAlign w:val="center"/>
          </w:tcPr>
          <w:p>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社会公益组织</w:t>
            </w:r>
          </w:p>
        </w:tc>
        <w:tc>
          <w:tcPr>
            <w:tcW w:w="675" w:type="dxa"/>
            <w:shd w:val="clear" w:color="auto" w:fill="auto"/>
            <w:tcMar>
              <w:left w:w="108" w:type="dxa"/>
              <w:right w:w="108" w:type="dxa"/>
            </w:tcMar>
            <w:vAlign w:val="center"/>
          </w:tcPr>
          <w:p>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法律服务机构</w:t>
            </w:r>
          </w:p>
        </w:tc>
        <w:tc>
          <w:tcPr>
            <w:tcW w:w="525" w:type="dxa"/>
            <w:shd w:val="clear" w:color="auto" w:fill="auto"/>
            <w:tcMar>
              <w:left w:w="108" w:type="dxa"/>
              <w:right w:w="108" w:type="dxa"/>
            </w:tcMar>
            <w:vAlign w:val="center"/>
          </w:tcPr>
          <w:p>
            <w:pPr>
              <w:widowControl/>
              <w:spacing w:line="360" w:lineRule="exact"/>
              <w:ind w:left="-63" w:leftChars="-30" w:right="-134" w:rightChars="-64"/>
              <w:jc w:val="center"/>
              <w:rPr>
                <w:rFonts w:ascii="黑体" w:hAnsi="黑体" w:eastAsia="黑体"/>
                <w:szCs w:val="21"/>
              </w:rPr>
            </w:pPr>
            <w:r>
              <w:rPr>
                <w:rFonts w:hint="eastAsia" w:ascii="黑体" w:hAnsi="黑体" w:eastAsia="黑体"/>
                <w:kern w:val="0"/>
                <w:szCs w:val="21"/>
              </w:rPr>
              <w:t>其他</w:t>
            </w:r>
          </w:p>
        </w:tc>
        <w:tc>
          <w:tcPr>
            <w:tcW w:w="701" w:type="dxa"/>
            <w:vMerge w:val="continue"/>
            <w:shd w:val="clear" w:color="auto" w:fill="auto"/>
            <w:tcMar>
              <w:left w:w="108" w:type="dxa"/>
              <w:right w:w="108" w:type="dxa"/>
            </w:tcMar>
            <w:vAlign w:val="center"/>
          </w:tcPr>
          <w:p>
            <w:pPr>
              <w:jc w:val="center"/>
              <w:rPr>
                <w:rFonts w:ascii="仿宋_GB2312" w:hAnsi="Times New Roman" w:eastAsia="仿宋_GB231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一、</w:t>
            </w:r>
            <w:bookmarkStart w:id="0" w:name="_Hlk66973412"/>
            <w:r>
              <w:rPr>
                <w:rFonts w:hint="eastAsia" w:ascii="黑体" w:hAnsi="黑体" w:eastAsia="黑体"/>
                <w:kern w:val="0"/>
                <w:szCs w:val="21"/>
              </w:rPr>
              <w:t>本年新收政府信息公开申请数量</w:t>
            </w:r>
            <w:bookmarkEnd w:id="0"/>
          </w:p>
        </w:tc>
        <w:tc>
          <w:tcPr>
            <w:tcW w:w="747"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000000" w:themeColor="text1"/>
                <w:szCs w:val="21"/>
                <w14:textFill>
                  <w14:solidFill>
                    <w14:schemeClr w14:val="tx1"/>
                  </w14:solidFill>
                </w14:textFill>
              </w:rPr>
            </w:pPr>
            <w:r>
              <w:rPr>
                <w:rFonts w:hint="eastAsia" w:ascii="仿宋_GB2312" w:hAnsi="Times New Roman" w:eastAsia="仿宋_GB2312"/>
                <w:color w:val="000000" w:themeColor="text1"/>
                <w:szCs w:val="21"/>
                <w14:textFill>
                  <w14:solidFill>
                    <w14:schemeClr w14:val="tx1"/>
                  </w14:solidFill>
                </w14:textFill>
              </w:rPr>
              <w:t>1</w:t>
            </w:r>
          </w:p>
        </w:tc>
        <w:tc>
          <w:tcPr>
            <w:tcW w:w="540"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000000" w:themeColor="text1"/>
                <w:szCs w:val="21"/>
                <w14:textFill>
                  <w14:solidFill>
                    <w14:schemeClr w14:val="tx1"/>
                  </w14:solidFill>
                </w14:textFill>
              </w:rPr>
            </w:pPr>
            <w:r>
              <w:rPr>
                <w:rFonts w:hint="eastAsia" w:ascii="仿宋_GB2312" w:hAnsi="Times New Roman" w:eastAsia="仿宋_GB2312"/>
                <w:color w:val="000000" w:themeColor="text1"/>
                <w:szCs w:val="21"/>
                <w14:textFill>
                  <w14:solidFill>
                    <w14:schemeClr w14:val="tx1"/>
                  </w14:solidFill>
                </w14:textFill>
              </w:rPr>
              <w:t>0</w:t>
            </w:r>
          </w:p>
        </w:tc>
        <w:tc>
          <w:tcPr>
            <w:tcW w:w="540"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000000" w:themeColor="text1"/>
                <w:szCs w:val="21"/>
                <w14:textFill>
                  <w14:solidFill>
                    <w14:schemeClr w14:val="tx1"/>
                  </w14:solidFill>
                </w14:textFill>
              </w:rPr>
            </w:pPr>
            <w:r>
              <w:rPr>
                <w:rFonts w:hint="eastAsia" w:ascii="仿宋_GB2312" w:hAnsi="Times New Roman" w:eastAsia="仿宋_GB2312"/>
                <w:color w:val="000000" w:themeColor="text1"/>
                <w:szCs w:val="21"/>
                <w14:textFill>
                  <w14:solidFill>
                    <w14:schemeClr w14:val="tx1"/>
                  </w14:solidFill>
                </w14:textFill>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000000" w:themeColor="text1"/>
                <w:szCs w:val="21"/>
                <w14:textFill>
                  <w14:solidFill>
                    <w14:schemeClr w14:val="tx1"/>
                  </w14:solidFill>
                </w14:textFill>
              </w:rPr>
            </w:pPr>
            <w:r>
              <w:rPr>
                <w:rFonts w:hint="eastAsia" w:ascii="仿宋_GB2312" w:hAnsi="Times New Roman" w:eastAsia="仿宋_GB2312"/>
                <w:color w:val="000000" w:themeColor="text1"/>
                <w:szCs w:val="21"/>
                <w14:textFill>
                  <w14:solidFill>
                    <w14:schemeClr w14:val="tx1"/>
                  </w14:solidFill>
                </w14:textFill>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000000" w:themeColor="text1"/>
                <w:szCs w:val="21"/>
                <w14:textFill>
                  <w14:solidFill>
                    <w14:schemeClr w14:val="tx1"/>
                  </w14:solidFill>
                </w14:textFill>
              </w:rPr>
            </w:pPr>
            <w:r>
              <w:rPr>
                <w:rFonts w:hint="eastAsia" w:ascii="仿宋_GB2312" w:hAnsi="Times New Roman" w:eastAsia="仿宋_GB2312"/>
                <w:color w:val="000000" w:themeColor="text1"/>
                <w:szCs w:val="21"/>
                <w14:textFill>
                  <w14:solidFill>
                    <w14:schemeClr w14:val="tx1"/>
                  </w14:solidFill>
                </w14:textFill>
              </w:rPr>
              <w:t>0</w:t>
            </w:r>
          </w:p>
        </w:tc>
        <w:tc>
          <w:tcPr>
            <w:tcW w:w="525"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000000" w:themeColor="text1"/>
                <w:szCs w:val="21"/>
                <w14:textFill>
                  <w14:solidFill>
                    <w14:schemeClr w14:val="tx1"/>
                  </w14:solidFill>
                </w14:textFill>
              </w:rPr>
            </w:pPr>
            <w:r>
              <w:rPr>
                <w:rFonts w:hint="eastAsia" w:ascii="仿宋_GB2312" w:hAnsi="Times New Roman" w:eastAsia="仿宋_GB2312"/>
                <w:color w:val="000000" w:themeColor="text1"/>
                <w:szCs w:val="21"/>
                <w14:textFill>
                  <w14:solidFill>
                    <w14:schemeClr w14:val="tx1"/>
                  </w14:solidFill>
                </w14:textFill>
              </w:rPr>
              <w:t>0</w:t>
            </w:r>
          </w:p>
        </w:tc>
        <w:tc>
          <w:tcPr>
            <w:tcW w:w="701"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000000" w:themeColor="text1"/>
                <w:szCs w:val="21"/>
                <w14:textFill>
                  <w14:solidFill>
                    <w14:schemeClr w14:val="tx1"/>
                  </w14:solidFill>
                </w14:textFill>
              </w:rPr>
            </w:pPr>
            <w:r>
              <w:rPr>
                <w:rFonts w:hint="eastAsia" w:ascii="仿宋_GB2312" w:hAnsi="Times New Roman" w:eastAsia="仿宋_GB2312"/>
                <w:color w:val="000000" w:themeColor="text1"/>
                <w:szCs w:val="21"/>
                <w14:textFill>
                  <w14:solidFill>
                    <w14:schemeClr w14:val="tx1"/>
                  </w14:solidFill>
                </w14:textFill>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二、上年结转政府信息公开申请数量</w:t>
            </w:r>
          </w:p>
        </w:tc>
        <w:tc>
          <w:tcPr>
            <w:tcW w:w="747"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000000" w:themeColor="text1"/>
                <w:szCs w:val="21"/>
                <w14:textFill>
                  <w14:solidFill>
                    <w14:schemeClr w14:val="tx1"/>
                  </w14:solidFill>
                </w14:textFill>
              </w:rPr>
            </w:pPr>
            <w:r>
              <w:rPr>
                <w:rFonts w:hint="eastAsia" w:ascii="仿宋_GB2312" w:hAnsi="Times New Roman" w:eastAsia="仿宋_GB2312"/>
                <w:color w:val="000000" w:themeColor="text1"/>
                <w:szCs w:val="21"/>
                <w14:textFill>
                  <w14:solidFill>
                    <w14:schemeClr w14:val="tx1"/>
                  </w14:solidFill>
                </w14:textFill>
              </w:rPr>
              <w:t>0</w:t>
            </w:r>
          </w:p>
        </w:tc>
        <w:tc>
          <w:tcPr>
            <w:tcW w:w="540"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000000" w:themeColor="text1"/>
                <w:szCs w:val="21"/>
                <w14:textFill>
                  <w14:solidFill>
                    <w14:schemeClr w14:val="tx1"/>
                  </w14:solidFill>
                </w14:textFill>
              </w:rPr>
            </w:pPr>
            <w:r>
              <w:rPr>
                <w:rFonts w:hint="eastAsia" w:ascii="仿宋_GB2312" w:hAnsi="Times New Roman" w:eastAsia="仿宋_GB2312"/>
                <w:color w:val="000000" w:themeColor="text1"/>
                <w:szCs w:val="21"/>
                <w14:textFill>
                  <w14:solidFill>
                    <w14:schemeClr w14:val="tx1"/>
                  </w14:solidFill>
                </w14:textFill>
              </w:rPr>
              <w:t>0</w:t>
            </w:r>
          </w:p>
        </w:tc>
        <w:tc>
          <w:tcPr>
            <w:tcW w:w="540"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color w:val="000000" w:themeColor="text1"/>
                <w:szCs w:val="21"/>
                <w14:textFill>
                  <w14:solidFill>
                    <w14:schemeClr w14:val="tx1"/>
                  </w14:solidFill>
                </w14:textFill>
              </w:rPr>
            </w:pPr>
            <w:r>
              <w:rPr>
                <w:rFonts w:hint="eastAsia" w:ascii="仿宋_GB2312" w:hAnsi="Times New Roman" w:eastAsia="仿宋_GB2312"/>
                <w:color w:val="000000" w:themeColor="text1"/>
                <w:szCs w:val="21"/>
                <w14:textFill>
                  <w14:solidFill>
                    <w14:schemeClr w14:val="tx1"/>
                  </w14:solidFill>
                </w14:textFill>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000000" w:themeColor="text1"/>
                <w:szCs w:val="21"/>
                <w14:textFill>
                  <w14:solidFill>
                    <w14:schemeClr w14:val="tx1"/>
                  </w14:solidFill>
                </w14:textFill>
              </w:rPr>
            </w:pPr>
            <w:r>
              <w:rPr>
                <w:rFonts w:hint="eastAsia" w:ascii="仿宋_GB2312" w:hAnsi="Times New Roman" w:eastAsia="仿宋_GB2312"/>
                <w:color w:val="000000" w:themeColor="text1"/>
                <w:szCs w:val="21"/>
                <w14:textFill>
                  <w14:solidFill>
                    <w14:schemeClr w14:val="tx1"/>
                  </w14:solidFill>
                </w14:textFill>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000000" w:themeColor="text1"/>
                <w:szCs w:val="21"/>
                <w14:textFill>
                  <w14:solidFill>
                    <w14:schemeClr w14:val="tx1"/>
                  </w14:solidFill>
                </w14:textFill>
              </w:rPr>
            </w:pPr>
            <w:r>
              <w:rPr>
                <w:rFonts w:hint="eastAsia" w:ascii="仿宋_GB2312" w:hAnsi="Times New Roman" w:eastAsia="仿宋_GB2312"/>
                <w:color w:val="000000" w:themeColor="text1"/>
                <w:szCs w:val="21"/>
                <w14:textFill>
                  <w14:solidFill>
                    <w14:schemeClr w14:val="tx1"/>
                  </w14:solidFill>
                </w14:textFill>
              </w:rPr>
              <w:t>0</w:t>
            </w:r>
          </w:p>
        </w:tc>
        <w:tc>
          <w:tcPr>
            <w:tcW w:w="525"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000000" w:themeColor="text1"/>
                <w:szCs w:val="21"/>
                <w14:textFill>
                  <w14:solidFill>
                    <w14:schemeClr w14:val="tx1"/>
                  </w14:solidFill>
                </w14:textFill>
              </w:rPr>
            </w:pPr>
            <w:r>
              <w:rPr>
                <w:rFonts w:hint="eastAsia" w:ascii="仿宋_GB2312" w:hAnsi="Times New Roman" w:eastAsia="仿宋_GB2312"/>
                <w:color w:val="000000" w:themeColor="text1"/>
                <w:szCs w:val="21"/>
                <w14:textFill>
                  <w14:solidFill>
                    <w14:schemeClr w14:val="tx1"/>
                  </w14:solidFill>
                </w14:textFill>
              </w:rPr>
              <w:t>0</w:t>
            </w:r>
          </w:p>
        </w:tc>
        <w:tc>
          <w:tcPr>
            <w:tcW w:w="701"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000000" w:themeColor="text1"/>
                <w:szCs w:val="21"/>
                <w14:textFill>
                  <w14:solidFill>
                    <w14:schemeClr w14:val="tx1"/>
                  </w14:solidFill>
                </w14:textFill>
              </w:rPr>
            </w:pPr>
            <w:r>
              <w:rPr>
                <w:rFonts w:hint="eastAsia" w:ascii="仿宋_GB2312" w:hAnsi="Times New Roman" w:eastAsia="仿宋_GB2312"/>
                <w:color w:val="000000" w:themeColor="text1"/>
                <w:szCs w:val="21"/>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pPr>
              <w:widowControl/>
              <w:spacing w:after="180"/>
              <w:rPr>
                <w:rFonts w:ascii="黑体" w:hAnsi="黑体" w:eastAsia="黑体"/>
                <w:szCs w:val="21"/>
              </w:rPr>
            </w:pPr>
            <w:r>
              <w:rPr>
                <w:rFonts w:hint="eastAsia" w:ascii="黑体" w:hAnsi="黑体" w:eastAsia="黑体"/>
                <w:kern w:val="0"/>
                <w:szCs w:val="21"/>
              </w:rPr>
              <w:t>三、本年度办理结果</w:t>
            </w:r>
          </w:p>
        </w:tc>
        <w:tc>
          <w:tcPr>
            <w:tcW w:w="4677" w:type="dxa"/>
            <w:gridSpan w:val="2"/>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（一）予以公开</w:t>
            </w:r>
          </w:p>
        </w:tc>
        <w:tc>
          <w:tcPr>
            <w:tcW w:w="752"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000000" w:themeColor="text1"/>
                <w:szCs w:val="21"/>
                <w14:textFill>
                  <w14:solidFill>
                    <w14:schemeClr w14:val="tx1"/>
                  </w14:solidFill>
                </w14:textFill>
              </w:rPr>
            </w:pPr>
            <w:r>
              <w:rPr>
                <w:rFonts w:hint="eastAsia" w:ascii="仿宋_GB2312" w:hAnsi="Times New Roman" w:eastAsia="仿宋_GB2312"/>
                <w:color w:val="000000" w:themeColor="text1"/>
                <w:szCs w:val="21"/>
                <w14:textFill>
                  <w14:solidFill>
                    <w14:schemeClr w14:val="tx1"/>
                  </w14:solidFill>
                </w14:textFill>
              </w:rPr>
              <w:t>1</w:t>
            </w:r>
          </w:p>
        </w:tc>
        <w:tc>
          <w:tcPr>
            <w:tcW w:w="540"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color w:val="000000" w:themeColor="text1"/>
                <w:szCs w:val="21"/>
                <w14:textFill>
                  <w14:solidFill>
                    <w14:schemeClr w14:val="tx1"/>
                  </w14:solidFill>
                </w14:textFill>
              </w:rPr>
            </w:pPr>
            <w:r>
              <w:rPr>
                <w:rFonts w:hint="eastAsia" w:ascii="仿宋_GB2312" w:hAnsi="Times New Roman" w:eastAsia="仿宋_GB2312"/>
                <w:color w:val="000000" w:themeColor="text1"/>
                <w:szCs w:val="21"/>
                <w14:textFill>
                  <w14:solidFill>
                    <w14:schemeClr w14:val="tx1"/>
                  </w14:solidFill>
                </w14:textFill>
              </w:rPr>
              <w:t>0</w:t>
            </w:r>
          </w:p>
        </w:tc>
        <w:tc>
          <w:tcPr>
            <w:tcW w:w="535"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color w:val="000000" w:themeColor="text1"/>
                <w:szCs w:val="21"/>
                <w14:textFill>
                  <w14:solidFill>
                    <w14:schemeClr w14:val="tx1"/>
                  </w14:solidFill>
                </w14:textFill>
              </w:rPr>
            </w:pPr>
            <w:r>
              <w:rPr>
                <w:rFonts w:hint="eastAsia" w:ascii="仿宋_GB2312" w:hAnsi="Times New Roman" w:eastAsia="仿宋_GB2312"/>
                <w:color w:val="000000" w:themeColor="text1"/>
                <w:szCs w:val="21"/>
                <w14:textFill>
                  <w14:solidFill>
                    <w14:schemeClr w14:val="tx1"/>
                  </w14:solidFill>
                </w14:textFill>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000000" w:themeColor="text1"/>
                <w:szCs w:val="21"/>
                <w14:textFill>
                  <w14:solidFill>
                    <w14:schemeClr w14:val="tx1"/>
                  </w14:solidFill>
                </w14:textFill>
              </w:rPr>
            </w:pPr>
            <w:r>
              <w:rPr>
                <w:rFonts w:hint="eastAsia" w:ascii="仿宋_GB2312" w:hAnsi="Times New Roman" w:eastAsia="仿宋_GB2312"/>
                <w:color w:val="000000" w:themeColor="text1"/>
                <w:szCs w:val="21"/>
                <w14:textFill>
                  <w14:solidFill>
                    <w14:schemeClr w14:val="tx1"/>
                  </w14:solidFill>
                </w14:textFill>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000000" w:themeColor="text1"/>
                <w:szCs w:val="21"/>
                <w14:textFill>
                  <w14:solidFill>
                    <w14:schemeClr w14:val="tx1"/>
                  </w14:solidFill>
                </w14:textFill>
              </w:rPr>
            </w:pPr>
            <w:r>
              <w:rPr>
                <w:rFonts w:hint="eastAsia" w:ascii="仿宋_GB2312" w:hAnsi="Times New Roman" w:eastAsia="仿宋_GB2312"/>
                <w:color w:val="000000" w:themeColor="text1"/>
                <w:szCs w:val="21"/>
                <w14:textFill>
                  <w14:solidFill>
                    <w14:schemeClr w14:val="tx1"/>
                  </w14:solidFill>
                </w14:textFill>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000000" w:themeColor="text1"/>
                <w:szCs w:val="21"/>
                <w14:textFill>
                  <w14:solidFill>
                    <w14:schemeClr w14:val="tx1"/>
                  </w14:solidFill>
                </w14:textFill>
              </w:rPr>
            </w:pPr>
            <w:r>
              <w:rPr>
                <w:rFonts w:hint="eastAsia" w:ascii="仿宋_GB2312" w:hAnsi="Times New Roman" w:eastAsia="仿宋_GB2312"/>
                <w:color w:val="000000" w:themeColor="text1"/>
                <w:szCs w:val="21"/>
                <w14:textFill>
                  <w14:solidFill>
                    <w14:schemeClr w14:val="tx1"/>
                  </w14:solidFill>
                </w14:textFill>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000000" w:themeColor="text1"/>
                <w:szCs w:val="21"/>
                <w14:textFill>
                  <w14:solidFill>
                    <w14:schemeClr w14:val="tx1"/>
                  </w14:solidFill>
                </w14:textFill>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4677" w:type="dxa"/>
            <w:gridSpan w:val="2"/>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（二）部分公开（</w:t>
            </w:r>
            <w:bookmarkStart w:id="1" w:name="_Hlk66973981"/>
            <w:r>
              <w:rPr>
                <w:rFonts w:hint="eastAsia" w:ascii="黑体" w:hAnsi="黑体" w:eastAsia="黑体"/>
                <w:kern w:val="0"/>
                <w:szCs w:val="21"/>
              </w:rPr>
              <w:t>区分处理的，只计这一情形，不计其他情形</w:t>
            </w:r>
            <w:bookmarkEnd w:id="1"/>
            <w:r>
              <w:rPr>
                <w:rFonts w:hint="eastAsia" w:ascii="黑体" w:hAnsi="黑体" w:eastAsia="黑体"/>
                <w:kern w:val="0"/>
                <w:szCs w:val="21"/>
              </w:rPr>
              <w:t>）</w:t>
            </w:r>
          </w:p>
        </w:tc>
        <w:tc>
          <w:tcPr>
            <w:tcW w:w="752"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000000" w:themeColor="text1"/>
                <w:szCs w:val="21"/>
                <w14:textFill>
                  <w14:solidFill>
                    <w14:schemeClr w14:val="tx1"/>
                  </w14:solidFill>
                </w14:textFill>
              </w:rPr>
            </w:pPr>
            <w:r>
              <w:rPr>
                <w:rFonts w:hint="eastAsia" w:ascii="仿宋_GB2312" w:hAnsi="Times New Roman" w:eastAsia="仿宋_GB2312"/>
                <w:color w:val="000000" w:themeColor="text1"/>
                <w:szCs w:val="21"/>
                <w14:textFill>
                  <w14:solidFill>
                    <w14:schemeClr w14:val="tx1"/>
                  </w14:solidFill>
                </w14:textFill>
              </w:rPr>
              <w:t>0</w:t>
            </w:r>
          </w:p>
        </w:tc>
        <w:tc>
          <w:tcPr>
            <w:tcW w:w="540"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color w:val="000000" w:themeColor="text1"/>
                <w:szCs w:val="21"/>
                <w14:textFill>
                  <w14:solidFill>
                    <w14:schemeClr w14:val="tx1"/>
                  </w14:solidFill>
                </w14:textFill>
              </w:rPr>
            </w:pPr>
            <w:r>
              <w:rPr>
                <w:rFonts w:hint="eastAsia" w:ascii="仿宋_GB2312" w:hAnsi="Times New Roman" w:eastAsia="仿宋_GB2312"/>
                <w:color w:val="000000" w:themeColor="text1"/>
                <w:szCs w:val="21"/>
                <w14:textFill>
                  <w14:solidFill>
                    <w14:schemeClr w14:val="tx1"/>
                  </w14:solidFill>
                </w14:textFill>
              </w:rPr>
              <w:t>0</w:t>
            </w:r>
          </w:p>
        </w:tc>
        <w:tc>
          <w:tcPr>
            <w:tcW w:w="535"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color w:val="000000" w:themeColor="text1"/>
                <w:szCs w:val="21"/>
                <w14:textFill>
                  <w14:solidFill>
                    <w14:schemeClr w14:val="tx1"/>
                  </w14:solidFill>
                </w14:textFill>
              </w:rPr>
            </w:pPr>
            <w:r>
              <w:rPr>
                <w:rFonts w:hint="eastAsia" w:ascii="仿宋_GB2312" w:hAnsi="Times New Roman" w:eastAsia="仿宋_GB2312"/>
                <w:color w:val="000000" w:themeColor="text1"/>
                <w:szCs w:val="21"/>
                <w14:textFill>
                  <w14:solidFill>
                    <w14:schemeClr w14:val="tx1"/>
                  </w14:solidFill>
                </w14:textFill>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000000" w:themeColor="text1"/>
                <w:szCs w:val="21"/>
                <w14:textFill>
                  <w14:solidFill>
                    <w14:schemeClr w14:val="tx1"/>
                  </w14:solidFill>
                </w14:textFill>
              </w:rPr>
            </w:pPr>
            <w:r>
              <w:rPr>
                <w:rFonts w:hint="eastAsia" w:ascii="仿宋_GB2312" w:hAnsi="Times New Roman" w:eastAsia="仿宋_GB2312"/>
                <w:color w:val="000000" w:themeColor="text1"/>
                <w:szCs w:val="21"/>
                <w14:textFill>
                  <w14:solidFill>
                    <w14:schemeClr w14:val="tx1"/>
                  </w14:solidFill>
                </w14:textFill>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000000" w:themeColor="text1"/>
                <w:szCs w:val="21"/>
                <w14:textFill>
                  <w14:solidFill>
                    <w14:schemeClr w14:val="tx1"/>
                  </w14:solidFill>
                </w14:textFill>
              </w:rPr>
            </w:pPr>
            <w:r>
              <w:rPr>
                <w:rFonts w:hint="eastAsia" w:ascii="仿宋_GB2312" w:hAnsi="Times New Roman" w:eastAsia="仿宋_GB2312"/>
                <w:color w:val="000000" w:themeColor="text1"/>
                <w:szCs w:val="21"/>
                <w14:textFill>
                  <w14:solidFill>
                    <w14:schemeClr w14:val="tx1"/>
                  </w14:solidFill>
                </w14:textFill>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000000" w:themeColor="text1"/>
                <w:szCs w:val="21"/>
                <w14:textFill>
                  <w14:solidFill>
                    <w14:schemeClr w14:val="tx1"/>
                  </w14:solidFill>
                </w14:textFill>
              </w:rPr>
            </w:pPr>
            <w:r>
              <w:rPr>
                <w:rFonts w:hint="eastAsia" w:ascii="仿宋_GB2312" w:hAnsi="Times New Roman" w:eastAsia="仿宋_GB2312"/>
                <w:color w:val="000000" w:themeColor="text1"/>
                <w:szCs w:val="21"/>
                <w14:textFill>
                  <w14:solidFill>
                    <w14:schemeClr w14:val="tx1"/>
                  </w14:solidFill>
                </w14:textFill>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color w:val="000000" w:themeColor="text1"/>
                <w:szCs w:val="21"/>
                <w14:textFill>
                  <w14:solidFill>
                    <w14:schemeClr w14:val="tx1"/>
                  </w14:solidFill>
                </w14:textFill>
              </w:rPr>
            </w:pPr>
            <w:r>
              <w:rPr>
                <w:rFonts w:hint="eastAsia" w:ascii="仿宋_GB2312" w:hAnsi="Times New Roman" w:eastAsia="仿宋_GB2312"/>
                <w:color w:val="000000" w:themeColor="text1"/>
                <w:szCs w:val="21"/>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（三）不予公开</w:t>
            </w: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1.属于国家秘密</w:t>
            </w:r>
          </w:p>
        </w:tc>
        <w:tc>
          <w:tcPr>
            <w:tcW w:w="752"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40"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5"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2" w:name="_Hlk66974104"/>
            <w:r>
              <w:rPr>
                <w:rFonts w:hint="eastAsia" w:ascii="仿宋_GB2312" w:hAnsi="黑体" w:eastAsia="仿宋_GB2312"/>
                <w:kern w:val="0"/>
                <w:szCs w:val="21"/>
              </w:rPr>
              <w:t>其他法律行政法规禁止公开</w:t>
            </w:r>
            <w:bookmarkEnd w:id="2"/>
          </w:p>
        </w:tc>
        <w:tc>
          <w:tcPr>
            <w:tcW w:w="757"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9"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1"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3.危及“三安全一稳定”</w:t>
            </w:r>
          </w:p>
        </w:tc>
        <w:tc>
          <w:tcPr>
            <w:tcW w:w="757"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9"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1"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4.</w:t>
            </w:r>
            <w:bookmarkStart w:id="3" w:name="_Hlk66974290"/>
            <w:r>
              <w:rPr>
                <w:rFonts w:hint="eastAsia" w:ascii="仿宋_GB2312" w:hAnsi="黑体" w:eastAsia="仿宋_GB2312"/>
                <w:kern w:val="0"/>
                <w:szCs w:val="21"/>
              </w:rPr>
              <w:t>保护第三方合法权益</w:t>
            </w:r>
            <w:bookmarkEnd w:id="3"/>
          </w:p>
        </w:tc>
        <w:tc>
          <w:tcPr>
            <w:tcW w:w="757"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9"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1"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5.属于三类内部事务信息</w:t>
            </w:r>
          </w:p>
        </w:tc>
        <w:tc>
          <w:tcPr>
            <w:tcW w:w="761"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9"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6.</w:t>
            </w:r>
            <w:bookmarkStart w:id="4" w:name="_Hlk66974555"/>
            <w:r>
              <w:rPr>
                <w:rFonts w:hint="eastAsia" w:ascii="仿宋_GB2312" w:hAnsi="黑体" w:eastAsia="仿宋_GB2312"/>
                <w:kern w:val="0"/>
                <w:szCs w:val="21"/>
              </w:rPr>
              <w:t>属于四类过程性信息</w:t>
            </w:r>
            <w:bookmarkEnd w:id="4"/>
          </w:p>
        </w:tc>
        <w:tc>
          <w:tcPr>
            <w:tcW w:w="761"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9"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7.属于行政执法案卷</w:t>
            </w:r>
          </w:p>
        </w:tc>
        <w:tc>
          <w:tcPr>
            <w:tcW w:w="761"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9"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8.</w:t>
            </w:r>
            <w:bookmarkStart w:id="5" w:name="_Hlk66975211"/>
            <w:r>
              <w:rPr>
                <w:rFonts w:hint="eastAsia" w:ascii="仿宋_GB2312" w:hAnsi="黑体" w:eastAsia="仿宋_GB2312"/>
                <w:kern w:val="0"/>
                <w:szCs w:val="21"/>
              </w:rPr>
              <w:t>属于行政查询事项</w:t>
            </w:r>
            <w:bookmarkEnd w:id="5"/>
          </w:p>
        </w:tc>
        <w:tc>
          <w:tcPr>
            <w:tcW w:w="761"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9"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（四）无法提供</w:t>
            </w: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1.本机关不掌握相关政府信息</w:t>
            </w:r>
          </w:p>
        </w:tc>
        <w:tc>
          <w:tcPr>
            <w:tcW w:w="765"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6" w:name="_Hlk66975392"/>
            <w:r>
              <w:rPr>
                <w:rFonts w:hint="eastAsia" w:ascii="仿宋_GB2312" w:hAnsi="黑体" w:eastAsia="仿宋_GB2312"/>
                <w:kern w:val="0"/>
                <w:szCs w:val="21"/>
              </w:rPr>
              <w:t>没有现成信息需要另行制作</w:t>
            </w:r>
            <w:bookmarkEnd w:id="6"/>
          </w:p>
        </w:tc>
        <w:tc>
          <w:tcPr>
            <w:tcW w:w="765"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3.</w:t>
            </w:r>
            <w:bookmarkStart w:id="7" w:name="_Hlk66975466"/>
            <w:r>
              <w:rPr>
                <w:rFonts w:hint="eastAsia" w:ascii="仿宋_GB2312" w:hAnsi="黑体" w:eastAsia="仿宋_GB2312"/>
                <w:kern w:val="0"/>
                <w:szCs w:val="21"/>
              </w:rPr>
              <w:t>补正后申请内容仍不明确</w:t>
            </w:r>
            <w:bookmarkEnd w:id="7"/>
          </w:p>
        </w:tc>
        <w:tc>
          <w:tcPr>
            <w:tcW w:w="765"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（五）不予处理</w:t>
            </w: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1.</w:t>
            </w:r>
            <w:bookmarkStart w:id="8" w:name="_Hlk66975537"/>
            <w:r>
              <w:rPr>
                <w:rFonts w:hint="eastAsia" w:ascii="仿宋_GB2312" w:hAnsi="黑体" w:eastAsia="仿宋_GB2312"/>
                <w:kern w:val="0"/>
                <w:szCs w:val="21"/>
              </w:rPr>
              <w:t>信访举报投诉类申请</w:t>
            </w:r>
            <w:bookmarkEnd w:id="8"/>
          </w:p>
        </w:tc>
        <w:tc>
          <w:tcPr>
            <w:tcW w:w="765"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2.重复申请</w:t>
            </w:r>
          </w:p>
        </w:tc>
        <w:tc>
          <w:tcPr>
            <w:tcW w:w="76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1"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szCs w:val="21"/>
              </w:rPr>
            </w:pPr>
            <w:r>
              <w:rPr>
                <w:rFonts w:hint="eastAsia" w:ascii="仿宋_GB2312" w:hAnsi="黑体" w:eastAsia="仿宋_GB2312"/>
                <w:kern w:val="0"/>
                <w:szCs w:val="21"/>
              </w:rPr>
              <w:t>3.要求提供公开出版物</w:t>
            </w:r>
          </w:p>
        </w:tc>
        <w:tc>
          <w:tcPr>
            <w:tcW w:w="76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1"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szCs w:val="21"/>
              </w:rPr>
            </w:pPr>
            <w:r>
              <w:rPr>
                <w:rFonts w:hint="eastAsia" w:ascii="仿宋_GB2312" w:hAnsi="黑体" w:eastAsia="仿宋_GB2312"/>
                <w:kern w:val="0"/>
                <w:szCs w:val="21"/>
              </w:rPr>
              <w:t>4.无正当理由大量反复申请</w:t>
            </w:r>
          </w:p>
        </w:tc>
        <w:tc>
          <w:tcPr>
            <w:tcW w:w="76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1"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300" w:lineRule="exact"/>
              <w:rPr>
                <w:rFonts w:ascii="仿宋_GB2312" w:hAnsi="黑体" w:eastAsia="仿宋_GB2312"/>
                <w:kern w:val="0"/>
                <w:szCs w:val="21"/>
              </w:rPr>
            </w:pPr>
            <w:r>
              <w:rPr>
                <w:rFonts w:hint="eastAsia" w:ascii="仿宋_GB2312" w:hAnsi="黑体" w:eastAsia="仿宋_GB2312"/>
                <w:kern w:val="0"/>
                <w:szCs w:val="21"/>
              </w:rPr>
              <w:t>5.要求行政机关确认或重新</w:t>
            </w:r>
          </w:p>
          <w:p>
            <w:pPr>
              <w:widowControl/>
              <w:spacing w:line="300" w:lineRule="exact"/>
              <w:ind w:firstLine="210" w:firstLineChars="100"/>
              <w:rPr>
                <w:rFonts w:ascii="仿宋_GB2312" w:hAnsi="黑体" w:eastAsia="仿宋_GB2312"/>
                <w:szCs w:val="21"/>
              </w:rPr>
            </w:pPr>
            <w:r>
              <w:rPr>
                <w:rFonts w:hint="eastAsia" w:ascii="仿宋_GB2312" w:hAnsi="黑体" w:eastAsia="仿宋_GB2312"/>
                <w:kern w:val="0"/>
                <w:szCs w:val="21"/>
              </w:rPr>
              <w:t>出具已获取信息</w:t>
            </w:r>
          </w:p>
        </w:tc>
        <w:tc>
          <w:tcPr>
            <w:tcW w:w="76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1"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（六）其他处理</w:t>
            </w:r>
          </w:p>
        </w:tc>
        <w:tc>
          <w:tcPr>
            <w:tcW w:w="2976" w:type="dxa"/>
            <w:shd w:val="clear" w:color="auto" w:fill="auto"/>
            <w:vAlign w:val="center"/>
          </w:tcPr>
          <w:p>
            <w:pPr>
              <w:widowControl/>
              <w:spacing w:line="300" w:lineRule="exact"/>
              <w:rPr>
                <w:rFonts w:ascii="仿宋_GB2312" w:hAnsi="楷体" w:eastAsia="仿宋_GB2312"/>
              </w:rPr>
            </w:pPr>
            <w:r>
              <w:rPr>
                <w:rFonts w:hint="eastAsia" w:ascii="仿宋_GB2312" w:hAnsi="楷体" w:eastAsia="仿宋_GB2312"/>
              </w:rPr>
              <w:t>1.申请人无正当理由逾期不补正、行政机关不再处理其政府信息公开申请</w:t>
            </w:r>
          </w:p>
        </w:tc>
        <w:tc>
          <w:tcPr>
            <w:tcW w:w="771"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18"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widowControl/>
              <w:spacing w:line="300" w:lineRule="exact"/>
              <w:rPr>
                <w:rFonts w:ascii="黑体" w:hAnsi="黑体" w:eastAsia="黑体"/>
                <w:kern w:val="0"/>
                <w:szCs w:val="21"/>
              </w:rPr>
            </w:pPr>
          </w:p>
        </w:tc>
        <w:tc>
          <w:tcPr>
            <w:tcW w:w="2976" w:type="dxa"/>
            <w:shd w:val="clear" w:color="auto" w:fill="auto"/>
            <w:vAlign w:val="center"/>
          </w:tcPr>
          <w:p>
            <w:pPr>
              <w:widowControl/>
              <w:spacing w:line="300" w:lineRule="exact"/>
              <w:rPr>
                <w:rFonts w:ascii="仿宋_GB2312" w:hAnsi="黑体" w:eastAsia="仿宋_GB2312"/>
                <w:kern w:val="0"/>
                <w:szCs w:val="21"/>
              </w:rPr>
            </w:pPr>
            <w:r>
              <w:rPr>
                <w:rFonts w:hint="eastAsia" w:ascii="仿宋_GB2312" w:hAnsi="楷体" w:eastAsia="仿宋_GB2312"/>
              </w:rPr>
              <w:t>2.申请人逾期未按收费通知要求缴纳费用、行政机关不再处理其政府信息公开申请</w:t>
            </w:r>
          </w:p>
        </w:tc>
        <w:tc>
          <w:tcPr>
            <w:tcW w:w="771"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p>
        </w:tc>
        <w:tc>
          <w:tcPr>
            <w:tcW w:w="518"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widowControl/>
              <w:spacing w:line="300" w:lineRule="exact"/>
              <w:rPr>
                <w:rFonts w:ascii="黑体" w:hAnsi="黑体" w:eastAsia="黑体"/>
                <w:kern w:val="0"/>
                <w:szCs w:val="21"/>
              </w:rPr>
            </w:pPr>
          </w:p>
        </w:tc>
        <w:tc>
          <w:tcPr>
            <w:tcW w:w="2976" w:type="dxa"/>
            <w:shd w:val="clear" w:color="auto" w:fill="auto"/>
            <w:vAlign w:val="center"/>
          </w:tcPr>
          <w:p>
            <w:pPr>
              <w:widowControl/>
              <w:spacing w:line="300" w:lineRule="exact"/>
              <w:rPr>
                <w:rFonts w:ascii="仿宋_GB2312" w:hAnsi="黑体" w:eastAsia="仿宋_GB2312"/>
                <w:kern w:val="0"/>
                <w:szCs w:val="21"/>
              </w:rPr>
            </w:pPr>
            <w:r>
              <w:rPr>
                <w:rFonts w:hint="eastAsia" w:ascii="仿宋_GB2312" w:hAnsi="楷体" w:eastAsia="仿宋_GB2312"/>
              </w:rPr>
              <w:t>3.其他</w:t>
            </w:r>
          </w:p>
        </w:tc>
        <w:tc>
          <w:tcPr>
            <w:tcW w:w="771"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18"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4677" w:type="dxa"/>
            <w:gridSpan w:val="2"/>
            <w:shd w:val="clear" w:color="auto" w:fill="auto"/>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（七）总计</w:t>
            </w:r>
          </w:p>
        </w:tc>
        <w:tc>
          <w:tcPr>
            <w:tcW w:w="761"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c>
          <w:tcPr>
            <w:tcW w:w="539"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四、结转下年度继续办理</w:t>
            </w:r>
          </w:p>
        </w:tc>
        <w:tc>
          <w:tcPr>
            <w:tcW w:w="761"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9"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2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5"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bl>
    <w:p>
      <w:pPr>
        <w:spacing w:line="560" w:lineRule="exact"/>
        <w:ind w:firstLine="640" w:firstLineChars="200"/>
        <w:rPr>
          <w:rFonts w:ascii="黑体" w:hAnsi="黑体" w:eastAsia="黑体" w:cs="黑体"/>
          <w:bCs/>
          <w:color w:val="333333"/>
          <w:kern w:val="0"/>
          <w:sz w:val="32"/>
          <w:szCs w:val="32"/>
          <w:shd w:val="clear" w:color="auto" w:fill="FFFFFF"/>
          <w:lang w:bidi="ar"/>
        </w:rPr>
      </w:pPr>
      <w:r>
        <w:rPr>
          <w:rFonts w:hint="eastAsia" w:ascii="黑体" w:hAnsi="黑体" w:eastAsia="黑体" w:cs="黑体"/>
          <w:bCs/>
          <w:color w:val="333333"/>
          <w:kern w:val="0"/>
          <w:sz w:val="32"/>
          <w:szCs w:val="32"/>
          <w:shd w:val="clear" w:color="auto" w:fill="FFFFFF"/>
          <w:lang w:bidi="ar"/>
        </w:rPr>
        <w:t>四、政府信息公开行政复议、行政诉讼情况</w:t>
      </w:r>
    </w:p>
    <w:p>
      <w:pPr>
        <w:pStyle w:val="2"/>
        <w:spacing w:line="560" w:lineRule="exact"/>
        <w:ind w:firstLine="560"/>
        <w:jc w:val="both"/>
        <w:rPr>
          <w:rFonts w:ascii="Times New Roman" w:hAnsi="Times New Roman" w:eastAsia="仿宋_GB2312" w:cs="Times New Roman"/>
          <w:bCs/>
          <w:color w:val="FF0000"/>
          <w:kern w:val="2"/>
          <w:sz w:val="32"/>
          <w:szCs w:val="32"/>
          <w:shd w:val="clear" w:color="auto" w:fill="FFFFFF"/>
        </w:rPr>
      </w:pPr>
    </w:p>
    <w:tbl>
      <w:tblPr>
        <w:tblStyle w:val="6"/>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ind w:left="-149" w:leftChars="-71" w:right="-170" w:rightChars="-81"/>
              <w:jc w:val="center"/>
              <w:rPr>
                <w:rFonts w:ascii="黑体" w:hAnsi="黑体" w:eastAsia="黑体"/>
                <w:kern w:val="0"/>
                <w:sz w:val="20"/>
                <w:szCs w:val="20"/>
              </w:rPr>
            </w:pPr>
            <w:r>
              <w:rPr>
                <w:rFonts w:ascii="黑体" w:hAnsi="黑体" w:eastAsia="黑体"/>
                <w:kern w:val="0"/>
                <w:sz w:val="20"/>
                <w:szCs w:val="20"/>
              </w:rPr>
              <w:t>结果</w:t>
            </w:r>
          </w:p>
          <w:p>
            <w:pPr>
              <w:widowControl/>
              <w:ind w:left="-149" w:leftChars="-71" w:right="-170" w:rightChars="-81"/>
              <w:jc w:val="center"/>
              <w:rPr>
                <w:rFonts w:ascii="黑体" w:hAnsi="黑体" w:eastAsia="黑体"/>
              </w:rPr>
            </w:pPr>
            <w:r>
              <w:rPr>
                <w:rFonts w:ascii="黑体" w:hAnsi="黑体" w:eastAsia="黑体"/>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43" w:leftChars="-21" w:right="-132" w:rightChars="-63" w:hanging="1"/>
              <w:jc w:val="center"/>
              <w:rPr>
                <w:rFonts w:ascii="黑体" w:hAnsi="黑体" w:eastAsia="黑体"/>
              </w:rPr>
            </w:pPr>
            <w:r>
              <w:rPr>
                <w:rFonts w:ascii="黑体" w:hAnsi="黑体" w:eastAsia="黑体"/>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82" w:leftChars="-39" w:right="-97" w:rightChars="-46"/>
              <w:jc w:val="center"/>
              <w:rPr>
                <w:rFonts w:ascii="黑体" w:hAnsi="黑体" w:eastAsia="黑体"/>
              </w:rPr>
            </w:pPr>
            <w:r>
              <w:rPr>
                <w:rFonts w:ascii="黑体" w:hAnsi="黑体" w:eastAsia="黑体"/>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18" w:leftChars="-56" w:right="-118" w:rightChars="-56"/>
              <w:jc w:val="center"/>
              <w:rPr>
                <w:rFonts w:ascii="黑体" w:hAnsi="黑体" w:eastAsia="黑体"/>
                <w:kern w:val="0"/>
                <w:sz w:val="20"/>
                <w:szCs w:val="20"/>
              </w:rPr>
            </w:pPr>
            <w:r>
              <w:rPr>
                <w:rFonts w:ascii="黑体" w:hAnsi="黑体" w:eastAsia="黑体"/>
                <w:kern w:val="0"/>
                <w:sz w:val="20"/>
                <w:szCs w:val="20"/>
              </w:rPr>
              <w:t>尚未</w:t>
            </w:r>
          </w:p>
          <w:p>
            <w:pPr>
              <w:widowControl/>
              <w:ind w:left="-118" w:leftChars="-56" w:right="-118" w:rightChars="-56"/>
              <w:jc w:val="center"/>
              <w:rPr>
                <w:rFonts w:ascii="黑体" w:hAnsi="黑体" w:eastAsia="黑体"/>
              </w:rPr>
            </w:pPr>
            <w:r>
              <w:rPr>
                <w:rFonts w:ascii="黑体" w:hAnsi="黑体" w:eastAsia="黑体"/>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320" w:lineRule="exact"/>
              <w:jc w:val="center"/>
              <w:rPr>
                <w:rFonts w:ascii="黑体" w:hAnsi="黑体" w:eastAsia="黑体"/>
                <w:kern w:val="0"/>
                <w:sz w:val="20"/>
                <w:szCs w:val="20"/>
              </w:rPr>
            </w:pPr>
            <w:r>
              <w:rPr>
                <w:rFonts w:ascii="黑体" w:hAnsi="黑体" w:eastAsia="黑体"/>
                <w:kern w:val="0"/>
                <w:sz w:val="20"/>
                <w:szCs w:val="20"/>
              </w:rPr>
              <w:t>总</w:t>
            </w:r>
          </w:p>
          <w:p>
            <w:pPr>
              <w:widowControl/>
              <w:spacing w:line="320" w:lineRule="exact"/>
              <w:jc w:val="center"/>
              <w:rPr>
                <w:rFonts w:ascii="黑体" w:hAnsi="黑体" w:eastAsia="黑体"/>
              </w:rPr>
            </w:pPr>
            <w:r>
              <w:rPr>
                <w:rFonts w:ascii="黑体" w:hAnsi="黑体" w:eastAsia="黑体"/>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bookmarkStart w:id="9" w:name="_Hlk67039688"/>
            <w:r>
              <w:rPr>
                <w:rFonts w:ascii="黑体" w:hAnsi="黑体" w:eastAsia="黑体"/>
                <w:kern w:val="0"/>
                <w:sz w:val="20"/>
                <w:szCs w:val="20"/>
              </w:rPr>
              <w:t>复议后起诉</w:t>
            </w:r>
            <w:bookmarkEnd w:id="9"/>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105" w:leftChars="-50" w:right="-126" w:rightChars="-60"/>
              <w:jc w:val="center"/>
              <w:rPr>
                <w:rFonts w:ascii="黑体" w:hAnsi="黑体" w:eastAsia="黑体"/>
              </w:rPr>
            </w:pPr>
            <w:r>
              <w:rPr>
                <w:rFonts w:ascii="黑体" w:hAnsi="黑体" w:eastAsia="黑体"/>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86" w:leftChars="-41" w:right="-88" w:rightChars="-42"/>
              <w:jc w:val="center"/>
              <w:rPr>
                <w:rFonts w:ascii="黑体" w:hAnsi="黑体" w:eastAsia="黑体"/>
              </w:rPr>
            </w:pPr>
            <w:r>
              <w:rPr>
                <w:rFonts w:ascii="黑体" w:hAnsi="黑体" w:eastAsia="黑体"/>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26" w:leftChars="-60" w:right="-136" w:rightChars="-65"/>
              <w:jc w:val="center"/>
              <w:rPr>
                <w:rFonts w:ascii="黑体" w:hAnsi="黑体" w:eastAsia="黑体"/>
                <w:kern w:val="0"/>
                <w:sz w:val="20"/>
                <w:szCs w:val="20"/>
              </w:rPr>
            </w:pPr>
            <w:r>
              <w:rPr>
                <w:rFonts w:ascii="黑体" w:hAnsi="黑体" w:eastAsia="黑体"/>
                <w:kern w:val="0"/>
                <w:sz w:val="20"/>
                <w:szCs w:val="20"/>
              </w:rPr>
              <w:t>其他</w:t>
            </w:r>
          </w:p>
          <w:p>
            <w:pPr>
              <w:widowControl/>
              <w:ind w:left="-126" w:leftChars="-60" w:right="-136" w:rightChars="-65"/>
              <w:jc w:val="center"/>
              <w:rPr>
                <w:rFonts w:ascii="黑体" w:hAnsi="黑体" w:eastAsia="黑体"/>
              </w:rPr>
            </w:pPr>
            <w:r>
              <w:rPr>
                <w:rFonts w:ascii="黑体" w:hAnsi="黑体" w:eastAsia="黑体"/>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64" w:leftChars="-78" w:right="-153" w:rightChars="-73"/>
              <w:jc w:val="center"/>
              <w:rPr>
                <w:rFonts w:ascii="黑体" w:hAnsi="黑体" w:eastAsia="黑体"/>
                <w:kern w:val="0"/>
                <w:sz w:val="20"/>
                <w:szCs w:val="20"/>
              </w:rPr>
            </w:pPr>
            <w:r>
              <w:rPr>
                <w:rFonts w:ascii="黑体" w:hAnsi="黑体" w:eastAsia="黑体"/>
                <w:kern w:val="0"/>
                <w:sz w:val="20"/>
                <w:szCs w:val="20"/>
              </w:rPr>
              <w:t>尚未</w:t>
            </w:r>
          </w:p>
          <w:p>
            <w:pPr>
              <w:widowControl/>
              <w:ind w:left="-164" w:leftChars="-78" w:right="-153" w:rightChars="-73"/>
              <w:jc w:val="center"/>
              <w:rPr>
                <w:rFonts w:ascii="黑体" w:hAnsi="黑体" w:eastAsia="黑体"/>
              </w:rPr>
            </w:pPr>
            <w:r>
              <w:rPr>
                <w:rFonts w:ascii="黑体" w:hAnsi="黑体" w:eastAsia="黑体"/>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99" w:leftChars="-47" w:right="-78" w:rightChars="-37"/>
              <w:jc w:val="center"/>
              <w:rPr>
                <w:rFonts w:ascii="黑体" w:hAnsi="黑体" w:eastAsia="黑体"/>
              </w:rPr>
            </w:pPr>
            <w:r>
              <w:rPr>
                <w:rFonts w:ascii="黑体" w:hAnsi="黑体" w:eastAsia="黑体"/>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36" w:leftChars="-65" w:right="-124" w:rightChars="-59"/>
              <w:jc w:val="center"/>
              <w:rPr>
                <w:rFonts w:ascii="黑体" w:hAnsi="黑体" w:eastAsia="黑体"/>
                <w:kern w:val="0"/>
                <w:sz w:val="20"/>
                <w:szCs w:val="20"/>
              </w:rPr>
            </w:pPr>
            <w:r>
              <w:rPr>
                <w:rFonts w:ascii="黑体" w:hAnsi="黑体" w:eastAsia="黑体"/>
                <w:kern w:val="0"/>
                <w:sz w:val="20"/>
                <w:szCs w:val="20"/>
              </w:rPr>
              <w:t>结果</w:t>
            </w:r>
          </w:p>
          <w:p>
            <w:pPr>
              <w:widowControl/>
              <w:ind w:left="-136" w:leftChars="-65" w:right="-124" w:rightChars="-59"/>
              <w:jc w:val="center"/>
              <w:rPr>
                <w:rFonts w:ascii="黑体" w:hAnsi="黑体" w:eastAsia="黑体"/>
              </w:rPr>
            </w:pPr>
            <w:r>
              <w:rPr>
                <w:rFonts w:ascii="黑体" w:hAnsi="黑体" w:eastAsia="黑体"/>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73" w:leftChars="-83" w:right="-134" w:rightChars="-64" w:hanging="1"/>
              <w:jc w:val="center"/>
              <w:rPr>
                <w:rFonts w:ascii="黑体" w:hAnsi="黑体" w:eastAsia="黑体"/>
                <w:kern w:val="0"/>
                <w:sz w:val="20"/>
                <w:szCs w:val="20"/>
              </w:rPr>
            </w:pPr>
            <w:r>
              <w:rPr>
                <w:rFonts w:ascii="黑体" w:hAnsi="黑体" w:eastAsia="黑体"/>
                <w:kern w:val="0"/>
                <w:sz w:val="20"/>
                <w:szCs w:val="20"/>
              </w:rPr>
              <w:t>其他</w:t>
            </w:r>
          </w:p>
          <w:p>
            <w:pPr>
              <w:widowControl/>
              <w:ind w:left="-173" w:leftChars="-83" w:right="-134" w:rightChars="-64" w:hanging="1"/>
              <w:jc w:val="center"/>
              <w:rPr>
                <w:rFonts w:ascii="黑体" w:hAnsi="黑体" w:eastAsia="黑体"/>
              </w:rPr>
            </w:pPr>
            <w:r>
              <w:rPr>
                <w:rFonts w:ascii="黑体" w:hAnsi="黑体" w:eastAsia="黑体"/>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67" w:leftChars="-33" w:right="-105" w:rightChars="-50" w:hanging="2" w:hangingChars="1"/>
              <w:jc w:val="center"/>
              <w:rPr>
                <w:rFonts w:ascii="黑体" w:hAnsi="黑体" w:eastAsia="黑体"/>
              </w:rPr>
            </w:pPr>
            <w:r>
              <w:rPr>
                <w:rFonts w:ascii="黑体" w:hAnsi="黑体" w:eastAsia="黑体"/>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r>
    </w:tbl>
    <w:p>
      <w:pPr>
        <w:widowControl/>
        <w:jc w:val="left"/>
        <w:rPr>
          <w:rFonts w:ascii="仿宋_GB2312" w:hAnsi="Calibri" w:eastAsia="仿宋_GB2312" w:cs="Calibri"/>
          <w:color w:val="FF0000"/>
          <w:kern w:val="0"/>
          <w:szCs w:val="21"/>
        </w:rPr>
      </w:pPr>
    </w:p>
    <w:p>
      <w:pPr>
        <w:pStyle w:val="5"/>
        <w:widowControl/>
        <w:numPr>
          <w:ilvl w:val="0"/>
          <w:numId w:val="2"/>
        </w:numPr>
        <w:shd w:val="clear" w:color="auto" w:fill="FFFFFF"/>
        <w:spacing w:beforeAutospacing="0" w:afterAutospacing="0" w:line="560" w:lineRule="exact"/>
        <w:ind w:firstLine="640" w:firstLineChars="200"/>
        <w:jc w:val="both"/>
        <w:rPr>
          <w:rFonts w:ascii="黑体" w:hAnsi="黑体" w:eastAsia="黑体" w:cs="黑体"/>
          <w:bCs/>
          <w:color w:val="333333"/>
          <w:sz w:val="32"/>
          <w:szCs w:val="32"/>
          <w:shd w:val="clear" w:color="auto" w:fill="FFFFFF"/>
          <w:lang w:bidi="ar"/>
        </w:rPr>
      </w:pPr>
      <w:r>
        <w:rPr>
          <w:rFonts w:hint="eastAsia" w:ascii="黑体" w:hAnsi="黑体" w:eastAsia="黑体" w:cs="黑体"/>
          <w:bCs/>
          <w:color w:val="333333"/>
          <w:sz w:val="32"/>
          <w:szCs w:val="32"/>
          <w:shd w:val="clear" w:color="auto" w:fill="FFFFFF"/>
          <w:lang w:bidi="ar"/>
        </w:rPr>
        <w:t>存在的主要问题及改进情况</w:t>
      </w:r>
    </w:p>
    <w:p>
      <w:pPr>
        <w:pStyle w:val="5"/>
        <w:widowControl/>
        <w:shd w:val="clear" w:color="auto" w:fill="FFFFFF"/>
        <w:spacing w:beforeAutospacing="0" w:afterAutospacing="0" w:line="560" w:lineRule="exact"/>
        <w:ind w:firstLine="640" w:firstLineChars="200"/>
        <w:jc w:val="both"/>
        <w:rPr>
          <w:rFonts w:ascii="仿宋_GB2312" w:hAnsi="仿宋_GB2312" w:eastAsia="仿宋_GB2312" w:cs="仿宋_GB2312"/>
          <w:kern w:val="2"/>
          <w:sz w:val="32"/>
          <w:szCs w:val="32"/>
          <w:shd w:val="clear" w:color="auto" w:fill="FFFFFF"/>
        </w:rPr>
      </w:pPr>
      <w:r>
        <w:rPr>
          <w:rFonts w:hint="eastAsia" w:ascii="仿宋_GB2312" w:hAnsi="仿宋_GB2312" w:eastAsia="仿宋_GB2312" w:cs="仿宋_GB2312"/>
          <w:kern w:val="2"/>
          <w:sz w:val="32"/>
          <w:szCs w:val="32"/>
          <w:shd w:val="clear" w:color="auto" w:fill="FFFFFF"/>
        </w:rPr>
        <w:t>2023年，我局信息公开工作取得了一定成效，但也存在一些薄弱环节，主要体现在以下两个方面：一是政府信息公开创新力度不强；二是宣传和引导工作需要进一步完善。</w:t>
      </w:r>
    </w:p>
    <w:p>
      <w:pPr>
        <w:pStyle w:val="5"/>
        <w:widowControl/>
        <w:shd w:val="clear" w:color="auto" w:fill="FFFFFF"/>
        <w:spacing w:beforeAutospacing="0" w:afterAutospacing="0" w:line="560" w:lineRule="exact"/>
        <w:ind w:firstLine="640" w:firstLineChars="200"/>
        <w:jc w:val="both"/>
        <w:rPr>
          <w:rFonts w:ascii="仿宋_GB2312" w:hAnsi="仿宋_GB2312" w:eastAsia="仿宋_GB2312" w:cs="仿宋_GB2312"/>
          <w:kern w:val="2"/>
          <w:sz w:val="32"/>
          <w:szCs w:val="32"/>
          <w:shd w:val="clear" w:color="auto" w:fill="FFFFFF"/>
        </w:rPr>
      </w:pPr>
      <w:r>
        <w:rPr>
          <w:rFonts w:hint="eastAsia" w:ascii="仿宋_GB2312" w:hAnsi="仿宋_GB2312" w:eastAsia="仿宋_GB2312" w:cs="仿宋_GB2312"/>
          <w:kern w:val="2"/>
          <w:sz w:val="32"/>
          <w:szCs w:val="32"/>
          <w:shd w:val="clear" w:color="auto" w:fill="FFFFFF"/>
        </w:rPr>
        <w:t>下一步，我们将把握政务公开工作的新任务、新要求，不断推动政务公开工作开创新局面。加大对信息公开工作的宣传力度，使社会公众对政府信息公开有进一步的了解和更深的认识，引导公众正确使用政府信息公开服务功能，为日常生活和工作提供便利。</w:t>
      </w:r>
    </w:p>
    <w:p>
      <w:pPr>
        <w:pStyle w:val="5"/>
        <w:widowControl/>
        <w:shd w:val="clear" w:color="auto" w:fill="FFFFFF"/>
        <w:spacing w:beforeAutospacing="0" w:afterAutospacing="0" w:line="560" w:lineRule="exact"/>
        <w:ind w:firstLine="640" w:firstLineChars="200"/>
        <w:jc w:val="both"/>
        <w:rPr>
          <w:rFonts w:ascii="黑体" w:hAnsi="黑体" w:eastAsia="黑体" w:cs="黑体"/>
          <w:bCs/>
          <w:color w:val="333333"/>
          <w:sz w:val="32"/>
          <w:szCs w:val="32"/>
          <w:shd w:val="clear" w:color="auto" w:fill="FFFFFF"/>
          <w:lang w:bidi="ar"/>
        </w:rPr>
      </w:pPr>
      <w:r>
        <w:rPr>
          <w:rFonts w:hint="eastAsia" w:ascii="黑体" w:hAnsi="黑体" w:eastAsia="黑体" w:cs="黑体"/>
          <w:bCs/>
          <w:color w:val="333333"/>
          <w:sz w:val="32"/>
          <w:szCs w:val="32"/>
          <w:shd w:val="clear" w:color="auto" w:fill="FFFFFF"/>
          <w:lang w:bidi="ar"/>
        </w:rPr>
        <w:t>六、其他需要报告的事项</w:t>
      </w:r>
    </w:p>
    <w:p>
      <w:pPr>
        <w:pStyle w:val="5"/>
        <w:widowControl/>
        <w:numPr>
          <w:ilvl w:val="0"/>
          <w:numId w:val="3"/>
        </w:numPr>
        <w:autoSpaceDE w:val="0"/>
        <w:spacing w:beforeAutospacing="0" w:afterAutospacing="0" w:line="560" w:lineRule="exact"/>
        <w:ind w:firstLine="645"/>
        <w:jc w:val="both"/>
        <w:rPr>
          <w:rFonts w:ascii="Times New Roman" w:hAnsi="Times New Roman" w:eastAsia="仿宋_GB2312"/>
          <w:sz w:val="32"/>
          <w:szCs w:val="32"/>
        </w:rPr>
      </w:pPr>
      <w:r>
        <w:rPr>
          <w:rFonts w:ascii="Times New Roman" w:hAnsi="Times New Roman" w:eastAsia="楷体_GB2312"/>
          <w:sz w:val="32"/>
          <w:szCs w:val="32"/>
        </w:rPr>
        <w:t>政府信息公开收费方面：</w:t>
      </w:r>
      <w:r>
        <w:rPr>
          <w:rFonts w:ascii="Times New Roman" w:hAnsi="Times New Roman"/>
          <w:sz w:val="32"/>
          <w:szCs w:val="32"/>
        </w:rPr>
        <w:t>202</w:t>
      </w:r>
      <w:r>
        <w:rPr>
          <w:rFonts w:hint="eastAsia" w:ascii="Times New Roman" w:hAnsi="Times New Roman"/>
          <w:sz w:val="32"/>
          <w:szCs w:val="32"/>
        </w:rPr>
        <w:t>3</w:t>
      </w:r>
      <w:r>
        <w:rPr>
          <w:rFonts w:ascii="Times New Roman" w:hAnsi="Times New Roman" w:eastAsia="仿宋_GB2312"/>
          <w:sz w:val="32"/>
          <w:szCs w:val="32"/>
        </w:rPr>
        <w:t>年</w:t>
      </w:r>
      <w:r>
        <w:rPr>
          <w:rFonts w:hint="eastAsia" w:ascii="Times New Roman" w:hAnsi="Times New Roman" w:eastAsia="仿宋_GB2312"/>
          <w:sz w:val="32"/>
          <w:szCs w:val="32"/>
        </w:rPr>
        <w:t>威海市环翠区司法局</w:t>
      </w:r>
      <w:r>
        <w:rPr>
          <w:rFonts w:ascii="Times New Roman" w:hAnsi="Times New Roman" w:eastAsia="仿宋_GB2312"/>
          <w:sz w:val="32"/>
          <w:szCs w:val="32"/>
        </w:rPr>
        <w:t>未收取政府信息公开信息处理费。</w:t>
      </w:r>
    </w:p>
    <w:p>
      <w:pPr>
        <w:pStyle w:val="5"/>
        <w:widowControl/>
        <w:autoSpaceDE w:val="0"/>
        <w:spacing w:beforeAutospacing="0" w:afterAutospacing="0" w:line="560" w:lineRule="exact"/>
        <w:ind w:left="645"/>
        <w:jc w:val="both"/>
        <w:rPr>
          <w:rFonts w:ascii="Times New Roman" w:hAnsi="Times New Roman" w:eastAsia="仿宋_GB2312"/>
          <w:sz w:val="32"/>
          <w:szCs w:val="32"/>
        </w:rPr>
      </w:pPr>
      <w:r>
        <w:rPr>
          <w:rFonts w:ascii="Times New Roman" w:hAnsi="Times New Roman"/>
          <w:sz w:val="32"/>
          <w:szCs w:val="32"/>
        </w:rPr>
        <w:t>2</w:t>
      </w:r>
      <w:r>
        <w:rPr>
          <w:rFonts w:ascii="Times New Roman" w:hAnsi="Times New Roman" w:eastAsia="仿宋_GB2312"/>
          <w:sz w:val="32"/>
          <w:szCs w:val="32"/>
        </w:rPr>
        <w:t>.</w:t>
      </w:r>
      <w:r>
        <w:rPr>
          <w:rFonts w:ascii="Times New Roman" w:hAnsi="Times New Roman" w:eastAsia="楷体_GB2312"/>
          <w:sz w:val="32"/>
          <w:szCs w:val="32"/>
        </w:rPr>
        <w:t>人大代表、政协委员提案办理方面：</w:t>
      </w:r>
      <w:r>
        <w:rPr>
          <w:rFonts w:ascii="Times New Roman" w:hAnsi="Times New Roman"/>
          <w:sz w:val="32"/>
          <w:szCs w:val="32"/>
        </w:rPr>
        <w:t>202</w:t>
      </w:r>
      <w:r>
        <w:rPr>
          <w:rFonts w:hint="eastAsia" w:ascii="Times New Roman" w:hAnsi="Times New Roman"/>
          <w:sz w:val="32"/>
          <w:szCs w:val="32"/>
        </w:rPr>
        <w:t>3</w:t>
      </w:r>
      <w:r>
        <w:rPr>
          <w:rFonts w:ascii="Times New Roman" w:hAnsi="Times New Roman" w:eastAsia="仿宋_GB2312"/>
          <w:sz w:val="32"/>
          <w:szCs w:val="32"/>
        </w:rPr>
        <w:t>年</w:t>
      </w:r>
      <w:r>
        <w:rPr>
          <w:rFonts w:hint="eastAsia" w:ascii="Times New Roman" w:hAnsi="Times New Roman" w:eastAsia="仿宋_GB2312"/>
          <w:sz w:val="32"/>
          <w:szCs w:val="32"/>
        </w:rPr>
        <w:t>环翠区司法局</w:t>
      </w:r>
      <w:r>
        <w:rPr>
          <w:rFonts w:ascii="Times New Roman" w:hAnsi="Times New Roman" w:eastAsia="仿宋_GB2312"/>
          <w:sz w:val="32"/>
          <w:szCs w:val="32"/>
        </w:rPr>
        <w:t>共承办市人大代表建议</w:t>
      </w:r>
      <w:r>
        <w:rPr>
          <w:rFonts w:hint="eastAsia" w:ascii="Times New Roman" w:hAnsi="Times New Roman" w:eastAsia="仿宋_GB2312"/>
          <w:sz w:val="32"/>
          <w:szCs w:val="32"/>
        </w:rPr>
        <w:t>1</w:t>
      </w:r>
      <w:r>
        <w:rPr>
          <w:rFonts w:ascii="Times New Roman" w:hAnsi="Times New Roman" w:eastAsia="仿宋_GB2312"/>
          <w:sz w:val="32"/>
          <w:szCs w:val="32"/>
        </w:rPr>
        <w:t>件、政协提案</w:t>
      </w:r>
      <w:r>
        <w:rPr>
          <w:rFonts w:hint="eastAsia" w:ascii="Times New Roman" w:hAnsi="Times New Roman" w:eastAsia="仿宋_GB2312"/>
          <w:sz w:val="32"/>
          <w:szCs w:val="32"/>
        </w:rPr>
        <w:t>1</w:t>
      </w:r>
      <w:r>
        <w:rPr>
          <w:rFonts w:ascii="Times New Roman" w:hAnsi="Times New Roman" w:eastAsia="仿宋_GB2312"/>
          <w:sz w:val="32"/>
          <w:szCs w:val="32"/>
        </w:rPr>
        <w:t>件。目前，已全部办理完成，办复率</w:t>
      </w:r>
      <w:r>
        <w:rPr>
          <w:rFonts w:ascii="Times New Roman" w:hAnsi="Times New Roman"/>
          <w:sz w:val="32"/>
          <w:szCs w:val="32"/>
        </w:rPr>
        <w:t>100%</w:t>
      </w:r>
      <w:r>
        <w:rPr>
          <w:rFonts w:ascii="Times New Roman" w:hAnsi="Times New Roman" w:eastAsia="仿宋_GB2312"/>
          <w:sz w:val="32"/>
          <w:szCs w:val="32"/>
        </w:rPr>
        <w:t>，办理结果为</w:t>
      </w:r>
      <w:r>
        <w:rPr>
          <w:rFonts w:ascii="Times New Roman" w:hAnsi="Times New Roman"/>
          <w:sz w:val="32"/>
          <w:szCs w:val="32"/>
        </w:rPr>
        <w:t>A</w:t>
      </w:r>
      <w:r>
        <w:rPr>
          <w:rFonts w:ascii="Times New Roman" w:hAnsi="Times New Roman" w:eastAsia="仿宋_GB2312"/>
          <w:sz w:val="32"/>
          <w:szCs w:val="32"/>
        </w:rPr>
        <w:t>类</w:t>
      </w:r>
      <w:r>
        <w:rPr>
          <w:rFonts w:hint="eastAsia" w:ascii="Times New Roman" w:hAnsi="Times New Roman" w:eastAsia="仿宋_GB2312"/>
          <w:sz w:val="32"/>
          <w:szCs w:val="32"/>
        </w:rPr>
        <w:t>2</w:t>
      </w:r>
      <w:r>
        <w:rPr>
          <w:rFonts w:ascii="Times New Roman" w:hAnsi="Times New Roman" w:eastAsia="仿宋_GB2312"/>
          <w:sz w:val="32"/>
          <w:szCs w:val="32"/>
        </w:rPr>
        <w:t>件。</w:t>
      </w:r>
      <w:r>
        <w:rPr>
          <w:rFonts w:hint="eastAsia" w:ascii="Times New Roman" w:hAnsi="Times New Roman" w:eastAsia="仿宋_GB2312"/>
          <w:sz w:val="32"/>
          <w:szCs w:val="32"/>
        </w:rPr>
        <w:t>分别是</w:t>
      </w:r>
      <w:r>
        <w:rPr>
          <w:rFonts w:ascii="Times New Roman" w:hAnsi="Times New Roman" w:eastAsia="仿宋_GB2312"/>
          <w:sz w:val="32"/>
          <w:szCs w:val="32"/>
        </w:rPr>
        <w:t>关于区十九届人大二次会议第047号</w:t>
      </w:r>
      <w:r>
        <w:rPr>
          <w:rFonts w:hint="eastAsia" w:ascii="Times New Roman" w:hAnsi="Times New Roman" w:eastAsia="仿宋_GB2312"/>
          <w:sz w:val="32"/>
          <w:szCs w:val="32"/>
        </w:rPr>
        <w:t>姜华丽</w:t>
      </w:r>
      <w:r>
        <w:rPr>
          <w:rFonts w:ascii="Times New Roman" w:hAnsi="Times New Roman" w:eastAsia="仿宋_GB2312"/>
          <w:sz w:val="32"/>
          <w:szCs w:val="32"/>
        </w:rPr>
        <w:t>代表建议《关于深化城市更新法律服务助力城市发展新机制的建议》的答复</w:t>
      </w:r>
      <w:r>
        <w:rPr>
          <w:rFonts w:hint="eastAsia" w:ascii="Times New Roman" w:hAnsi="Times New Roman" w:eastAsia="仿宋_GB2312"/>
          <w:sz w:val="32"/>
          <w:szCs w:val="32"/>
        </w:rPr>
        <w:t>；关于区政协十五届二次会议第068号于得水委员提案《关于在我区加快《民法典》实施后新旧法衔接推广的建议》的答复。</w:t>
      </w:r>
    </w:p>
    <w:p>
      <w:pPr>
        <w:spacing w:line="560" w:lineRule="exact"/>
        <w:ind w:firstLine="646" w:firstLineChars="202"/>
        <w:rPr>
          <w:rFonts w:ascii="仿宋_GB2312" w:hAnsi="仿宋_GB2312" w:eastAsia="仿宋_GB2312" w:cs="仿宋_GB2312"/>
          <w:sz w:val="32"/>
          <w:szCs w:val="32"/>
        </w:rPr>
      </w:pPr>
      <w:r>
        <w:rPr>
          <w:rFonts w:ascii="Times New Roman" w:hAnsi="Times New Roman" w:eastAsia="仿宋_GB2312" w:cs="Times New Roman"/>
          <w:sz w:val="32"/>
          <w:szCs w:val="32"/>
        </w:rPr>
        <w:t>3.</w:t>
      </w:r>
      <w:r>
        <w:rPr>
          <w:rFonts w:hint="eastAsia" w:ascii="Times New Roman" w:hAnsi="Times New Roman" w:eastAsia="楷体_GB2312" w:cs="Times New Roman"/>
          <w:kern w:val="0"/>
          <w:sz w:val="32"/>
          <w:szCs w:val="32"/>
          <w:lang w:val="en-US" w:eastAsia="zh-CN" w:bidi="ar-SA"/>
        </w:rPr>
        <w:t>创新实践</w:t>
      </w:r>
      <w:r>
        <w:rPr>
          <w:rFonts w:ascii="Times New Roman" w:hAnsi="Times New Roman" w:eastAsia="楷体_GB2312" w:cs="Times New Roman"/>
          <w:kern w:val="0"/>
          <w:sz w:val="32"/>
          <w:szCs w:val="32"/>
          <w:lang w:val="en-US" w:eastAsia="zh-CN" w:bidi="ar-SA"/>
        </w:rPr>
        <w:t>：</w:t>
      </w:r>
      <w:r>
        <w:rPr>
          <w:rFonts w:hint="eastAsia" w:ascii="仿宋_GB2312" w:hAnsi="仿宋_GB2312" w:eastAsia="仿宋_GB2312" w:cs="仿宋_GB2312"/>
          <w:sz w:val="32"/>
          <w:szCs w:val="32"/>
        </w:rPr>
        <w:t>为扎实推进人民调解工作，维护全区社会和谐稳定，区司法局围绕人民调解工作，以提升政务公开质量为主线，将政务公开工作和人民调解工作有机结合，提升政务公开工作人民群众获得感，切实把矛盾纠纷化解在基层、消除在萌芽状态。环翠区所有街道、村居已全部实现调委会覆盖，实现人民调解服务全域通办。组建由司法所工作人员、村（居）法律顾问、调解员、网格员、社区志愿者等为成员的“流动调解室”，做到矛盾纠纷源头化解、多元化解、依法化解。推动人民调解服务便捷化，公开人民调解办事服务。</w:t>
      </w:r>
    </w:p>
    <w:p>
      <w:pPr>
        <w:pStyle w:val="2"/>
        <w:spacing w:line="560" w:lineRule="exact"/>
        <w:rPr>
          <w:rFonts w:ascii="仿宋_GB2312" w:hAnsi="仿宋_GB2312" w:eastAsia="仿宋_GB2312" w:cs="仿宋_GB2312"/>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楷体_GB2312">
    <w:altName w:val="方正楷体_GBK"/>
    <w:panose1 w:val="02010609030101010101"/>
    <w:charset w:val="86"/>
    <w:family w:val="modern"/>
    <w:pitch w:val="default"/>
    <w:sig w:usb0="00000000" w:usb1="00000000" w:usb2="00000010" w:usb3="00000000" w:csb0="00040000" w:csb1="00000000"/>
  </w:font>
  <w:font w:name="仿宋_GB2312">
    <w:altName w:val="方正仿宋_GBK"/>
    <w:panose1 w:val="02010609030101010101"/>
    <w:charset w:val="86"/>
    <w:family w:val="modern"/>
    <w:pitch w:val="default"/>
    <w:sig w:usb0="00000000" w:usb1="00000000" w:usb2="00000010" w:usb3="00000000" w:csb0="00040000" w:csb1="00000000"/>
  </w:font>
  <w:font w:name="楷体">
    <w:altName w:val="方正楷体_GBK"/>
    <w:panose1 w:val="02010609060101010101"/>
    <w:charset w:val="86"/>
    <w:family w:val="decorative"/>
    <w:pitch w:val="default"/>
    <w:sig w:usb0="00000000" w:usb1="00000000"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5DF97EA"/>
    <w:multiLevelType w:val="singleLevel"/>
    <w:tmpl w:val="F5DF97EA"/>
    <w:lvl w:ilvl="0" w:tentative="0">
      <w:start w:val="1"/>
      <w:numFmt w:val="decimal"/>
      <w:lvlText w:val="%1."/>
      <w:lvlJc w:val="left"/>
      <w:pPr>
        <w:tabs>
          <w:tab w:val="left" w:pos="312"/>
        </w:tabs>
      </w:pPr>
    </w:lvl>
  </w:abstractNum>
  <w:abstractNum w:abstractNumId="1">
    <w:nsid w:val="FDBF4A67"/>
    <w:multiLevelType w:val="singleLevel"/>
    <w:tmpl w:val="FDBF4A67"/>
    <w:lvl w:ilvl="0" w:tentative="0">
      <w:start w:val="1"/>
      <w:numFmt w:val="decimal"/>
      <w:lvlText w:val="%1."/>
      <w:lvlJc w:val="left"/>
      <w:pPr>
        <w:tabs>
          <w:tab w:val="left" w:pos="312"/>
        </w:tabs>
      </w:pPr>
    </w:lvl>
  </w:abstractNum>
  <w:abstractNum w:abstractNumId="2">
    <w:nsid w:val="2BEA31A8"/>
    <w:multiLevelType w:val="singleLevel"/>
    <w:tmpl w:val="2BEA31A8"/>
    <w:lvl w:ilvl="0" w:tentative="0">
      <w:start w:val="5"/>
      <w:numFmt w:val="chineseCounting"/>
      <w:suff w:val="nothing"/>
      <w:lvlText w:val="%1、"/>
      <w:lvlJc w:val="left"/>
      <w:rPr>
        <w:rFonts w:hint="eastAsi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420"/>
  <w:drawingGridVerticalSpacing w:val="156"/>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1AF18C8"/>
    <w:rsid w:val="00184B66"/>
    <w:rsid w:val="00335152"/>
    <w:rsid w:val="00644552"/>
    <w:rsid w:val="006542D9"/>
    <w:rsid w:val="00766600"/>
    <w:rsid w:val="00784BCC"/>
    <w:rsid w:val="008B409A"/>
    <w:rsid w:val="0090233B"/>
    <w:rsid w:val="00DD49E2"/>
    <w:rsid w:val="00E55FD4"/>
    <w:rsid w:val="00EC1284"/>
    <w:rsid w:val="08D157AC"/>
    <w:rsid w:val="10AFA3C6"/>
    <w:rsid w:val="11AF18C8"/>
    <w:rsid w:val="1A6A77C7"/>
    <w:rsid w:val="1CEC781A"/>
    <w:rsid w:val="21E9640B"/>
    <w:rsid w:val="33DD9032"/>
    <w:rsid w:val="37FF040E"/>
    <w:rsid w:val="3F4C0751"/>
    <w:rsid w:val="3F7F6D07"/>
    <w:rsid w:val="464F74E8"/>
    <w:rsid w:val="511E6463"/>
    <w:rsid w:val="54F23AC6"/>
    <w:rsid w:val="56F344A5"/>
    <w:rsid w:val="59FF285D"/>
    <w:rsid w:val="5B2F2252"/>
    <w:rsid w:val="5BFF58AC"/>
    <w:rsid w:val="5CE7727B"/>
    <w:rsid w:val="5E6F4467"/>
    <w:rsid w:val="5FF14016"/>
    <w:rsid w:val="5FFF17C4"/>
    <w:rsid w:val="5FFF745E"/>
    <w:rsid w:val="63FF45C3"/>
    <w:rsid w:val="657F7FC2"/>
    <w:rsid w:val="67DF8F63"/>
    <w:rsid w:val="68C9088B"/>
    <w:rsid w:val="6AFF3A75"/>
    <w:rsid w:val="6C7C7FF0"/>
    <w:rsid w:val="6FDEF2FE"/>
    <w:rsid w:val="6FF927FC"/>
    <w:rsid w:val="739F2A21"/>
    <w:rsid w:val="73FF1FCA"/>
    <w:rsid w:val="77181135"/>
    <w:rsid w:val="77ADB106"/>
    <w:rsid w:val="7A62D4CB"/>
    <w:rsid w:val="7BFC1E22"/>
    <w:rsid w:val="7C33B378"/>
    <w:rsid w:val="7DB7364D"/>
    <w:rsid w:val="7E2277F5"/>
    <w:rsid w:val="7F5D0D7A"/>
    <w:rsid w:val="7F7F62CE"/>
    <w:rsid w:val="7FA92E4E"/>
    <w:rsid w:val="7FEB1D57"/>
    <w:rsid w:val="7FF3217F"/>
    <w:rsid w:val="7FFF5246"/>
    <w:rsid w:val="7FFFF98A"/>
    <w:rsid w:val="9FEF7E2E"/>
    <w:rsid w:val="A6F60A98"/>
    <w:rsid w:val="AF9A72E2"/>
    <w:rsid w:val="AFFE573E"/>
    <w:rsid w:val="BBFB0BC4"/>
    <w:rsid w:val="C67F5E81"/>
    <w:rsid w:val="CFD98EC0"/>
    <w:rsid w:val="DDFDE933"/>
    <w:rsid w:val="DDFDFD03"/>
    <w:rsid w:val="DF4BF660"/>
    <w:rsid w:val="DFFF9452"/>
    <w:rsid w:val="ED7DB93C"/>
    <w:rsid w:val="EDFFB987"/>
    <w:rsid w:val="EDFFE999"/>
    <w:rsid w:val="EEF7276D"/>
    <w:rsid w:val="EFC34A6E"/>
    <w:rsid w:val="EFF7A62F"/>
    <w:rsid w:val="F1FF3357"/>
    <w:rsid w:val="F53EA255"/>
    <w:rsid w:val="F5BE4F67"/>
    <w:rsid w:val="F74F26DB"/>
    <w:rsid w:val="F95F4281"/>
    <w:rsid w:val="F9DF131C"/>
    <w:rsid w:val="FABFFB74"/>
    <w:rsid w:val="FBBB773C"/>
    <w:rsid w:val="FCA3F241"/>
    <w:rsid w:val="FDBE9CED"/>
    <w:rsid w:val="FFB96791"/>
    <w:rsid w:val="FFFA53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3">
    <w:name w:val="footer"/>
    <w:basedOn w:val="1"/>
    <w:link w:val="9"/>
    <w:qFormat/>
    <w:uiPriority w:val="0"/>
    <w:pPr>
      <w:tabs>
        <w:tab w:val="center" w:pos="4153"/>
        <w:tab w:val="right" w:pos="8306"/>
      </w:tabs>
      <w:snapToGrid w:val="0"/>
      <w:jc w:val="left"/>
    </w:pPr>
    <w:rPr>
      <w:sz w:val="18"/>
      <w:szCs w:val="18"/>
    </w:rPr>
  </w:style>
  <w:style w:type="paragraph" w:styleId="4">
    <w:name w:val="header"/>
    <w:basedOn w:val="1"/>
    <w:link w:val="8"/>
    <w:qFormat/>
    <w:uiPriority w:val="0"/>
    <w:pPr>
      <w:tabs>
        <w:tab w:val="center" w:pos="4153"/>
        <w:tab w:val="right" w:pos="8306"/>
      </w:tabs>
      <w:snapToGrid w:val="0"/>
      <w:jc w:val="center"/>
    </w:pPr>
    <w:rPr>
      <w:sz w:val="18"/>
      <w:szCs w:val="18"/>
    </w:rPr>
  </w:style>
  <w:style w:type="paragraph" w:styleId="5">
    <w:name w:val="Normal (Web)"/>
    <w:basedOn w:val="1"/>
    <w:qFormat/>
    <w:uiPriority w:val="0"/>
    <w:pPr>
      <w:spacing w:beforeAutospacing="1" w:afterAutospacing="1"/>
      <w:jc w:val="left"/>
    </w:pPr>
    <w:rPr>
      <w:rFonts w:cs="Times New Roman"/>
      <w:kern w:val="0"/>
      <w:sz w:val="24"/>
    </w:rPr>
  </w:style>
  <w:style w:type="character" w:customStyle="1" w:styleId="8">
    <w:name w:val="页眉 字符"/>
    <w:basedOn w:val="7"/>
    <w:link w:val="4"/>
    <w:qFormat/>
    <w:uiPriority w:val="0"/>
    <w:rPr>
      <w:rFonts w:asciiTheme="minorHAnsi" w:hAnsiTheme="minorHAnsi" w:eastAsiaTheme="minorEastAsia" w:cstheme="minorBidi"/>
      <w:kern w:val="2"/>
      <w:sz w:val="18"/>
      <w:szCs w:val="18"/>
    </w:rPr>
  </w:style>
  <w:style w:type="character" w:customStyle="1" w:styleId="9">
    <w:name w:val="页脚 字符"/>
    <w:basedOn w:val="7"/>
    <w:link w:val="3"/>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499</Words>
  <Characters>2850</Characters>
  <Lines>23</Lines>
  <Paragraphs>6</Paragraphs>
  <TotalTime>48</TotalTime>
  <ScaleCrop>false</ScaleCrop>
  <LinksUpToDate>false</LinksUpToDate>
  <CharactersWithSpaces>3343</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2023-01-18T15:45:00Z</dcterms:created>
  <dc:creator>诗人与熊</dc:creator>
  <cp:lastModifiedBy>user</cp:lastModifiedBy>
  <cp:lastPrinted>2023-01-18T17:08:00Z</cp:lastPrinted>
  <dcterms:modified xsi:type="dcterms:W3CDTF">2024-01-17T10:42:49Z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E69FC135B6704485BACA57740AE2D712</vt:lpwstr>
  </property>
</Properties>
</file>