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both"/>
        <w:textAlignment w:val="auto"/>
        <w:outlineLvl w:val="9"/>
        <w:rPr>
          <w:rFonts w:hint="eastAsia" w:ascii="方正小标宋简体" w:hAnsi="方正小标宋简体" w:eastAsia="方正小标宋简体" w:cs="方正小标宋简体"/>
          <w:b w:val="0"/>
          <w:bCs/>
          <w:i w:val="0"/>
          <w:caps w:val="0"/>
          <w:color w:val="333333"/>
          <w:spacing w:val="0"/>
          <w:sz w:val="44"/>
          <w:szCs w:val="44"/>
          <w:highlight w:val="none"/>
          <w:shd w:val="clear" w:fill="FFFFFF"/>
          <w:lang w:eastAsia="zh-CN"/>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jc w:val="center"/>
        <w:textAlignment w:val="auto"/>
        <w:outlineLvl w:val="9"/>
        <w:rPr>
          <w:rFonts w:hint="eastAsia" w:ascii="方正小标宋简体" w:hAnsi="方正小标宋简体" w:eastAsia="方正小标宋简体" w:cs="方正小标宋简体"/>
          <w:b w:val="0"/>
          <w:bCs/>
          <w:i w:val="0"/>
          <w:caps w:val="0"/>
          <w:color w:val="auto"/>
          <w:spacing w:val="-17"/>
          <w:sz w:val="44"/>
          <w:szCs w:val="44"/>
          <w:highlight w:val="none"/>
          <w:shd w:val="clear" w:fill="FFFFFF"/>
          <w:lang w:val="en-US" w:eastAsia="zh-CN"/>
        </w:rPr>
      </w:pPr>
      <w:r>
        <w:rPr>
          <w:rFonts w:hint="eastAsia" w:ascii="方正小标宋简体" w:hAnsi="方正小标宋简体" w:eastAsia="方正小标宋简体" w:cs="方正小标宋简体"/>
          <w:b w:val="0"/>
          <w:bCs/>
          <w:i w:val="0"/>
          <w:caps w:val="0"/>
          <w:color w:val="auto"/>
          <w:spacing w:val="-17"/>
          <w:sz w:val="44"/>
          <w:szCs w:val="44"/>
          <w:highlight w:val="none"/>
          <w:shd w:val="clear" w:fill="FFFFFF"/>
          <w:lang w:val="en-US" w:eastAsia="zh-CN"/>
        </w:rPr>
        <w:t>威海市环翠区工业和信息化局</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jc w:val="center"/>
        <w:textAlignment w:val="auto"/>
        <w:outlineLvl w:val="9"/>
        <w:rPr>
          <w:rFonts w:hint="eastAsia" w:ascii="方正小标宋简体" w:hAnsi="方正小标宋简体" w:eastAsia="方正小标宋简体" w:cs="方正小标宋简体"/>
          <w:b w:val="0"/>
          <w:bCs/>
          <w:i w:val="0"/>
          <w:caps w:val="0"/>
          <w:color w:val="auto"/>
          <w:spacing w:val="-17"/>
          <w:sz w:val="44"/>
          <w:szCs w:val="44"/>
          <w:highlight w:val="none"/>
          <w:shd w:val="clear" w:fill="FFFFFF"/>
          <w:lang w:val="en-US" w:eastAsia="zh-CN"/>
        </w:rPr>
      </w:pPr>
      <w:r>
        <w:rPr>
          <w:rFonts w:hint="eastAsia" w:ascii="方正小标宋简体" w:hAnsi="方正小标宋简体" w:eastAsia="方正小标宋简体" w:cs="方正小标宋简体"/>
          <w:b w:val="0"/>
          <w:bCs/>
          <w:i w:val="0"/>
          <w:caps w:val="0"/>
          <w:color w:val="auto"/>
          <w:spacing w:val="-17"/>
          <w:sz w:val="44"/>
          <w:szCs w:val="44"/>
          <w:highlight w:val="none"/>
          <w:shd w:val="clear" w:fill="FFFFFF"/>
          <w:lang w:val="en-US" w:eastAsia="zh-CN"/>
        </w:rPr>
        <w:t>2023年政府信息公开工作年度报告</w:t>
      </w:r>
    </w:p>
    <w:p>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jc w:val="both"/>
        <w:textAlignment w:val="auto"/>
        <w:rPr>
          <w:rFonts w:hint="default" w:ascii="Times New Roman" w:hAnsi="Times New Roman" w:eastAsia="仿宋_GB2312" w:cs="Times New Roman"/>
          <w:color w:val="000000"/>
          <w:sz w:val="32"/>
          <w:szCs w:val="32"/>
          <w:highlight w:val="none"/>
        </w:rPr>
      </w:pPr>
    </w:p>
    <w:p>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cs="Times New Roman"/>
          <w:color w:val="auto"/>
          <w:sz w:val="32"/>
          <w:szCs w:val="32"/>
          <w:highlight w:val="none"/>
        </w:rPr>
      </w:pPr>
      <w:r>
        <w:rPr>
          <w:rFonts w:hint="default" w:ascii="Times New Roman" w:hAnsi="Times New Roman" w:eastAsia="仿宋_GB2312" w:cs="Times New Roman"/>
          <w:color w:val="000000"/>
          <w:sz w:val="32"/>
          <w:szCs w:val="32"/>
          <w:highlight w:val="none"/>
        </w:rPr>
        <w:t>根据《中华人民共和国政府信息公开条例》（国务院令第</w:t>
      </w:r>
      <w:r>
        <w:rPr>
          <w:rFonts w:hint="default" w:ascii="Times New Roman" w:hAnsi="Times New Roman" w:cs="Times New Roman"/>
          <w:color w:val="000000"/>
          <w:sz w:val="32"/>
          <w:szCs w:val="32"/>
          <w:highlight w:val="none"/>
        </w:rPr>
        <w:t>711</w:t>
      </w:r>
      <w:r>
        <w:rPr>
          <w:rFonts w:hint="default" w:ascii="Times New Roman" w:hAnsi="Times New Roman" w:eastAsia="仿宋_GB2312" w:cs="Times New Roman"/>
          <w:color w:val="000000"/>
          <w:sz w:val="32"/>
          <w:szCs w:val="32"/>
          <w:highlight w:val="none"/>
        </w:rPr>
        <w:t>号，以下简称《条例》）和《中华人民共和国政府信息公开工</w:t>
      </w:r>
      <w:r>
        <w:rPr>
          <w:rFonts w:hint="default" w:ascii="Times New Roman" w:hAnsi="Times New Roman" w:eastAsia="仿宋_GB2312" w:cs="Times New Roman"/>
          <w:color w:val="auto"/>
          <w:sz w:val="32"/>
          <w:szCs w:val="32"/>
          <w:highlight w:val="none"/>
        </w:rPr>
        <w:t>作年度报告格式》（国办公开办函〔</w:t>
      </w:r>
      <w:r>
        <w:rPr>
          <w:rFonts w:hint="default" w:ascii="Times New Roman" w:hAnsi="Times New Roman" w:cs="Times New Roman"/>
          <w:color w:val="auto"/>
          <w:sz w:val="32"/>
          <w:szCs w:val="32"/>
          <w:highlight w:val="none"/>
        </w:rPr>
        <w:t>2021</w:t>
      </w:r>
      <w:r>
        <w:rPr>
          <w:rFonts w:hint="default" w:ascii="Times New Roman" w:hAnsi="Times New Roman" w:eastAsia="仿宋_GB2312" w:cs="Times New Roman"/>
          <w:color w:val="auto"/>
          <w:sz w:val="32"/>
          <w:szCs w:val="32"/>
          <w:highlight w:val="none"/>
        </w:rPr>
        <w:t>〕30号）要求，结合</w:t>
      </w:r>
      <w:r>
        <w:rPr>
          <w:rFonts w:hint="default" w:ascii="Times New Roman" w:hAnsi="Times New Roman" w:cs="Times New Roman"/>
          <w:color w:val="auto"/>
          <w:sz w:val="32"/>
          <w:szCs w:val="32"/>
          <w:highlight w:val="none"/>
        </w:rPr>
        <w:t>202</w:t>
      </w:r>
      <w:r>
        <w:rPr>
          <w:rFonts w:hint="eastAsia" w:ascii="Times New Roman" w:hAnsi="Times New Roman" w:cs="Times New Roman"/>
          <w:color w:val="auto"/>
          <w:sz w:val="32"/>
          <w:szCs w:val="32"/>
          <w:highlight w:val="none"/>
          <w:lang w:val="en-US" w:eastAsia="zh-CN"/>
        </w:rPr>
        <w:t>3</w:t>
      </w:r>
      <w:r>
        <w:rPr>
          <w:rFonts w:hint="default" w:ascii="Times New Roman" w:hAnsi="Times New Roman" w:eastAsia="仿宋_GB2312" w:cs="Times New Roman"/>
          <w:color w:val="auto"/>
          <w:sz w:val="32"/>
          <w:szCs w:val="32"/>
          <w:highlight w:val="none"/>
        </w:rPr>
        <w:t>年威海市环翠区</w:t>
      </w:r>
      <w:r>
        <w:rPr>
          <w:rFonts w:hint="eastAsia" w:ascii="Times New Roman" w:hAnsi="Times New Roman" w:eastAsia="仿宋_GB2312" w:cs="Times New Roman"/>
          <w:color w:val="auto"/>
          <w:sz w:val="32"/>
          <w:szCs w:val="32"/>
          <w:highlight w:val="none"/>
          <w:lang w:val="en-US" w:eastAsia="zh-CN"/>
        </w:rPr>
        <w:t>工业和信息化局</w:t>
      </w:r>
      <w:r>
        <w:rPr>
          <w:rFonts w:hint="default" w:ascii="Times New Roman" w:hAnsi="Times New Roman" w:eastAsia="仿宋_GB2312" w:cs="Times New Roman"/>
          <w:color w:val="auto"/>
          <w:sz w:val="32"/>
          <w:szCs w:val="32"/>
          <w:highlight w:val="none"/>
        </w:rPr>
        <w:t>政府信息公开工作实际，编制发布本报告。</w:t>
      </w:r>
    </w:p>
    <w:p>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cs="Times New Roman"/>
          <w:color w:val="auto"/>
          <w:sz w:val="32"/>
          <w:szCs w:val="32"/>
          <w:highlight w:val="none"/>
        </w:rPr>
      </w:pPr>
      <w:r>
        <w:rPr>
          <w:rFonts w:hint="default" w:ascii="Times New Roman" w:hAnsi="Times New Roman" w:eastAsia="仿宋_GB2312" w:cs="Times New Roman"/>
          <w:color w:val="auto"/>
          <w:sz w:val="32"/>
          <w:szCs w:val="32"/>
          <w:highlight w:val="none"/>
        </w:rPr>
        <w:t>本报告内容包括：总体情况、主动公开政府信息情况、收到和处理政府信息公开申请情况、政府信息公开行政复议</w:t>
      </w:r>
      <w:r>
        <w:rPr>
          <w:rFonts w:hint="eastAsia" w:ascii="Times New Roman" w:hAnsi="Times New Roman" w:eastAsia="仿宋_GB2312" w:cs="Times New Roman"/>
          <w:color w:val="auto"/>
          <w:sz w:val="32"/>
          <w:szCs w:val="32"/>
          <w:highlight w:val="none"/>
          <w:lang w:val="en-US" w:eastAsia="zh-CN"/>
        </w:rPr>
        <w:t>及</w:t>
      </w:r>
      <w:r>
        <w:rPr>
          <w:rFonts w:hint="default" w:ascii="Times New Roman" w:hAnsi="Times New Roman" w:eastAsia="仿宋_GB2312" w:cs="Times New Roman"/>
          <w:color w:val="auto"/>
          <w:sz w:val="32"/>
          <w:szCs w:val="32"/>
          <w:highlight w:val="none"/>
        </w:rPr>
        <w:t>行政诉讼情况、存在的主要问题及改进情况、其他事项，以及相关指标统计附表等。报告中所列数据统计期限从</w:t>
      </w:r>
      <w:r>
        <w:rPr>
          <w:rFonts w:hint="default" w:ascii="Times New Roman" w:hAnsi="Times New Roman" w:cs="Times New Roman"/>
          <w:color w:val="auto"/>
          <w:sz w:val="32"/>
          <w:szCs w:val="32"/>
          <w:highlight w:val="none"/>
        </w:rPr>
        <w:t>202</w:t>
      </w:r>
      <w:r>
        <w:rPr>
          <w:rFonts w:hint="eastAsia" w:ascii="Times New Roman" w:hAnsi="Times New Roman" w:cs="Times New Roman"/>
          <w:color w:val="auto"/>
          <w:sz w:val="32"/>
          <w:szCs w:val="32"/>
          <w:highlight w:val="none"/>
          <w:lang w:val="en-US" w:eastAsia="zh-CN"/>
        </w:rPr>
        <w:t>3</w:t>
      </w:r>
      <w:r>
        <w:rPr>
          <w:rFonts w:hint="default" w:ascii="Times New Roman" w:hAnsi="Times New Roman" w:eastAsia="仿宋_GB2312" w:cs="Times New Roman"/>
          <w:color w:val="auto"/>
          <w:sz w:val="32"/>
          <w:szCs w:val="32"/>
          <w:highlight w:val="none"/>
        </w:rPr>
        <w:t>年</w:t>
      </w:r>
      <w:r>
        <w:rPr>
          <w:rFonts w:hint="default" w:ascii="Times New Roman" w:hAnsi="Times New Roman" w:cs="Times New Roman"/>
          <w:color w:val="auto"/>
          <w:sz w:val="32"/>
          <w:szCs w:val="32"/>
          <w:highlight w:val="none"/>
        </w:rPr>
        <w:t>1</w:t>
      </w:r>
      <w:r>
        <w:rPr>
          <w:rFonts w:hint="default" w:ascii="Times New Roman" w:hAnsi="Times New Roman" w:eastAsia="仿宋_GB2312" w:cs="Times New Roman"/>
          <w:color w:val="auto"/>
          <w:sz w:val="32"/>
          <w:szCs w:val="32"/>
          <w:highlight w:val="none"/>
        </w:rPr>
        <w:t>月</w:t>
      </w:r>
      <w:r>
        <w:rPr>
          <w:rFonts w:hint="default" w:ascii="Times New Roman" w:hAnsi="Times New Roman" w:cs="Times New Roman"/>
          <w:color w:val="auto"/>
          <w:sz w:val="32"/>
          <w:szCs w:val="32"/>
          <w:highlight w:val="none"/>
        </w:rPr>
        <w:t>1</w:t>
      </w:r>
      <w:r>
        <w:rPr>
          <w:rFonts w:hint="default" w:ascii="Times New Roman" w:hAnsi="Times New Roman" w:eastAsia="仿宋_GB2312" w:cs="Times New Roman"/>
          <w:color w:val="auto"/>
          <w:sz w:val="32"/>
          <w:szCs w:val="32"/>
          <w:highlight w:val="none"/>
        </w:rPr>
        <w:t>日到</w:t>
      </w:r>
      <w:r>
        <w:rPr>
          <w:rFonts w:hint="default" w:ascii="Times New Roman" w:hAnsi="Times New Roman" w:cs="Times New Roman"/>
          <w:color w:val="auto"/>
          <w:sz w:val="32"/>
          <w:szCs w:val="32"/>
          <w:highlight w:val="none"/>
        </w:rPr>
        <w:t>12</w:t>
      </w:r>
      <w:r>
        <w:rPr>
          <w:rFonts w:hint="default" w:ascii="Times New Roman" w:hAnsi="Times New Roman" w:eastAsia="仿宋_GB2312" w:cs="Times New Roman"/>
          <w:color w:val="auto"/>
          <w:sz w:val="32"/>
          <w:szCs w:val="32"/>
          <w:highlight w:val="none"/>
        </w:rPr>
        <w:t>月</w:t>
      </w:r>
      <w:r>
        <w:rPr>
          <w:rFonts w:hint="default" w:ascii="Times New Roman" w:hAnsi="Times New Roman" w:cs="Times New Roman"/>
          <w:color w:val="auto"/>
          <w:sz w:val="32"/>
          <w:szCs w:val="32"/>
          <w:highlight w:val="none"/>
        </w:rPr>
        <w:t>31</w:t>
      </w:r>
      <w:r>
        <w:rPr>
          <w:rFonts w:hint="default" w:ascii="Times New Roman" w:hAnsi="Times New Roman" w:eastAsia="仿宋_GB2312" w:cs="Times New Roman"/>
          <w:color w:val="auto"/>
          <w:sz w:val="32"/>
          <w:szCs w:val="32"/>
          <w:highlight w:val="none"/>
        </w:rPr>
        <w:t>日止。报告电子版可从</w:t>
      </w:r>
      <w:r>
        <w:rPr>
          <w:rFonts w:hint="eastAsia" w:ascii="Times New Roman" w:hAnsi="Times New Roman" w:eastAsia="仿宋_GB2312" w:cs="Times New Roman"/>
          <w:color w:val="auto"/>
          <w:sz w:val="32"/>
          <w:szCs w:val="32"/>
          <w:highlight w:val="none"/>
          <w:lang w:val="en-US" w:eastAsia="zh-CN"/>
        </w:rPr>
        <w:t>威海市环翠区人民政府网站</w:t>
      </w:r>
      <w:r>
        <w:rPr>
          <w:rFonts w:hint="default" w:ascii="Times New Roman" w:hAnsi="Times New Roman" w:eastAsia="仿宋_GB2312" w:cs="Times New Roman"/>
          <w:color w:val="auto"/>
          <w:sz w:val="32"/>
          <w:szCs w:val="32"/>
          <w:highlight w:val="none"/>
        </w:rPr>
        <w:t>（</w:t>
      </w:r>
      <w:r>
        <w:rPr>
          <w:rFonts w:hint="eastAsia" w:ascii="Times New Roman" w:hAnsi="Times New Roman" w:eastAsia="仿宋_GB2312" w:cs="Times New Roman"/>
          <w:color w:val="auto"/>
          <w:sz w:val="32"/>
          <w:szCs w:val="32"/>
          <w:highlight w:val="none"/>
          <w:u w:val="none"/>
          <w:lang w:val="en-US" w:eastAsia="zh-CN"/>
        </w:rPr>
        <w:t>网址：</w:t>
      </w:r>
      <w:r>
        <w:rPr>
          <w:rFonts w:hint="eastAsia" w:ascii="Times New Roman" w:hAnsi="Times New Roman" w:eastAsia="仿宋_GB2312" w:cs="Times New Roman"/>
          <w:color w:val="auto"/>
          <w:sz w:val="32"/>
          <w:szCs w:val="32"/>
          <w:highlight w:val="none"/>
          <w:u w:val="single"/>
          <w:lang w:val="en-US" w:eastAsia="zh-CN"/>
        </w:rPr>
        <w:t>http://www.huancui.gov.cn/</w:t>
      </w:r>
      <w:r>
        <w:rPr>
          <w:rFonts w:hint="default" w:ascii="Times New Roman" w:hAnsi="Times New Roman" w:eastAsia="仿宋_GB2312" w:cs="Times New Roman"/>
          <w:color w:val="auto"/>
          <w:sz w:val="32"/>
          <w:szCs w:val="32"/>
          <w:highlight w:val="none"/>
        </w:rPr>
        <w:t>）查阅或下载。公众如需进一步咨询了解相关信息，请与</w:t>
      </w:r>
      <w:r>
        <w:rPr>
          <w:rFonts w:hint="eastAsia" w:ascii="Times New Roman" w:hAnsi="Times New Roman" w:eastAsia="仿宋_GB2312" w:cs="Times New Roman"/>
          <w:color w:val="auto"/>
          <w:sz w:val="32"/>
          <w:szCs w:val="32"/>
          <w:highlight w:val="none"/>
          <w:lang w:val="en-US" w:eastAsia="zh-CN"/>
        </w:rPr>
        <w:t>威海市环翠区工业和信息化局</w:t>
      </w:r>
      <w:r>
        <w:rPr>
          <w:rFonts w:hint="default" w:ascii="Times New Roman" w:hAnsi="Times New Roman" w:eastAsia="仿宋_GB2312" w:cs="Times New Roman"/>
          <w:color w:val="auto"/>
          <w:sz w:val="32"/>
          <w:szCs w:val="32"/>
          <w:highlight w:val="none"/>
        </w:rPr>
        <w:t>联系（地址</w:t>
      </w:r>
      <w:r>
        <w:rPr>
          <w:rFonts w:hint="default" w:ascii="Times New Roman" w:hAnsi="Times New Roman" w:eastAsia="仿宋_GB2312" w:cs="Times New Roman"/>
          <w:color w:val="auto"/>
          <w:sz w:val="32"/>
          <w:szCs w:val="32"/>
          <w:highlight w:val="none"/>
          <w:u w:val="none"/>
        </w:rPr>
        <w:t>：</w:t>
      </w:r>
      <w:r>
        <w:rPr>
          <w:rFonts w:hint="eastAsia" w:ascii="Times New Roman" w:hAnsi="Times New Roman" w:eastAsia="仿宋_GB2312" w:cs="Times New Roman"/>
          <w:color w:val="auto"/>
          <w:sz w:val="32"/>
          <w:szCs w:val="32"/>
          <w:highlight w:val="none"/>
          <w:u w:val="single"/>
          <w:lang w:eastAsia="zh-CN"/>
        </w:rPr>
        <w:t>威海市环翠区</w:t>
      </w:r>
      <w:r>
        <w:rPr>
          <w:rFonts w:hint="eastAsia" w:ascii="Times New Roman" w:hAnsi="Times New Roman" w:eastAsia="仿宋_GB2312" w:cs="Times New Roman"/>
          <w:color w:val="auto"/>
          <w:sz w:val="32"/>
          <w:szCs w:val="32"/>
          <w:highlight w:val="none"/>
          <w:u w:val="single"/>
          <w:lang w:val="en-US" w:eastAsia="zh-CN"/>
        </w:rPr>
        <w:t>文化中路59号</w:t>
      </w:r>
      <w:r>
        <w:rPr>
          <w:rFonts w:hint="default" w:ascii="Times New Roman" w:hAnsi="Times New Roman" w:eastAsia="仿宋_GB2312" w:cs="Times New Roman"/>
          <w:color w:val="auto"/>
          <w:sz w:val="32"/>
          <w:szCs w:val="32"/>
          <w:highlight w:val="none"/>
        </w:rPr>
        <w:t>，电话：</w:t>
      </w:r>
      <w:r>
        <w:rPr>
          <w:rFonts w:hint="eastAsia" w:ascii="Times New Roman" w:hAnsi="Times New Roman" w:eastAsia="仿宋_GB2312" w:cs="Times New Roman"/>
          <w:color w:val="auto"/>
          <w:sz w:val="32"/>
          <w:szCs w:val="32"/>
          <w:highlight w:val="none"/>
          <w:u w:val="single"/>
          <w:lang w:val="en-US" w:eastAsia="zh-CN"/>
        </w:rPr>
        <w:t>0631-5352512</w:t>
      </w:r>
      <w:r>
        <w:rPr>
          <w:rFonts w:hint="default" w:ascii="Times New Roman" w:hAnsi="Times New Roman" w:eastAsia="仿宋_GB2312" w:cs="Times New Roman"/>
          <w:color w:val="auto"/>
          <w:sz w:val="32"/>
          <w:szCs w:val="32"/>
          <w:highlight w:val="none"/>
        </w:rPr>
        <w:t>）。</w:t>
      </w:r>
    </w:p>
    <w:p>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eastAsia" w:ascii="黑体" w:hAnsi="黑体" w:eastAsia="黑体" w:cs="黑体"/>
          <w:color w:val="auto"/>
          <w:sz w:val="32"/>
          <w:szCs w:val="32"/>
          <w:highlight w:val="none"/>
        </w:rPr>
      </w:pPr>
      <w:r>
        <w:rPr>
          <w:rFonts w:hint="eastAsia" w:ascii="黑体" w:hAnsi="黑体" w:eastAsia="黑体" w:cs="黑体"/>
          <w:color w:val="auto"/>
          <w:sz w:val="32"/>
          <w:szCs w:val="32"/>
          <w:highlight w:val="none"/>
        </w:rPr>
        <w:t>一、总体情况</w:t>
      </w:r>
    </w:p>
    <w:p>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2023年，环翠区工信局在区委、区政府的领导下，深入贯彻落实上级政务公开工作部署，遵循“公正、公平、合法、便民”原则，不断完善工作机制，拓宽信息公开领域，保障公民、法人和其他组织依法获取政府信息的途径。</w:t>
      </w:r>
    </w:p>
    <w:p>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eastAsia" w:ascii="楷体_GB2312" w:hAnsi="楷体_GB2312" w:eastAsia="楷体_GB2312" w:cs="楷体_GB2312"/>
          <w:b w:val="0"/>
          <w:bCs/>
          <w:color w:val="auto"/>
          <w:sz w:val="32"/>
          <w:szCs w:val="32"/>
          <w:highlight w:val="none"/>
          <w:lang w:val="en-US" w:eastAsia="zh-CN"/>
        </w:rPr>
      </w:pPr>
      <w:r>
        <w:rPr>
          <w:rFonts w:hint="default" w:ascii="Times New Roman" w:hAnsi="Times New Roman" w:eastAsia="仿宋_GB2312" w:cs="Times New Roman"/>
          <w:b w:val="0"/>
          <w:bCs/>
          <w:color w:val="auto"/>
          <w:sz w:val="32"/>
          <w:szCs w:val="32"/>
          <w:highlight w:val="none"/>
          <w:lang w:val="en-US" w:eastAsia="zh-CN"/>
        </w:rPr>
        <w:t>1.</w:t>
      </w:r>
      <w:r>
        <w:rPr>
          <w:rFonts w:hint="eastAsia" w:ascii="楷体_GB2312" w:hAnsi="楷体_GB2312" w:eastAsia="楷体_GB2312" w:cs="楷体_GB2312"/>
          <w:b w:val="0"/>
          <w:bCs/>
          <w:color w:val="auto"/>
          <w:sz w:val="32"/>
          <w:szCs w:val="32"/>
          <w:highlight w:val="none"/>
          <w:lang w:val="en-US" w:eastAsia="zh-CN"/>
        </w:rPr>
        <w:t>主动公开方面。</w:t>
      </w:r>
    </w:p>
    <w:p>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eastAsia" w:ascii="Times New Roman" w:hAnsi="Times New Roman" w:eastAsia="仿宋_GB2312" w:cs="Times New Roman"/>
          <w:color w:val="auto"/>
          <w:sz w:val="32"/>
          <w:szCs w:val="32"/>
          <w:highlight w:val="none"/>
          <w:lang w:val="en-US" w:eastAsia="zh-CN"/>
        </w:rPr>
      </w:pPr>
      <w:r>
        <w:rPr>
          <w:rFonts w:hint="eastAsia" w:ascii="Times New Roman" w:hAnsi="Times New Roman" w:eastAsia="仿宋_GB2312" w:cs="Times New Roman"/>
          <w:color w:val="auto"/>
          <w:sz w:val="32"/>
          <w:szCs w:val="32"/>
          <w:highlight w:val="none"/>
          <w:lang w:eastAsia="zh-CN"/>
        </w:rPr>
        <w:t>202</w:t>
      </w:r>
      <w:r>
        <w:rPr>
          <w:rFonts w:hint="eastAsia" w:ascii="Times New Roman" w:hAnsi="Times New Roman" w:eastAsia="仿宋_GB2312" w:cs="Times New Roman"/>
          <w:color w:val="auto"/>
          <w:sz w:val="32"/>
          <w:szCs w:val="32"/>
          <w:highlight w:val="none"/>
          <w:lang w:val="en-US" w:eastAsia="zh-CN"/>
        </w:rPr>
        <w:t>3</w:t>
      </w:r>
      <w:r>
        <w:rPr>
          <w:rFonts w:hint="eastAsia" w:ascii="Times New Roman" w:hAnsi="Times New Roman" w:eastAsia="仿宋_GB2312" w:cs="Times New Roman"/>
          <w:color w:val="auto"/>
          <w:sz w:val="32"/>
          <w:szCs w:val="32"/>
          <w:highlight w:val="none"/>
          <w:lang w:eastAsia="zh-CN"/>
        </w:rPr>
        <w:t>年我局政府信息公开工作做到了规范管理，定期和动态更新相结合，确保信息公开的时效性。政府网站共主动公开政府信息数</w:t>
      </w:r>
      <w:r>
        <w:rPr>
          <w:rFonts w:hint="eastAsia" w:ascii="Times New Roman" w:hAnsi="Times New Roman" w:eastAsia="仿宋_GB2312" w:cs="Times New Roman"/>
          <w:color w:val="auto"/>
          <w:sz w:val="32"/>
          <w:szCs w:val="32"/>
          <w:highlight w:val="none"/>
          <w:lang w:val="en-US" w:eastAsia="zh-CN"/>
        </w:rPr>
        <w:t>63</w:t>
      </w:r>
      <w:r>
        <w:rPr>
          <w:rFonts w:hint="eastAsia" w:ascii="Times New Roman" w:hAnsi="Times New Roman" w:eastAsia="仿宋_GB2312" w:cs="Times New Roman"/>
          <w:color w:val="auto"/>
          <w:sz w:val="32"/>
          <w:szCs w:val="32"/>
          <w:highlight w:val="none"/>
          <w:lang w:eastAsia="zh-CN"/>
        </w:rPr>
        <w:t>条。</w:t>
      </w:r>
      <w:r>
        <w:rPr>
          <w:rFonts w:hint="eastAsia" w:ascii="Times New Roman" w:hAnsi="Times New Roman" w:eastAsia="仿宋_GB2312" w:cs="Times New Roman"/>
          <w:color w:val="auto"/>
          <w:sz w:val="32"/>
          <w:szCs w:val="32"/>
          <w:highlight w:val="none"/>
          <w:lang w:eastAsia="zh-CN"/>
        </w:rPr>
        <w:t>动态更新政策文件</w:t>
      </w:r>
      <w:r>
        <w:rPr>
          <w:rFonts w:hint="eastAsia" w:ascii="Times New Roman" w:hAnsi="Times New Roman" w:eastAsia="仿宋_GB2312" w:cs="Times New Roman"/>
          <w:color w:val="auto"/>
          <w:sz w:val="32"/>
          <w:szCs w:val="32"/>
          <w:highlight w:val="none"/>
          <w:lang w:val="en-US" w:eastAsia="zh-CN"/>
        </w:rPr>
        <w:t>1条</w:t>
      </w:r>
      <w:r>
        <w:rPr>
          <w:rFonts w:hint="eastAsia" w:ascii="Times New Roman" w:hAnsi="Times New Roman" w:eastAsia="仿宋_GB2312" w:cs="Times New Roman"/>
          <w:color w:val="auto"/>
          <w:sz w:val="32"/>
          <w:szCs w:val="32"/>
          <w:highlight w:val="none"/>
          <w:lang w:eastAsia="zh-CN"/>
        </w:rPr>
        <w:t>，政府会议类信息</w:t>
      </w:r>
      <w:r>
        <w:rPr>
          <w:rFonts w:hint="eastAsia" w:ascii="Times New Roman" w:hAnsi="Times New Roman" w:eastAsia="仿宋_GB2312" w:cs="Times New Roman"/>
          <w:color w:val="auto"/>
          <w:sz w:val="32"/>
          <w:szCs w:val="32"/>
          <w:highlight w:val="none"/>
          <w:lang w:val="en-US" w:eastAsia="zh-CN"/>
        </w:rPr>
        <w:t>14条</w:t>
      </w:r>
      <w:r>
        <w:rPr>
          <w:rFonts w:hint="eastAsia" w:ascii="Times New Roman" w:hAnsi="Times New Roman" w:eastAsia="仿宋_GB2312" w:cs="Times New Roman"/>
          <w:color w:val="auto"/>
          <w:sz w:val="32"/>
          <w:szCs w:val="32"/>
          <w:highlight w:val="none"/>
          <w:lang w:val="en-US" w:eastAsia="zh-CN"/>
        </w:rPr>
        <w:t>，财政预决算类信息</w:t>
      </w:r>
      <w:r>
        <w:rPr>
          <w:rFonts w:hint="eastAsia" w:ascii="Times New Roman" w:hAnsi="Times New Roman" w:eastAsia="仿宋_GB2312" w:cs="Times New Roman"/>
          <w:color w:val="auto"/>
          <w:sz w:val="32"/>
          <w:szCs w:val="32"/>
          <w:highlight w:val="none"/>
          <w:lang w:val="en-US" w:eastAsia="zh-CN"/>
        </w:rPr>
        <w:t>4条</w:t>
      </w:r>
      <w:r>
        <w:rPr>
          <w:rFonts w:hint="eastAsia" w:ascii="Times New Roman" w:hAnsi="Times New Roman" w:eastAsia="仿宋_GB2312" w:cs="Times New Roman"/>
          <w:color w:val="auto"/>
          <w:sz w:val="32"/>
          <w:szCs w:val="32"/>
          <w:highlight w:val="none"/>
          <w:lang w:val="en-US" w:eastAsia="zh-CN"/>
        </w:rPr>
        <w:t>，重点领域类信息</w:t>
      </w:r>
      <w:r>
        <w:rPr>
          <w:rFonts w:hint="eastAsia" w:ascii="Times New Roman" w:hAnsi="Times New Roman" w:eastAsia="仿宋_GB2312" w:cs="Times New Roman"/>
          <w:color w:val="auto"/>
          <w:sz w:val="32"/>
          <w:szCs w:val="32"/>
          <w:highlight w:val="none"/>
          <w:lang w:val="en-US" w:eastAsia="zh-CN"/>
        </w:rPr>
        <w:t>12条</w:t>
      </w:r>
      <w:r>
        <w:rPr>
          <w:rFonts w:hint="eastAsia" w:ascii="Times New Roman" w:hAnsi="Times New Roman" w:eastAsia="仿宋_GB2312" w:cs="Times New Roman"/>
          <w:color w:val="auto"/>
          <w:sz w:val="32"/>
          <w:szCs w:val="32"/>
          <w:highlight w:val="none"/>
          <w:lang w:val="en-US" w:eastAsia="zh-CN"/>
        </w:rPr>
        <w:t>，建议提案类信息</w:t>
      </w:r>
      <w:r>
        <w:rPr>
          <w:rFonts w:hint="eastAsia" w:ascii="Times New Roman" w:hAnsi="Times New Roman" w:eastAsia="仿宋_GB2312" w:cs="Times New Roman"/>
          <w:color w:val="auto"/>
          <w:sz w:val="32"/>
          <w:szCs w:val="32"/>
          <w:highlight w:val="none"/>
          <w:lang w:val="en-US" w:eastAsia="zh-CN"/>
        </w:rPr>
        <w:t>8条</w:t>
      </w:r>
      <w:r>
        <w:rPr>
          <w:rFonts w:hint="eastAsia" w:ascii="Times New Roman" w:hAnsi="Times New Roman" w:eastAsia="仿宋_GB2312" w:cs="Times New Roman"/>
          <w:color w:val="auto"/>
          <w:sz w:val="32"/>
          <w:szCs w:val="32"/>
          <w:highlight w:val="none"/>
          <w:lang w:val="en-US" w:eastAsia="zh-CN"/>
        </w:rPr>
        <w:t>。定期更新业务动态类信息</w:t>
      </w:r>
      <w:r>
        <w:rPr>
          <w:rFonts w:hint="eastAsia" w:ascii="Times New Roman" w:hAnsi="Times New Roman" w:eastAsia="仿宋_GB2312" w:cs="Times New Roman"/>
          <w:color w:val="auto"/>
          <w:sz w:val="32"/>
          <w:szCs w:val="32"/>
          <w:highlight w:val="none"/>
          <w:lang w:val="en-US" w:eastAsia="zh-CN"/>
        </w:rPr>
        <w:t>12条</w:t>
      </w:r>
      <w:r>
        <w:rPr>
          <w:rFonts w:hint="eastAsia" w:ascii="Times New Roman" w:hAnsi="Times New Roman" w:eastAsia="仿宋_GB2312" w:cs="Times New Roman"/>
          <w:color w:val="auto"/>
          <w:sz w:val="32"/>
          <w:szCs w:val="32"/>
          <w:highlight w:val="none"/>
          <w:lang w:val="en-US" w:eastAsia="zh-CN"/>
        </w:rPr>
        <w:t>，规划计划类信息</w:t>
      </w:r>
      <w:r>
        <w:rPr>
          <w:rFonts w:hint="eastAsia" w:ascii="Times New Roman" w:hAnsi="Times New Roman" w:eastAsia="仿宋_GB2312" w:cs="Times New Roman"/>
          <w:color w:val="auto"/>
          <w:sz w:val="32"/>
          <w:szCs w:val="32"/>
          <w:highlight w:val="none"/>
          <w:lang w:val="en-US" w:eastAsia="zh-CN"/>
        </w:rPr>
        <w:t>7条</w:t>
      </w:r>
      <w:r>
        <w:rPr>
          <w:rFonts w:hint="eastAsia" w:ascii="Times New Roman" w:hAnsi="Times New Roman" w:eastAsia="仿宋_GB2312" w:cs="Times New Roman"/>
          <w:color w:val="auto"/>
          <w:sz w:val="32"/>
          <w:szCs w:val="32"/>
          <w:highlight w:val="none"/>
          <w:lang w:val="en-US" w:eastAsia="zh-CN"/>
        </w:rPr>
        <w:t>，政务公开组织管理类信息</w:t>
      </w:r>
      <w:r>
        <w:rPr>
          <w:rFonts w:hint="eastAsia" w:ascii="Times New Roman" w:hAnsi="Times New Roman" w:eastAsia="仿宋_GB2312" w:cs="Times New Roman"/>
          <w:color w:val="auto"/>
          <w:sz w:val="32"/>
          <w:szCs w:val="32"/>
          <w:highlight w:val="none"/>
          <w:lang w:val="en-US" w:eastAsia="zh-CN"/>
        </w:rPr>
        <w:t>5条</w:t>
      </w:r>
      <w:r>
        <w:rPr>
          <w:rFonts w:hint="eastAsia" w:ascii="Times New Roman" w:hAnsi="Times New Roman" w:eastAsia="仿宋_GB2312" w:cs="Times New Roman"/>
          <w:color w:val="auto"/>
          <w:sz w:val="32"/>
          <w:szCs w:val="32"/>
          <w:highlight w:val="none"/>
          <w:lang w:eastAsia="zh-CN"/>
        </w:rPr>
        <w:t>。本年度修订规范性文件</w:t>
      </w:r>
      <w:r>
        <w:rPr>
          <w:rFonts w:hint="eastAsia" w:ascii="Times New Roman" w:hAnsi="Times New Roman" w:eastAsia="仿宋_GB2312" w:cs="Times New Roman"/>
          <w:color w:val="auto"/>
          <w:sz w:val="32"/>
          <w:szCs w:val="32"/>
          <w:highlight w:val="none"/>
          <w:lang w:val="en-US" w:eastAsia="zh-CN"/>
        </w:rPr>
        <w:t>1件</w:t>
      </w:r>
      <w:r>
        <w:rPr>
          <w:rFonts w:hint="eastAsia" w:ascii="Times New Roman" w:hAnsi="Times New Roman" w:eastAsia="仿宋_GB2312" w:cs="Times New Roman"/>
          <w:color w:val="auto"/>
          <w:sz w:val="32"/>
          <w:szCs w:val="32"/>
          <w:highlight w:val="none"/>
          <w:lang w:val="en-US" w:eastAsia="zh-CN"/>
        </w:rPr>
        <w:t>，并及时发布文字解读。</w:t>
      </w:r>
    </w:p>
    <w:p>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楷体_GB2312" w:hAnsi="楷体_GB2312" w:eastAsia="楷体_GB2312" w:cs="楷体_GB2312"/>
          <w:b w:val="0"/>
          <w:bCs/>
          <w:color w:val="auto"/>
          <w:sz w:val="32"/>
          <w:szCs w:val="32"/>
          <w:highlight w:val="none"/>
          <w:lang w:val="en-US" w:eastAsia="zh-CN"/>
        </w:rPr>
      </w:pPr>
      <w:r>
        <w:rPr>
          <w:rFonts w:hint="eastAsia" w:ascii="Times New Roman" w:hAnsi="Times New Roman" w:eastAsia="仿宋_GB2312" w:cs="Times New Roman"/>
          <w:color w:val="auto"/>
          <w:sz w:val="32"/>
          <w:szCs w:val="32"/>
          <w:highlight w:val="none"/>
          <w:lang w:val="en-US" w:eastAsia="zh-CN"/>
        </w:rPr>
        <w:t>2.</w:t>
      </w:r>
      <w:r>
        <w:rPr>
          <w:rFonts w:hint="default" w:ascii="楷体_GB2312" w:hAnsi="楷体_GB2312" w:eastAsia="楷体_GB2312" w:cs="楷体_GB2312"/>
          <w:b w:val="0"/>
          <w:bCs/>
          <w:color w:val="auto"/>
          <w:sz w:val="32"/>
          <w:szCs w:val="32"/>
          <w:highlight w:val="none"/>
          <w:lang w:val="en-US" w:eastAsia="zh-CN"/>
        </w:rPr>
        <w:t>依申请公开工作方面。</w:t>
      </w:r>
    </w:p>
    <w:p>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eastAsia" w:ascii="Times New Roman" w:hAnsi="Times New Roman" w:eastAsia="仿宋_GB2312" w:cs="Times New Roman"/>
          <w:color w:val="auto"/>
          <w:sz w:val="32"/>
          <w:szCs w:val="32"/>
          <w:highlight w:val="none"/>
          <w:lang w:val="en-US" w:eastAsia="zh-CN"/>
        </w:rPr>
      </w:pPr>
      <w:r>
        <w:rPr>
          <w:rFonts w:hint="eastAsia" w:ascii="Times New Roman" w:hAnsi="Times New Roman" w:eastAsia="仿宋_GB2312" w:cs="Times New Roman"/>
          <w:color w:val="auto"/>
          <w:sz w:val="32"/>
          <w:szCs w:val="32"/>
          <w:highlight w:val="none"/>
          <w:lang w:val="en-US" w:eastAsia="zh-CN"/>
        </w:rPr>
        <w:t>2023年，本单位共受理政府信息公开申请</w:t>
      </w:r>
      <w:r>
        <w:rPr>
          <w:rFonts w:hint="eastAsia" w:ascii="Times New Roman" w:hAnsi="Times New Roman" w:eastAsia="仿宋_GB2312" w:cs="Times New Roman"/>
          <w:color w:val="auto"/>
          <w:sz w:val="32"/>
          <w:szCs w:val="32"/>
          <w:highlight w:val="none"/>
          <w:lang w:val="en-US" w:eastAsia="zh-CN"/>
        </w:rPr>
        <w:t>1件</w:t>
      </w:r>
      <w:r>
        <w:rPr>
          <w:rFonts w:hint="eastAsia" w:ascii="Times New Roman" w:hAnsi="Times New Roman" w:eastAsia="仿宋_GB2312" w:cs="Times New Roman"/>
          <w:color w:val="auto"/>
          <w:sz w:val="32"/>
          <w:szCs w:val="32"/>
          <w:highlight w:val="none"/>
          <w:lang w:val="en-US" w:eastAsia="zh-CN"/>
        </w:rPr>
        <w:t>，为线下申请件，并按时办结。与上年相比，办结量净增</w:t>
      </w:r>
      <w:r>
        <w:rPr>
          <w:rFonts w:hint="eastAsia" w:ascii="Times New Roman" w:hAnsi="Times New Roman" w:eastAsia="仿宋_GB2312" w:cs="Times New Roman"/>
          <w:color w:val="auto"/>
          <w:sz w:val="32"/>
          <w:szCs w:val="32"/>
          <w:highlight w:val="none"/>
          <w:lang w:val="en-US" w:eastAsia="zh-CN"/>
        </w:rPr>
        <w:t>1件</w:t>
      </w:r>
      <w:r>
        <w:rPr>
          <w:rFonts w:hint="eastAsia" w:ascii="Times New Roman" w:hAnsi="Times New Roman" w:eastAsia="仿宋_GB2312" w:cs="Times New Roman"/>
          <w:color w:val="auto"/>
          <w:sz w:val="32"/>
          <w:szCs w:val="32"/>
          <w:highlight w:val="none"/>
          <w:lang w:val="en-US" w:eastAsia="zh-CN"/>
        </w:rPr>
        <w:t>。本</w:t>
      </w:r>
      <w:r>
        <w:rPr>
          <w:rFonts w:hint="eastAsia" w:ascii="Times New Roman" w:hAnsi="Times New Roman" w:eastAsia="仿宋_GB2312" w:cs="Times New Roman"/>
          <w:color w:val="auto"/>
          <w:sz w:val="32"/>
          <w:szCs w:val="32"/>
          <w:highlight w:val="none"/>
          <w:lang w:val="en-US" w:eastAsia="zh-CN"/>
        </w:rPr>
        <w:t>年度，我局由办公室牵头，严格按照《环翠区政府信息依申请公开办理答复工作规范》要求，组织相关人员开展业务培训，规范处理流程，建立依申请公开档案，为进一步做好依申请公开工作打下坚实基础。</w:t>
      </w:r>
    </w:p>
    <w:p>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eastAsia" w:ascii="楷体_GB2312" w:hAnsi="楷体_GB2312" w:eastAsia="楷体_GB2312" w:cs="楷体_GB2312"/>
          <w:b w:val="0"/>
          <w:bCs/>
          <w:color w:val="auto"/>
          <w:sz w:val="32"/>
          <w:szCs w:val="32"/>
          <w:highlight w:val="none"/>
          <w:lang w:val="en-US" w:eastAsia="zh-CN"/>
        </w:rPr>
      </w:pPr>
      <w:r>
        <w:rPr>
          <w:rFonts w:hint="default" w:ascii="Times New Roman" w:hAnsi="Times New Roman" w:eastAsia="仿宋_GB2312" w:cs="Times New Roman"/>
          <w:b w:val="0"/>
          <w:bCs/>
          <w:color w:val="auto"/>
          <w:sz w:val="32"/>
          <w:szCs w:val="32"/>
          <w:highlight w:val="none"/>
          <w:lang w:val="en-US" w:eastAsia="zh-CN"/>
        </w:rPr>
        <w:t>3.</w:t>
      </w:r>
      <w:r>
        <w:rPr>
          <w:rFonts w:hint="default" w:ascii="楷体_GB2312" w:hAnsi="楷体_GB2312" w:eastAsia="楷体_GB2312" w:cs="楷体_GB2312"/>
          <w:b w:val="0"/>
          <w:bCs/>
          <w:color w:val="auto"/>
          <w:sz w:val="32"/>
          <w:szCs w:val="32"/>
          <w:highlight w:val="none"/>
          <w:lang w:val="en-US" w:eastAsia="zh-CN"/>
        </w:rPr>
        <w:t>政府信息管理方面</w:t>
      </w:r>
      <w:r>
        <w:rPr>
          <w:rFonts w:hint="eastAsia" w:ascii="楷体_GB2312" w:hAnsi="楷体_GB2312" w:eastAsia="楷体_GB2312" w:cs="楷体_GB2312"/>
          <w:b w:val="0"/>
          <w:bCs/>
          <w:color w:val="auto"/>
          <w:sz w:val="32"/>
          <w:szCs w:val="32"/>
          <w:highlight w:val="none"/>
          <w:lang w:val="en-US" w:eastAsia="zh-CN"/>
        </w:rPr>
        <w:t>。</w:t>
      </w:r>
    </w:p>
    <w:p>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eastAsia" w:ascii="Times New Roman" w:hAnsi="Times New Roman" w:eastAsia="仿宋_GB2312" w:cs="Times New Roman"/>
          <w:color w:val="auto"/>
          <w:sz w:val="32"/>
          <w:szCs w:val="32"/>
          <w:highlight w:val="none"/>
          <w:lang w:val="en-US" w:eastAsia="zh-CN"/>
        </w:rPr>
      </w:pPr>
      <w:r>
        <w:rPr>
          <w:rFonts w:hint="eastAsia" w:ascii="Times New Roman" w:hAnsi="Times New Roman" w:eastAsia="仿宋_GB2312" w:cs="Times New Roman"/>
          <w:color w:val="auto"/>
          <w:sz w:val="32"/>
          <w:szCs w:val="32"/>
          <w:highlight w:val="none"/>
          <w:lang w:val="en-US" w:eastAsia="zh-CN"/>
        </w:rPr>
        <w:t>一是按照工作实际情况和区政府要求及时更新主动公开目录内容信息。二是严格落实《中华人民共和国保守国家秘密法》《条例》及工信部、省工信厅、市工信局和区委区政府相关规定，对拟公开的政务信息进行保密审查，确保公开信息符合要求。三是对现行有效的行政规范性文件开展评估和清理工作，2023年宣布废止1件，保留1件，废止文件已在公开页面明确标注已废止。</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楷体_GB2312" w:hAnsi="楷体_GB2312" w:eastAsia="楷体_GB2312" w:cs="楷体_GB2312"/>
          <w:b w:val="0"/>
          <w:bCs/>
          <w:color w:val="auto"/>
          <w:sz w:val="32"/>
          <w:szCs w:val="32"/>
          <w:highlight w:val="none"/>
          <w:lang w:val="en-US" w:eastAsia="zh-CN"/>
        </w:rPr>
      </w:pPr>
      <w:r>
        <w:rPr>
          <w:rFonts w:hint="default" w:ascii="Times New Roman" w:hAnsi="Times New Roman" w:eastAsia="仿宋_GB2312" w:cs="Times New Roman"/>
          <w:b w:val="0"/>
          <w:bCs/>
          <w:color w:val="auto"/>
          <w:sz w:val="32"/>
          <w:szCs w:val="32"/>
          <w:highlight w:val="none"/>
          <w:lang w:val="en-US" w:eastAsia="zh-CN"/>
        </w:rPr>
        <w:t>4.</w:t>
      </w:r>
      <w:r>
        <w:rPr>
          <w:rFonts w:hint="default" w:ascii="楷体_GB2312" w:hAnsi="楷体_GB2312" w:eastAsia="楷体_GB2312" w:cs="楷体_GB2312"/>
          <w:b w:val="0"/>
          <w:bCs/>
          <w:color w:val="auto"/>
          <w:sz w:val="32"/>
          <w:szCs w:val="32"/>
          <w:highlight w:val="none"/>
          <w:lang w:val="en-US" w:eastAsia="zh-CN"/>
        </w:rPr>
        <w:t>平台建设方面。</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color w:val="auto"/>
          <w:kern w:val="0"/>
          <w:sz w:val="32"/>
          <w:szCs w:val="32"/>
          <w:highlight w:val="none"/>
          <w:lang w:val="en-US" w:eastAsia="zh-CN" w:bidi="ar"/>
        </w:rPr>
      </w:pPr>
      <w:r>
        <w:rPr>
          <w:rFonts w:hint="eastAsia" w:ascii="Times New Roman" w:hAnsi="Times New Roman" w:eastAsia="仿宋_GB2312" w:cs="Times New Roman"/>
          <w:color w:val="auto"/>
          <w:kern w:val="0"/>
          <w:sz w:val="32"/>
          <w:szCs w:val="32"/>
          <w:highlight w:val="none"/>
          <w:lang w:val="en-US" w:eastAsia="zh-CN" w:bidi="ar"/>
        </w:rPr>
        <w:t>本年度区工信局</w:t>
      </w:r>
      <w:r>
        <w:rPr>
          <w:rFonts w:hint="eastAsia" w:ascii="Times New Roman" w:hAnsi="Times New Roman" w:eastAsia="仿宋_GB2312" w:cs="Times New Roman"/>
          <w:color w:val="auto"/>
          <w:kern w:val="0"/>
          <w:sz w:val="32"/>
          <w:szCs w:val="32"/>
          <w:highlight w:val="none"/>
          <w:lang w:val="en-US" w:eastAsia="zh-CN" w:bidi="ar"/>
        </w:rPr>
        <w:t>线上</w:t>
      </w:r>
      <w:r>
        <w:rPr>
          <w:rFonts w:hint="eastAsia" w:ascii="Times New Roman" w:hAnsi="Times New Roman" w:eastAsia="仿宋_GB2312" w:cs="Times New Roman"/>
          <w:color w:val="auto"/>
          <w:kern w:val="0"/>
          <w:sz w:val="32"/>
          <w:szCs w:val="32"/>
          <w:highlight w:val="none"/>
          <w:lang w:val="en-US" w:eastAsia="zh-CN" w:bidi="ar"/>
        </w:rPr>
        <w:t>通过</w:t>
      </w:r>
      <w:r>
        <w:rPr>
          <w:rFonts w:hint="eastAsia" w:ascii="Times New Roman" w:hAnsi="Times New Roman" w:eastAsia="仿宋_GB2312" w:cs="Times New Roman"/>
          <w:color w:val="auto"/>
          <w:kern w:val="0"/>
          <w:sz w:val="32"/>
          <w:szCs w:val="32"/>
          <w:highlight w:val="none"/>
          <w:lang w:val="en-US" w:eastAsia="zh-CN" w:bidi="ar"/>
        </w:rPr>
        <w:t>政府网站</w:t>
      </w:r>
      <w:r>
        <w:rPr>
          <w:rFonts w:hint="eastAsia" w:ascii="Times New Roman" w:hAnsi="Times New Roman" w:eastAsia="仿宋_GB2312" w:cs="Times New Roman"/>
          <w:color w:val="auto"/>
          <w:kern w:val="0"/>
          <w:sz w:val="32"/>
          <w:szCs w:val="32"/>
          <w:highlight w:val="none"/>
          <w:lang w:val="en-US" w:eastAsia="zh-CN" w:bidi="ar"/>
        </w:rPr>
        <w:t>向社会公众主动公开政务信息，安排专人负责政府网站的日常更新维护，确保相关信息及时更新，并为群众答疑解惑。</w:t>
      </w:r>
      <w:r>
        <w:rPr>
          <w:rFonts w:hint="eastAsia" w:ascii="Times New Roman" w:hAnsi="Times New Roman" w:eastAsia="仿宋_GB2312" w:cs="Times New Roman"/>
          <w:color w:val="auto"/>
          <w:kern w:val="0"/>
          <w:sz w:val="32"/>
          <w:szCs w:val="32"/>
          <w:highlight w:val="none"/>
          <w:lang w:val="en-US" w:eastAsia="zh-CN" w:bidi="ar"/>
        </w:rPr>
        <w:t>线下</w:t>
      </w:r>
      <w:r>
        <w:rPr>
          <w:rFonts w:hint="eastAsia" w:ascii="Times New Roman" w:hAnsi="Times New Roman" w:eastAsia="仿宋_GB2312" w:cs="Times New Roman"/>
          <w:color w:val="auto"/>
          <w:kern w:val="0"/>
          <w:sz w:val="32"/>
          <w:szCs w:val="32"/>
          <w:highlight w:val="none"/>
          <w:lang w:val="en-US" w:eastAsia="zh-CN" w:bidi="ar"/>
        </w:rPr>
        <w:t>在局机关办公场所</w:t>
      </w:r>
      <w:r>
        <w:rPr>
          <w:rFonts w:hint="eastAsia" w:ascii="Times New Roman" w:hAnsi="Times New Roman" w:eastAsia="仿宋_GB2312" w:cs="Times New Roman"/>
          <w:color w:val="auto"/>
          <w:kern w:val="0"/>
          <w:sz w:val="32"/>
          <w:szCs w:val="32"/>
          <w:highlight w:val="none"/>
          <w:lang w:val="en-US" w:eastAsia="zh-CN" w:bidi="ar"/>
        </w:rPr>
        <w:t>设置政务公开专栏</w:t>
      </w:r>
      <w:r>
        <w:rPr>
          <w:rFonts w:hint="eastAsia" w:ascii="Times New Roman" w:hAnsi="Times New Roman" w:eastAsia="仿宋_GB2312" w:cs="Times New Roman"/>
          <w:color w:val="auto"/>
          <w:kern w:val="0"/>
          <w:sz w:val="32"/>
          <w:szCs w:val="32"/>
          <w:highlight w:val="none"/>
          <w:lang w:val="en-US" w:eastAsia="zh-CN" w:bidi="ar"/>
        </w:rPr>
        <w:t>，定期更新业务动态，进一步打造“阳光政府”，自觉接受群众监督。</w:t>
      </w:r>
    </w:p>
    <w:p>
      <w:pPr>
        <w:pStyle w:val="2"/>
        <w:ind w:firstLine="640" w:firstLineChars="200"/>
        <w:rPr>
          <w:rFonts w:hint="default" w:ascii="楷体_GB2312" w:hAnsi="楷体_GB2312" w:eastAsia="楷体_GB2312" w:cs="楷体_GB2312"/>
          <w:b w:val="0"/>
          <w:bCs/>
          <w:color w:val="auto"/>
          <w:sz w:val="32"/>
          <w:szCs w:val="32"/>
          <w:highlight w:val="none"/>
          <w:lang w:val="en-US" w:eastAsia="zh-CN"/>
        </w:rPr>
      </w:pPr>
      <w:r>
        <w:rPr>
          <w:rFonts w:hint="default" w:ascii="Times New Roman" w:hAnsi="Times New Roman" w:eastAsia="仿宋_GB2312" w:cs="Times New Roman"/>
          <w:b w:val="0"/>
          <w:bCs/>
          <w:color w:val="auto"/>
          <w:sz w:val="32"/>
          <w:szCs w:val="32"/>
          <w:highlight w:val="none"/>
          <w:lang w:val="en-US" w:eastAsia="zh-CN"/>
        </w:rPr>
        <w:t>5.</w:t>
      </w:r>
      <w:r>
        <w:rPr>
          <w:rFonts w:hint="default" w:ascii="楷体_GB2312" w:hAnsi="楷体_GB2312" w:eastAsia="楷体_GB2312" w:cs="楷体_GB2312"/>
          <w:b w:val="0"/>
          <w:bCs/>
          <w:color w:val="auto"/>
          <w:sz w:val="32"/>
          <w:szCs w:val="32"/>
          <w:highlight w:val="none"/>
          <w:lang w:val="en-US" w:eastAsia="zh-CN"/>
        </w:rPr>
        <w:t>监督保障方面。</w:t>
      </w:r>
    </w:p>
    <w:p>
      <w:pPr>
        <w:pStyle w:val="2"/>
        <w:ind w:firstLine="640" w:firstLineChars="200"/>
        <w:rPr>
          <w:rFonts w:hint="eastAsia" w:ascii="Times New Roman" w:hAnsi="Times New Roman" w:eastAsia="仿宋_GB2312" w:cs="Times New Roman"/>
          <w:color w:val="auto"/>
          <w:kern w:val="0"/>
          <w:sz w:val="32"/>
          <w:szCs w:val="32"/>
          <w:highlight w:val="none"/>
          <w:lang w:val="en-US" w:eastAsia="zh-CN" w:bidi="ar"/>
        </w:rPr>
      </w:pPr>
      <w:r>
        <w:rPr>
          <w:rFonts w:hint="eastAsia" w:ascii="Times New Roman" w:hAnsi="Times New Roman" w:eastAsia="仿宋_GB2312" w:cs="Times New Roman"/>
          <w:color w:val="auto"/>
          <w:kern w:val="0"/>
          <w:sz w:val="32"/>
          <w:szCs w:val="32"/>
          <w:highlight w:val="none"/>
          <w:lang w:val="en-US" w:eastAsia="zh-CN" w:bidi="ar"/>
        </w:rPr>
        <w:t>为进一步做好政府信息公开工作，区工信局重新调整政务公开组织机构，明确局办公室为局政务公开工作机构，</w:t>
      </w:r>
      <w:r>
        <w:rPr>
          <w:rFonts w:hint="eastAsia" w:ascii="Times New Roman" w:hAnsi="Times New Roman" w:eastAsia="仿宋_GB2312" w:cs="Times New Roman"/>
          <w:color w:val="auto"/>
          <w:kern w:val="0"/>
          <w:sz w:val="32"/>
          <w:szCs w:val="32"/>
          <w:highlight w:val="none"/>
          <w:lang w:val="en-US" w:eastAsia="zh-CN" w:bidi="ar"/>
        </w:rPr>
        <w:t>负责区工信局政府信息公开工作的推进、指导、协调和监督，并承办区工信局政府信息主动公开相关工作，受理向区工信局提出的政府信息公开申请。</w:t>
      </w:r>
    </w:p>
    <w:p>
      <w:pPr>
        <w:pStyle w:val="2"/>
        <w:ind w:firstLine="640" w:firstLineChars="200"/>
        <w:rPr>
          <w:rFonts w:hint="eastAsia" w:ascii="黑体" w:hAnsi="黑体" w:eastAsia="黑体" w:cs="黑体"/>
          <w:color w:val="auto"/>
          <w:kern w:val="0"/>
          <w:sz w:val="32"/>
          <w:szCs w:val="32"/>
          <w:highlight w:val="none"/>
          <w:lang w:val="en-US" w:eastAsia="zh-CN" w:bidi="ar"/>
        </w:rPr>
      </w:pPr>
      <w:r>
        <w:rPr>
          <w:rFonts w:hint="eastAsia" w:ascii="黑体" w:hAnsi="黑体" w:eastAsia="黑体" w:cs="黑体"/>
          <w:color w:val="auto"/>
          <w:kern w:val="0"/>
          <w:sz w:val="32"/>
          <w:szCs w:val="32"/>
          <w:highlight w:val="none"/>
          <w:lang w:val="en-US" w:eastAsia="zh-CN" w:bidi="ar"/>
        </w:rPr>
        <w:t>二、主动公开政府信息情况</w:t>
      </w:r>
    </w:p>
    <w:tbl>
      <w:tblPr>
        <w:tblStyle w:val="4"/>
        <w:tblW w:w="8824" w:type="dxa"/>
        <w:tblInd w:w="0" w:type="dxa"/>
        <w:shd w:val="clear" w:color="auto" w:fill="auto"/>
        <w:tblLayout w:type="fixed"/>
        <w:tblCellMar>
          <w:top w:w="0" w:type="dxa"/>
          <w:left w:w="108" w:type="dxa"/>
          <w:bottom w:w="0" w:type="dxa"/>
          <w:right w:w="108" w:type="dxa"/>
        </w:tblCellMar>
      </w:tblPr>
      <w:tblGrid>
        <w:gridCol w:w="2206"/>
        <w:gridCol w:w="2206"/>
        <w:gridCol w:w="2206"/>
        <w:gridCol w:w="2206"/>
      </w:tblGrid>
      <w:tr>
        <w:tblPrEx>
          <w:shd w:val="clear" w:color="auto" w:fill="auto"/>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auto" w:fill="auto"/>
            <w:vAlign w:val="center"/>
          </w:tcPr>
          <w:p>
            <w:pPr>
              <w:widowControl/>
              <w:jc w:val="center"/>
              <w:rPr>
                <w:rFonts w:hint="default" w:ascii="Times New Roman" w:hAnsi="Times New Roman" w:eastAsia="黑体" w:cs="Times New Roman"/>
                <w:color w:val="000000"/>
                <w:kern w:val="0"/>
                <w:szCs w:val="21"/>
                <w:highlight w:val="none"/>
              </w:rPr>
            </w:pPr>
            <w:r>
              <w:rPr>
                <w:rFonts w:hint="default" w:ascii="Times New Roman" w:hAnsi="Times New Roman" w:eastAsia="黑体" w:cs="Times New Roman"/>
                <w:color w:val="000000"/>
                <w:kern w:val="0"/>
                <w:szCs w:val="21"/>
                <w:highlight w:val="none"/>
              </w:rPr>
              <w:t>第二十条第（一）项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信息内容</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本年制发件数</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本年废止件数</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现行有效件数</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规章</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eastAsia="仿宋_GB2312" w:cs="Times New Roman"/>
                <w:color w:val="auto"/>
                <w:kern w:val="0"/>
                <w:szCs w:val="21"/>
                <w:highlight w:val="none"/>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eastAsia="仿宋_GB2312" w:cs="Times New Roman"/>
                <w:color w:val="auto"/>
                <w:kern w:val="0"/>
                <w:szCs w:val="21"/>
                <w:highlight w:val="none"/>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eastAsia="仿宋_GB2312" w:cs="Times New Roman"/>
                <w:color w:val="auto"/>
                <w:kern w:val="0"/>
                <w:szCs w:val="21"/>
                <w:highlight w:val="none"/>
                <w:lang w:val="en-US" w:eastAsia="zh-CN"/>
              </w:rPr>
              <w:t>0</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行政规范性文件</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eastAsia="仿宋_GB2312" w:cs="Times New Roman"/>
                <w:color w:val="auto"/>
                <w:kern w:val="0"/>
                <w:szCs w:val="21"/>
                <w:highlight w:val="none"/>
                <w:lang w:val="en-US" w:eastAsia="zh-CN"/>
              </w:rPr>
              <w:t>1</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eastAsia="仿宋_GB2312" w:cs="Times New Roman"/>
                <w:color w:val="auto"/>
                <w:kern w:val="0"/>
                <w:szCs w:val="21"/>
                <w:highlight w:val="none"/>
                <w:lang w:val="en-US" w:eastAsia="zh-CN"/>
              </w:rPr>
              <w:t>1</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lang w:val="en-US" w:eastAsia="zh-CN"/>
              </w:rPr>
            </w:pPr>
            <w:r>
              <w:rPr>
                <w:rFonts w:hint="eastAsia" w:ascii="Times New Roman" w:hAnsi="Times New Roman" w:eastAsia="仿宋_GB2312" w:cs="Times New Roman"/>
                <w:color w:val="auto"/>
                <w:kern w:val="0"/>
                <w:szCs w:val="21"/>
                <w:highlight w:val="none"/>
                <w:lang w:val="en-US" w:eastAsia="zh-CN"/>
              </w:rPr>
              <w:t>1</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auto" w:fill="auto"/>
            <w:vAlign w:val="center"/>
          </w:tcPr>
          <w:p>
            <w:pPr>
              <w:widowControl/>
              <w:jc w:val="center"/>
              <w:rPr>
                <w:rFonts w:hint="default" w:ascii="Times New Roman" w:hAnsi="Times New Roman" w:eastAsia="黑体" w:cs="Times New Roman"/>
                <w:color w:val="auto"/>
                <w:kern w:val="0"/>
                <w:szCs w:val="21"/>
                <w:highlight w:val="none"/>
              </w:rPr>
            </w:pPr>
            <w:r>
              <w:rPr>
                <w:rFonts w:hint="default" w:ascii="Times New Roman" w:hAnsi="Times New Roman" w:eastAsia="黑体" w:cs="Times New Roman"/>
                <w:color w:val="auto"/>
                <w:kern w:val="0"/>
                <w:szCs w:val="21"/>
                <w:highlight w:val="none"/>
              </w:rPr>
              <w:t>第二十条第（五）项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本年处理决定数量</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行政许可</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eastAsia="仿宋_GB2312" w:cs="Times New Roman"/>
                <w:color w:val="auto"/>
                <w:kern w:val="0"/>
                <w:szCs w:val="21"/>
                <w:highlight w:val="none"/>
                <w:lang w:val="en-US" w:eastAsia="zh-CN"/>
              </w:rPr>
              <w:t>0</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auto" w:fill="auto"/>
            <w:vAlign w:val="center"/>
          </w:tcPr>
          <w:p>
            <w:pPr>
              <w:widowControl/>
              <w:jc w:val="center"/>
              <w:rPr>
                <w:rFonts w:hint="default" w:ascii="Times New Roman" w:hAnsi="Times New Roman" w:eastAsia="黑体" w:cs="Times New Roman"/>
                <w:color w:val="auto"/>
                <w:kern w:val="0"/>
                <w:szCs w:val="21"/>
                <w:highlight w:val="none"/>
              </w:rPr>
            </w:pPr>
            <w:r>
              <w:rPr>
                <w:rFonts w:hint="default" w:ascii="Times New Roman" w:hAnsi="Times New Roman" w:eastAsia="黑体" w:cs="Times New Roman"/>
                <w:color w:val="auto"/>
                <w:kern w:val="0"/>
                <w:szCs w:val="21"/>
                <w:highlight w:val="none"/>
              </w:rPr>
              <w:t>第二十条第（六）项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本年处理决定数量</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行政处罚</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eastAsia="仿宋_GB2312" w:cs="Times New Roman"/>
                <w:color w:val="auto"/>
                <w:kern w:val="0"/>
                <w:szCs w:val="21"/>
                <w:highlight w:val="none"/>
                <w:lang w:val="en-US" w:eastAsia="zh-CN"/>
              </w:rPr>
              <w:t>0</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行政强制</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eastAsia="仿宋_GB2312" w:cs="Times New Roman"/>
                <w:color w:val="auto"/>
                <w:kern w:val="0"/>
                <w:szCs w:val="21"/>
                <w:highlight w:val="none"/>
                <w:lang w:val="en-US" w:eastAsia="zh-CN"/>
              </w:rPr>
              <w:t>0</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auto" w:fill="auto"/>
            <w:vAlign w:val="center"/>
          </w:tcPr>
          <w:p>
            <w:pPr>
              <w:widowControl/>
              <w:jc w:val="center"/>
              <w:rPr>
                <w:rFonts w:hint="default" w:ascii="Times New Roman" w:hAnsi="Times New Roman" w:eastAsia="黑体" w:cs="Times New Roman"/>
                <w:color w:val="auto"/>
                <w:kern w:val="0"/>
                <w:szCs w:val="21"/>
                <w:highlight w:val="none"/>
              </w:rPr>
            </w:pPr>
            <w:r>
              <w:rPr>
                <w:rFonts w:hint="default" w:ascii="Times New Roman" w:hAnsi="Times New Roman" w:eastAsia="黑体" w:cs="Times New Roman"/>
                <w:color w:val="auto"/>
                <w:kern w:val="0"/>
                <w:szCs w:val="21"/>
                <w:highlight w:val="none"/>
              </w:rPr>
              <w:t>第二十条第（八）项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本年收费金额（单位：万元）</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行政事业性收费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eastAsia="仿宋_GB2312" w:cs="Times New Roman"/>
                <w:color w:val="auto"/>
                <w:kern w:val="0"/>
                <w:szCs w:val="21"/>
                <w:highlight w:val="none"/>
                <w:lang w:val="en-US" w:eastAsia="zh-CN"/>
              </w:rPr>
              <w:t>0</w:t>
            </w:r>
          </w:p>
        </w:tc>
      </w:tr>
    </w:tbl>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color w:val="FF0000"/>
          <w:sz w:val="32"/>
          <w:szCs w:val="32"/>
          <w:highlight w:val="none"/>
          <w:lang w:val="en-US" w:eastAsia="zh-CN"/>
        </w:rPr>
      </w:pPr>
      <w:r>
        <w:rPr>
          <w:rFonts w:hint="default" w:ascii="Times New Roman" w:hAnsi="Times New Roman" w:eastAsia="黑体" w:cs="Times New Roman"/>
          <w:b w:val="0"/>
          <w:bCs/>
          <w:i w:val="0"/>
          <w:caps w:val="0"/>
          <w:color w:val="auto"/>
          <w:spacing w:val="0"/>
          <w:kern w:val="0"/>
          <w:sz w:val="32"/>
          <w:szCs w:val="32"/>
          <w:highlight w:val="none"/>
          <w:shd w:val="clear" w:fill="FFFFFF"/>
          <w:lang w:val="en-US" w:eastAsia="zh-CN" w:bidi="ar"/>
        </w:rPr>
        <w:t>三、收</w:t>
      </w:r>
      <w:r>
        <w:rPr>
          <w:rFonts w:hint="default" w:ascii="Times New Roman" w:hAnsi="Times New Roman" w:eastAsia="黑体" w:cs="Times New Roman"/>
          <w:b w:val="0"/>
          <w:bCs/>
          <w:i w:val="0"/>
          <w:caps w:val="0"/>
          <w:color w:val="333333"/>
          <w:spacing w:val="0"/>
          <w:kern w:val="0"/>
          <w:sz w:val="32"/>
          <w:szCs w:val="32"/>
          <w:highlight w:val="none"/>
          <w:shd w:val="clear" w:fill="FFFFFF"/>
          <w:lang w:val="en-US" w:eastAsia="zh-CN" w:bidi="ar"/>
        </w:rPr>
        <w:t>到和处理政府信息公开申请情况</w:t>
      </w:r>
    </w:p>
    <w:tbl>
      <w:tblPr>
        <w:tblStyle w:val="4"/>
        <w:tblW w:w="8956"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571"/>
        <w:gridCol w:w="1170"/>
        <w:gridCol w:w="2910"/>
        <w:gridCol w:w="720"/>
        <w:gridCol w:w="498"/>
        <w:gridCol w:w="4"/>
        <w:gridCol w:w="4"/>
        <w:gridCol w:w="3"/>
        <w:gridCol w:w="3"/>
        <w:gridCol w:w="3"/>
        <w:gridCol w:w="518"/>
        <w:gridCol w:w="720"/>
        <w:gridCol w:w="675"/>
        <w:gridCol w:w="526"/>
        <w:gridCol w:w="63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4651" w:type="dxa"/>
            <w:gridSpan w:val="3"/>
            <w:vMerge w:val="restart"/>
            <w:shd w:val="clear" w:color="auto" w:fill="auto"/>
            <w:tcMar>
              <w:left w:w="108" w:type="dxa"/>
              <w:right w:w="108" w:type="dxa"/>
            </w:tcMar>
            <w:vAlign w:val="center"/>
          </w:tcPr>
          <w:p>
            <w:pPr>
              <w:widowControl/>
              <w:jc w:val="center"/>
              <w:rPr>
                <w:rFonts w:hint="eastAsia" w:ascii="黑体" w:hAnsi="黑体" w:eastAsia="黑体" w:cs="黑体"/>
                <w:color w:val="auto"/>
                <w:kern w:val="0"/>
                <w:szCs w:val="21"/>
                <w:highlight w:val="none"/>
              </w:rPr>
            </w:pPr>
            <w:r>
              <w:rPr>
                <w:rFonts w:hint="eastAsia" w:ascii="黑体" w:hAnsi="黑体" w:eastAsia="黑体" w:cs="黑体"/>
                <w:color w:val="auto"/>
                <w:kern w:val="0"/>
                <w:szCs w:val="21"/>
                <w:highlight w:val="none"/>
              </w:rPr>
              <w:t>（本列数据的勾稽关系为：第一项加第二项之和，</w:t>
            </w:r>
          </w:p>
          <w:p>
            <w:pPr>
              <w:widowControl/>
              <w:jc w:val="center"/>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等于第三项加第四项之和）</w:t>
            </w:r>
          </w:p>
        </w:tc>
        <w:tc>
          <w:tcPr>
            <w:tcW w:w="4305" w:type="dxa"/>
            <w:gridSpan w:val="12"/>
            <w:shd w:val="clear" w:color="auto" w:fill="auto"/>
            <w:tcMar>
              <w:left w:w="108" w:type="dxa"/>
              <w:right w:w="108" w:type="dxa"/>
            </w:tcMar>
            <w:vAlign w:val="center"/>
          </w:tcPr>
          <w:p>
            <w:pPr>
              <w:widowControl/>
              <w:spacing w:line="320" w:lineRule="exact"/>
              <w:jc w:val="center"/>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申请人情况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4651" w:type="dxa"/>
            <w:gridSpan w:val="3"/>
            <w:vMerge w:val="continue"/>
            <w:shd w:val="clear" w:color="auto" w:fill="auto"/>
            <w:tcMar>
              <w:left w:w="108" w:type="dxa"/>
              <w:right w:w="108" w:type="dxa"/>
            </w:tcMar>
            <w:vAlign w:val="center"/>
          </w:tcPr>
          <w:p>
            <w:pPr>
              <w:jc w:val="center"/>
              <w:rPr>
                <w:rFonts w:hint="eastAsia" w:ascii="黑体" w:hAnsi="黑体" w:eastAsia="黑体" w:cs="黑体"/>
                <w:color w:val="auto"/>
                <w:szCs w:val="21"/>
                <w:highlight w:val="none"/>
              </w:rPr>
            </w:pPr>
          </w:p>
        </w:tc>
        <w:tc>
          <w:tcPr>
            <w:tcW w:w="720" w:type="dxa"/>
            <w:vMerge w:val="restart"/>
            <w:shd w:val="clear" w:color="auto" w:fill="auto"/>
            <w:tcMar>
              <w:left w:w="108" w:type="dxa"/>
              <w:right w:w="108" w:type="dxa"/>
            </w:tcMar>
            <w:vAlign w:val="center"/>
          </w:tcPr>
          <w:p>
            <w:pPr>
              <w:widowControl/>
              <w:jc w:val="center"/>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自然人</w:t>
            </w:r>
          </w:p>
        </w:tc>
        <w:tc>
          <w:tcPr>
            <w:tcW w:w="2954" w:type="dxa"/>
            <w:gridSpan w:val="10"/>
            <w:shd w:val="clear" w:color="auto" w:fill="auto"/>
            <w:tcMar>
              <w:left w:w="108" w:type="dxa"/>
              <w:right w:w="108" w:type="dxa"/>
            </w:tcMar>
            <w:vAlign w:val="center"/>
          </w:tcPr>
          <w:p>
            <w:pPr>
              <w:widowControl/>
              <w:spacing w:line="320" w:lineRule="exact"/>
              <w:jc w:val="center"/>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法人或其他组织</w:t>
            </w:r>
          </w:p>
        </w:tc>
        <w:tc>
          <w:tcPr>
            <w:tcW w:w="631" w:type="dxa"/>
            <w:vMerge w:val="restart"/>
            <w:shd w:val="clear" w:color="auto" w:fill="auto"/>
            <w:tcMar>
              <w:left w:w="108" w:type="dxa"/>
              <w:right w:w="108" w:type="dxa"/>
            </w:tcMar>
            <w:vAlign w:val="center"/>
          </w:tcPr>
          <w:p>
            <w:pPr>
              <w:widowControl/>
              <w:jc w:val="center"/>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总计</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4651" w:type="dxa"/>
            <w:gridSpan w:val="3"/>
            <w:vMerge w:val="continue"/>
            <w:shd w:val="clear" w:color="auto" w:fill="auto"/>
            <w:tcMar>
              <w:left w:w="108" w:type="dxa"/>
              <w:right w:w="108" w:type="dxa"/>
            </w:tcMar>
            <w:vAlign w:val="center"/>
          </w:tcPr>
          <w:p>
            <w:pPr>
              <w:jc w:val="center"/>
              <w:rPr>
                <w:rFonts w:hint="eastAsia" w:ascii="黑体" w:hAnsi="黑体" w:eastAsia="黑体" w:cs="黑体"/>
                <w:color w:val="auto"/>
                <w:szCs w:val="21"/>
                <w:highlight w:val="none"/>
              </w:rPr>
            </w:pPr>
          </w:p>
        </w:tc>
        <w:tc>
          <w:tcPr>
            <w:tcW w:w="720" w:type="dxa"/>
            <w:vMerge w:val="continue"/>
            <w:shd w:val="clear" w:color="auto" w:fill="auto"/>
            <w:tcMar>
              <w:left w:w="108" w:type="dxa"/>
              <w:right w:w="108" w:type="dxa"/>
            </w:tcMar>
            <w:vAlign w:val="center"/>
          </w:tcPr>
          <w:p>
            <w:pPr>
              <w:jc w:val="center"/>
              <w:rPr>
                <w:rFonts w:hint="eastAsia" w:ascii="黑体" w:hAnsi="黑体" w:eastAsia="黑体" w:cs="黑体"/>
                <w:color w:val="auto"/>
                <w:szCs w:val="21"/>
                <w:highlight w:val="none"/>
              </w:rPr>
            </w:pPr>
          </w:p>
        </w:tc>
        <w:tc>
          <w:tcPr>
            <w:tcW w:w="498" w:type="dxa"/>
            <w:shd w:val="clear" w:color="auto" w:fill="auto"/>
            <w:tcMar>
              <w:left w:w="108" w:type="dxa"/>
              <w:right w:w="108" w:type="dxa"/>
            </w:tcMar>
            <w:vAlign w:val="center"/>
          </w:tcPr>
          <w:p>
            <w:pPr>
              <w:widowControl/>
              <w:spacing w:line="320" w:lineRule="exact"/>
              <w:ind w:left="-106" w:leftChars="-51" w:right="-107" w:rightChars="-51" w:hanging="1"/>
              <w:jc w:val="center"/>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商业企业</w:t>
            </w:r>
          </w:p>
        </w:tc>
        <w:tc>
          <w:tcPr>
            <w:tcW w:w="535" w:type="dxa"/>
            <w:gridSpan w:val="6"/>
            <w:shd w:val="clear" w:color="auto" w:fill="auto"/>
            <w:tcMar>
              <w:left w:w="108" w:type="dxa"/>
              <w:right w:w="108" w:type="dxa"/>
            </w:tcMar>
            <w:vAlign w:val="center"/>
          </w:tcPr>
          <w:p>
            <w:pPr>
              <w:widowControl/>
              <w:spacing w:line="320" w:lineRule="exact"/>
              <w:ind w:left="-107" w:leftChars="-51" w:right="-107" w:rightChars="-51"/>
              <w:jc w:val="center"/>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科研机构</w:t>
            </w:r>
          </w:p>
        </w:tc>
        <w:tc>
          <w:tcPr>
            <w:tcW w:w="720" w:type="dxa"/>
            <w:shd w:val="clear" w:color="auto" w:fill="auto"/>
            <w:tcMar>
              <w:left w:w="108" w:type="dxa"/>
              <w:right w:w="108" w:type="dxa"/>
            </w:tcMar>
            <w:vAlign w:val="center"/>
          </w:tcPr>
          <w:p>
            <w:pPr>
              <w:widowControl/>
              <w:spacing w:line="320" w:lineRule="exact"/>
              <w:ind w:left="-107" w:leftChars="-51" w:right="-107" w:rightChars="-51"/>
              <w:jc w:val="center"/>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社会公益组织</w:t>
            </w:r>
          </w:p>
        </w:tc>
        <w:tc>
          <w:tcPr>
            <w:tcW w:w="675" w:type="dxa"/>
            <w:shd w:val="clear" w:color="auto" w:fill="auto"/>
            <w:tcMar>
              <w:left w:w="108" w:type="dxa"/>
              <w:right w:w="108" w:type="dxa"/>
            </w:tcMar>
            <w:vAlign w:val="center"/>
          </w:tcPr>
          <w:p>
            <w:pPr>
              <w:widowControl/>
              <w:spacing w:line="320" w:lineRule="exact"/>
              <w:ind w:left="-106" w:leftChars="-51" w:right="-107" w:rightChars="-51" w:hanging="1"/>
              <w:jc w:val="center"/>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法律服务机构</w:t>
            </w:r>
          </w:p>
        </w:tc>
        <w:tc>
          <w:tcPr>
            <w:tcW w:w="526" w:type="dxa"/>
            <w:shd w:val="clear" w:color="auto" w:fill="auto"/>
            <w:tcMar>
              <w:left w:w="108" w:type="dxa"/>
              <w:right w:w="108" w:type="dxa"/>
            </w:tcMar>
            <w:vAlign w:val="center"/>
          </w:tcPr>
          <w:p>
            <w:pPr>
              <w:widowControl/>
              <w:spacing w:line="360" w:lineRule="exact"/>
              <w:ind w:left="-63" w:leftChars="-30" w:right="-134" w:rightChars="-64"/>
              <w:jc w:val="center"/>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其他</w:t>
            </w:r>
          </w:p>
        </w:tc>
        <w:tc>
          <w:tcPr>
            <w:tcW w:w="631" w:type="dxa"/>
            <w:vMerge w:val="continue"/>
            <w:shd w:val="clear" w:color="auto" w:fill="auto"/>
            <w:tcMar>
              <w:left w:w="108" w:type="dxa"/>
              <w:right w:w="108" w:type="dxa"/>
            </w:tcMar>
            <w:vAlign w:val="center"/>
          </w:tcPr>
          <w:p>
            <w:pPr>
              <w:jc w:val="center"/>
              <w:rPr>
                <w:rFonts w:hint="eastAsia" w:ascii="黑体" w:hAnsi="黑体" w:eastAsia="黑体" w:cs="黑体"/>
                <w:color w:val="auto"/>
                <w:szCs w:val="21"/>
                <w:highlight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4651" w:type="dxa"/>
            <w:gridSpan w:val="3"/>
            <w:shd w:val="clear" w:color="auto" w:fill="auto"/>
            <w:tcMar>
              <w:left w:w="108" w:type="dxa"/>
              <w:right w:w="108" w:type="dxa"/>
            </w:tcMar>
            <w:vAlign w:val="center"/>
          </w:tcPr>
          <w:p>
            <w:pPr>
              <w:widowControl/>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一、本年新收政府信息公开申请数量</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1</w:t>
            </w:r>
          </w:p>
        </w:tc>
        <w:tc>
          <w:tcPr>
            <w:tcW w:w="49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535"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4651" w:type="dxa"/>
            <w:gridSpan w:val="3"/>
            <w:shd w:val="clear" w:color="auto" w:fill="auto"/>
            <w:tcMar>
              <w:left w:w="108" w:type="dxa"/>
              <w:right w:w="108" w:type="dxa"/>
            </w:tcMar>
            <w:vAlign w:val="center"/>
          </w:tcPr>
          <w:p>
            <w:pPr>
              <w:widowControl/>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二、上年结转政府信息公开申请数量</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49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535"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71" w:type="dxa"/>
            <w:vMerge w:val="restart"/>
            <w:shd w:val="clear" w:color="auto" w:fill="auto"/>
            <w:tcMar>
              <w:left w:w="108" w:type="dxa"/>
              <w:right w:w="108" w:type="dxa"/>
            </w:tcMar>
            <w:vAlign w:val="center"/>
          </w:tcPr>
          <w:p>
            <w:pPr>
              <w:widowControl/>
              <w:spacing w:after="180"/>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三、本年度办理结果</w:t>
            </w:r>
          </w:p>
        </w:tc>
        <w:tc>
          <w:tcPr>
            <w:tcW w:w="4080" w:type="dxa"/>
            <w:gridSpan w:val="2"/>
            <w:shd w:val="clear" w:color="auto" w:fill="auto"/>
            <w:tcMar>
              <w:left w:w="108" w:type="dxa"/>
              <w:right w:w="108" w:type="dxa"/>
            </w:tcMar>
            <w:vAlign w:val="center"/>
          </w:tcPr>
          <w:p>
            <w:pPr>
              <w:widowControl/>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（一）予以公开</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1</w:t>
            </w:r>
          </w:p>
        </w:tc>
        <w:tc>
          <w:tcPr>
            <w:tcW w:w="49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535"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71" w:type="dxa"/>
            <w:vMerge w:val="continue"/>
            <w:shd w:val="clear" w:color="auto" w:fill="auto"/>
            <w:tcMar>
              <w:left w:w="108" w:type="dxa"/>
              <w:right w:w="108" w:type="dxa"/>
            </w:tcMar>
            <w:vAlign w:val="center"/>
          </w:tcPr>
          <w:p>
            <w:pPr>
              <w:rPr>
                <w:rFonts w:hint="eastAsia" w:ascii="黑体" w:hAnsi="黑体" w:eastAsia="黑体" w:cs="黑体"/>
                <w:color w:val="auto"/>
                <w:szCs w:val="21"/>
                <w:highlight w:val="none"/>
              </w:rPr>
            </w:pPr>
          </w:p>
        </w:tc>
        <w:tc>
          <w:tcPr>
            <w:tcW w:w="4080" w:type="dxa"/>
            <w:gridSpan w:val="2"/>
            <w:shd w:val="clear" w:color="auto" w:fill="auto"/>
            <w:tcMar>
              <w:left w:w="108" w:type="dxa"/>
              <w:right w:w="108" w:type="dxa"/>
            </w:tcMar>
            <w:vAlign w:val="center"/>
          </w:tcPr>
          <w:p>
            <w:pPr>
              <w:widowControl/>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（二）部分公开（区分处理的，只计这一情形，不计其他情形）</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49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535"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571" w:type="dxa"/>
            <w:vMerge w:val="continue"/>
            <w:shd w:val="clear" w:color="auto" w:fill="auto"/>
            <w:tcMar>
              <w:left w:w="108" w:type="dxa"/>
              <w:right w:w="108" w:type="dxa"/>
            </w:tcMar>
            <w:vAlign w:val="center"/>
          </w:tcPr>
          <w:p>
            <w:pPr>
              <w:rPr>
                <w:rFonts w:hint="eastAsia" w:ascii="黑体" w:hAnsi="黑体" w:eastAsia="黑体" w:cs="黑体"/>
                <w:color w:val="auto"/>
                <w:szCs w:val="21"/>
                <w:highlight w:val="none"/>
              </w:rPr>
            </w:pPr>
          </w:p>
        </w:tc>
        <w:tc>
          <w:tcPr>
            <w:tcW w:w="1170" w:type="dxa"/>
            <w:vMerge w:val="restart"/>
            <w:shd w:val="clear" w:color="auto" w:fill="auto"/>
            <w:tcMar>
              <w:left w:w="108" w:type="dxa"/>
              <w:right w:w="108" w:type="dxa"/>
            </w:tcMar>
            <w:vAlign w:val="center"/>
          </w:tcPr>
          <w:p>
            <w:pPr>
              <w:widowControl/>
              <w:spacing w:line="200" w:lineRule="exact"/>
              <w:ind w:left="-107" w:leftChars="-51"/>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（三）不予公开</w:t>
            </w:r>
          </w:p>
        </w:tc>
        <w:tc>
          <w:tcPr>
            <w:tcW w:w="2910" w:type="dxa"/>
            <w:shd w:val="clear" w:color="auto" w:fill="auto"/>
            <w:tcMar>
              <w:left w:w="108" w:type="dxa"/>
              <w:right w:w="108" w:type="dxa"/>
            </w:tcMar>
            <w:vAlign w:val="center"/>
          </w:tcPr>
          <w:p>
            <w:pPr>
              <w:widowControl/>
              <w:spacing w:line="200" w:lineRule="exact"/>
              <w:rPr>
                <w:rFonts w:hint="eastAsia" w:ascii="黑体" w:hAnsi="黑体" w:eastAsia="黑体" w:cs="黑体"/>
                <w:color w:val="auto"/>
                <w:kern w:val="0"/>
                <w:szCs w:val="21"/>
                <w:highlight w:val="none"/>
              </w:rPr>
            </w:pPr>
            <w:r>
              <w:rPr>
                <w:rFonts w:hint="eastAsia" w:ascii="黑体" w:hAnsi="黑体" w:eastAsia="黑体" w:cs="黑体"/>
                <w:color w:val="auto"/>
                <w:kern w:val="0"/>
                <w:szCs w:val="21"/>
                <w:highlight w:val="none"/>
              </w:rPr>
              <w:t>1.属于国家秘密</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49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535"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571" w:type="dxa"/>
            <w:vMerge w:val="continue"/>
            <w:shd w:val="clear" w:color="auto" w:fill="auto"/>
            <w:tcMar>
              <w:left w:w="108" w:type="dxa"/>
              <w:right w:w="108" w:type="dxa"/>
            </w:tcMar>
            <w:vAlign w:val="center"/>
          </w:tcPr>
          <w:p>
            <w:pPr>
              <w:rPr>
                <w:rFonts w:hint="eastAsia" w:ascii="黑体" w:hAnsi="黑体" w:eastAsia="黑体" w:cs="黑体"/>
                <w:color w:val="auto"/>
                <w:szCs w:val="21"/>
                <w:highlight w:val="none"/>
              </w:rPr>
            </w:pPr>
          </w:p>
        </w:tc>
        <w:tc>
          <w:tcPr>
            <w:tcW w:w="1170" w:type="dxa"/>
            <w:vMerge w:val="continue"/>
            <w:shd w:val="clear" w:color="auto" w:fill="auto"/>
            <w:tcMar>
              <w:left w:w="108" w:type="dxa"/>
              <w:right w:w="108" w:type="dxa"/>
            </w:tcMar>
            <w:vAlign w:val="center"/>
          </w:tcPr>
          <w:p>
            <w:pPr>
              <w:spacing w:line="200" w:lineRule="exact"/>
              <w:rPr>
                <w:rFonts w:hint="eastAsia" w:ascii="黑体" w:hAnsi="黑体" w:eastAsia="黑体" w:cs="黑体"/>
                <w:color w:val="auto"/>
                <w:szCs w:val="21"/>
                <w:highlight w:val="none"/>
              </w:rPr>
            </w:pPr>
          </w:p>
        </w:tc>
        <w:tc>
          <w:tcPr>
            <w:tcW w:w="2910" w:type="dxa"/>
            <w:shd w:val="clear" w:color="auto" w:fill="auto"/>
            <w:tcMar>
              <w:left w:w="108" w:type="dxa"/>
              <w:right w:w="108" w:type="dxa"/>
            </w:tcMar>
            <w:vAlign w:val="center"/>
          </w:tcPr>
          <w:p>
            <w:pPr>
              <w:widowControl/>
              <w:spacing w:line="200" w:lineRule="exact"/>
              <w:rPr>
                <w:rFonts w:hint="eastAsia" w:ascii="黑体" w:hAnsi="黑体" w:eastAsia="黑体" w:cs="黑体"/>
                <w:color w:val="auto"/>
                <w:kern w:val="0"/>
                <w:szCs w:val="21"/>
                <w:highlight w:val="none"/>
              </w:rPr>
            </w:pPr>
            <w:r>
              <w:rPr>
                <w:rFonts w:hint="eastAsia" w:ascii="黑体" w:hAnsi="黑体" w:eastAsia="黑体" w:cs="黑体"/>
                <w:color w:val="auto"/>
                <w:kern w:val="0"/>
                <w:szCs w:val="21"/>
                <w:highlight w:val="none"/>
              </w:rPr>
              <w:t>2.其他法律行政法规禁止公开</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502"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531"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szCs w:val="21"/>
                <w:highlight w:val="none"/>
                <w:lang w:val="en-US" w:eastAsia="zh-CN"/>
              </w:rPr>
            </w:pPr>
            <w:r>
              <w:rPr>
                <w:rFonts w:hint="eastAsia" w:ascii="黑体" w:hAnsi="黑体" w:eastAsia="黑体" w:cs="黑体"/>
                <w:color w:val="auto"/>
                <w:szCs w:val="21"/>
                <w:highlight w:val="none"/>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571" w:type="dxa"/>
            <w:vMerge w:val="continue"/>
            <w:shd w:val="clear" w:color="auto" w:fill="auto"/>
            <w:tcMar>
              <w:left w:w="108" w:type="dxa"/>
              <w:right w:w="108" w:type="dxa"/>
            </w:tcMar>
            <w:vAlign w:val="center"/>
          </w:tcPr>
          <w:p>
            <w:pPr>
              <w:rPr>
                <w:rFonts w:hint="eastAsia" w:ascii="黑体" w:hAnsi="黑体" w:eastAsia="黑体" w:cs="黑体"/>
                <w:color w:val="auto"/>
                <w:szCs w:val="21"/>
                <w:highlight w:val="none"/>
              </w:rPr>
            </w:pPr>
          </w:p>
        </w:tc>
        <w:tc>
          <w:tcPr>
            <w:tcW w:w="1170" w:type="dxa"/>
            <w:vMerge w:val="continue"/>
            <w:shd w:val="clear" w:color="auto" w:fill="auto"/>
            <w:tcMar>
              <w:left w:w="108" w:type="dxa"/>
              <w:right w:w="108" w:type="dxa"/>
            </w:tcMar>
            <w:vAlign w:val="center"/>
          </w:tcPr>
          <w:p>
            <w:pPr>
              <w:spacing w:line="200" w:lineRule="exact"/>
              <w:rPr>
                <w:rFonts w:hint="eastAsia" w:ascii="黑体" w:hAnsi="黑体" w:eastAsia="黑体" w:cs="黑体"/>
                <w:color w:val="auto"/>
                <w:szCs w:val="21"/>
                <w:highlight w:val="none"/>
              </w:rPr>
            </w:pPr>
          </w:p>
        </w:tc>
        <w:tc>
          <w:tcPr>
            <w:tcW w:w="2910" w:type="dxa"/>
            <w:shd w:val="clear" w:color="auto" w:fill="auto"/>
            <w:tcMar>
              <w:left w:w="108" w:type="dxa"/>
              <w:right w:w="108" w:type="dxa"/>
            </w:tcMar>
            <w:vAlign w:val="center"/>
          </w:tcPr>
          <w:p>
            <w:pPr>
              <w:widowControl/>
              <w:spacing w:line="200" w:lineRule="exact"/>
              <w:rPr>
                <w:rFonts w:hint="eastAsia" w:ascii="黑体" w:hAnsi="黑体" w:eastAsia="黑体" w:cs="黑体"/>
                <w:color w:val="auto"/>
                <w:kern w:val="0"/>
                <w:szCs w:val="21"/>
                <w:highlight w:val="none"/>
              </w:rPr>
            </w:pPr>
            <w:r>
              <w:rPr>
                <w:rFonts w:hint="eastAsia" w:ascii="黑体" w:hAnsi="黑体" w:eastAsia="黑体" w:cs="黑体"/>
                <w:color w:val="auto"/>
                <w:kern w:val="0"/>
                <w:szCs w:val="21"/>
                <w:highlight w:val="none"/>
              </w:rPr>
              <w:t>3.危及“三安全一稳定”</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02"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31"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571" w:type="dxa"/>
            <w:vMerge w:val="continue"/>
            <w:shd w:val="clear" w:color="auto" w:fill="auto"/>
            <w:tcMar>
              <w:left w:w="108" w:type="dxa"/>
              <w:right w:w="108" w:type="dxa"/>
            </w:tcMar>
            <w:vAlign w:val="center"/>
          </w:tcPr>
          <w:p>
            <w:pPr>
              <w:rPr>
                <w:rFonts w:hint="eastAsia" w:ascii="黑体" w:hAnsi="黑体" w:eastAsia="黑体" w:cs="黑体"/>
                <w:color w:val="auto"/>
                <w:szCs w:val="21"/>
                <w:highlight w:val="none"/>
              </w:rPr>
            </w:pPr>
          </w:p>
        </w:tc>
        <w:tc>
          <w:tcPr>
            <w:tcW w:w="1170" w:type="dxa"/>
            <w:vMerge w:val="continue"/>
            <w:shd w:val="clear" w:color="auto" w:fill="auto"/>
            <w:tcMar>
              <w:left w:w="108" w:type="dxa"/>
              <w:right w:w="108" w:type="dxa"/>
            </w:tcMar>
            <w:vAlign w:val="center"/>
          </w:tcPr>
          <w:p>
            <w:pPr>
              <w:spacing w:line="200" w:lineRule="exact"/>
              <w:rPr>
                <w:rFonts w:hint="eastAsia" w:ascii="黑体" w:hAnsi="黑体" w:eastAsia="黑体" w:cs="黑体"/>
                <w:color w:val="auto"/>
                <w:szCs w:val="21"/>
                <w:highlight w:val="none"/>
              </w:rPr>
            </w:pPr>
          </w:p>
        </w:tc>
        <w:tc>
          <w:tcPr>
            <w:tcW w:w="2910" w:type="dxa"/>
            <w:shd w:val="clear" w:color="auto" w:fill="auto"/>
            <w:tcMar>
              <w:left w:w="108" w:type="dxa"/>
              <w:right w:w="108" w:type="dxa"/>
            </w:tcMar>
            <w:vAlign w:val="center"/>
          </w:tcPr>
          <w:p>
            <w:pPr>
              <w:widowControl/>
              <w:spacing w:line="200" w:lineRule="exact"/>
              <w:rPr>
                <w:rFonts w:hint="eastAsia" w:ascii="黑体" w:hAnsi="黑体" w:eastAsia="黑体" w:cs="黑体"/>
                <w:color w:val="auto"/>
                <w:kern w:val="0"/>
                <w:szCs w:val="21"/>
                <w:highlight w:val="none"/>
              </w:rPr>
            </w:pPr>
            <w:r>
              <w:rPr>
                <w:rFonts w:hint="eastAsia" w:ascii="黑体" w:hAnsi="黑体" w:eastAsia="黑体" w:cs="黑体"/>
                <w:color w:val="auto"/>
                <w:kern w:val="0"/>
                <w:szCs w:val="21"/>
                <w:highlight w:val="none"/>
              </w:rPr>
              <w:t>4.保护第三方合法权益</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02"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31"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571" w:type="dxa"/>
            <w:vMerge w:val="continue"/>
            <w:shd w:val="clear" w:color="auto" w:fill="auto"/>
            <w:tcMar>
              <w:left w:w="108" w:type="dxa"/>
              <w:right w:w="108" w:type="dxa"/>
            </w:tcMar>
            <w:vAlign w:val="center"/>
          </w:tcPr>
          <w:p>
            <w:pPr>
              <w:rPr>
                <w:rFonts w:hint="eastAsia" w:ascii="黑体" w:hAnsi="黑体" w:eastAsia="黑体" w:cs="黑体"/>
                <w:color w:val="auto"/>
                <w:szCs w:val="21"/>
                <w:highlight w:val="none"/>
              </w:rPr>
            </w:pPr>
          </w:p>
        </w:tc>
        <w:tc>
          <w:tcPr>
            <w:tcW w:w="1170" w:type="dxa"/>
            <w:vMerge w:val="continue"/>
            <w:shd w:val="clear" w:color="auto" w:fill="auto"/>
            <w:tcMar>
              <w:left w:w="108" w:type="dxa"/>
              <w:right w:w="108" w:type="dxa"/>
            </w:tcMar>
            <w:vAlign w:val="center"/>
          </w:tcPr>
          <w:p>
            <w:pPr>
              <w:spacing w:line="200" w:lineRule="exact"/>
              <w:rPr>
                <w:rFonts w:hint="eastAsia" w:ascii="黑体" w:hAnsi="黑体" w:eastAsia="黑体" w:cs="黑体"/>
                <w:color w:val="auto"/>
                <w:szCs w:val="21"/>
                <w:highlight w:val="none"/>
              </w:rPr>
            </w:pPr>
          </w:p>
        </w:tc>
        <w:tc>
          <w:tcPr>
            <w:tcW w:w="2910" w:type="dxa"/>
            <w:shd w:val="clear" w:color="auto" w:fill="auto"/>
            <w:tcMar>
              <w:left w:w="108" w:type="dxa"/>
              <w:right w:w="108" w:type="dxa"/>
            </w:tcMar>
            <w:vAlign w:val="center"/>
          </w:tcPr>
          <w:p>
            <w:pPr>
              <w:widowControl/>
              <w:spacing w:line="200" w:lineRule="exact"/>
              <w:rPr>
                <w:rFonts w:hint="eastAsia" w:ascii="黑体" w:hAnsi="黑体" w:eastAsia="黑体" w:cs="黑体"/>
                <w:color w:val="auto"/>
                <w:kern w:val="0"/>
                <w:szCs w:val="21"/>
                <w:highlight w:val="none"/>
              </w:rPr>
            </w:pPr>
            <w:r>
              <w:rPr>
                <w:rFonts w:hint="eastAsia" w:ascii="黑体" w:hAnsi="黑体" w:eastAsia="黑体" w:cs="黑体"/>
                <w:color w:val="auto"/>
                <w:kern w:val="0"/>
                <w:szCs w:val="21"/>
                <w:highlight w:val="none"/>
              </w:rPr>
              <w:t>5.属于三类内部事务信息</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06"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571" w:type="dxa"/>
            <w:vMerge w:val="continue"/>
            <w:shd w:val="clear" w:color="auto" w:fill="auto"/>
            <w:tcMar>
              <w:left w:w="108" w:type="dxa"/>
              <w:right w:w="108" w:type="dxa"/>
            </w:tcMar>
            <w:vAlign w:val="center"/>
          </w:tcPr>
          <w:p>
            <w:pPr>
              <w:rPr>
                <w:rFonts w:hint="eastAsia" w:ascii="黑体" w:hAnsi="黑体" w:eastAsia="黑体" w:cs="黑体"/>
                <w:color w:val="auto"/>
                <w:szCs w:val="21"/>
                <w:highlight w:val="none"/>
              </w:rPr>
            </w:pPr>
          </w:p>
        </w:tc>
        <w:tc>
          <w:tcPr>
            <w:tcW w:w="1170" w:type="dxa"/>
            <w:vMerge w:val="continue"/>
            <w:shd w:val="clear" w:color="auto" w:fill="auto"/>
            <w:tcMar>
              <w:left w:w="108" w:type="dxa"/>
              <w:right w:w="108" w:type="dxa"/>
            </w:tcMar>
            <w:vAlign w:val="center"/>
          </w:tcPr>
          <w:p>
            <w:pPr>
              <w:spacing w:line="200" w:lineRule="exact"/>
              <w:rPr>
                <w:rFonts w:hint="eastAsia" w:ascii="黑体" w:hAnsi="黑体" w:eastAsia="黑体" w:cs="黑体"/>
                <w:color w:val="auto"/>
                <w:szCs w:val="21"/>
                <w:highlight w:val="none"/>
              </w:rPr>
            </w:pPr>
          </w:p>
        </w:tc>
        <w:tc>
          <w:tcPr>
            <w:tcW w:w="2910" w:type="dxa"/>
            <w:shd w:val="clear" w:color="auto" w:fill="auto"/>
            <w:tcMar>
              <w:left w:w="108" w:type="dxa"/>
              <w:right w:w="108" w:type="dxa"/>
            </w:tcMar>
            <w:vAlign w:val="center"/>
          </w:tcPr>
          <w:p>
            <w:pPr>
              <w:widowControl/>
              <w:spacing w:line="200" w:lineRule="exact"/>
              <w:rPr>
                <w:rFonts w:hint="eastAsia" w:ascii="黑体" w:hAnsi="黑体" w:eastAsia="黑体" w:cs="黑体"/>
                <w:color w:val="auto"/>
                <w:kern w:val="0"/>
                <w:szCs w:val="21"/>
                <w:highlight w:val="none"/>
              </w:rPr>
            </w:pPr>
            <w:r>
              <w:rPr>
                <w:rFonts w:hint="eastAsia" w:ascii="黑体" w:hAnsi="黑体" w:eastAsia="黑体" w:cs="黑体"/>
                <w:color w:val="auto"/>
                <w:kern w:val="0"/>
                <w:szCs w:val="21"/>
                <w:highlight w:val="none"/>
              </w:rPr>
              <w:t>6.属于四类过程性信息</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06"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571" w:type="dxa"/>
            <w:vMerge w:val="continue"/>
            <w:shd w:val="clear" w:color="auto" w:fill="auto"/>
            <w:tcMar>
              <w:left w:w="108" w:type="dxa"/>
              <w:right w:w="108" w:type="dxa"/>
            </w:tcMar>
            <w:vAlign w:val="center"/>
          </w:tcPr>
          <w:p>
            <w:pPr>
              <w:rPr>
                <w:rFonts w:hint="eastAsia" w:ascii="黑体" w:hAnsi="黑体" w:eastAsia="黑体" w:cs="黑体"/>
                <w:color w:val="auto"/>
                <w:szCs w:val="21"/>
                <w:highlight w:val="none"/>
              </w:rPr>
            </w:pPr>
          </w:p>
        </w:tc>
        <w:tc>
          <w:tcPr>
            <w:tcW w:w="1170" w:type="dxa"/>
            <w:vMerge w:val="continue"/>
            <w:shd w:val="clear" w:color="auto" w:fill="auto"/>
            <w:tcMar>
              <w:left w:w="108" w:type="dxa"/>
              <w:right w:w="108" w:type="dxa"/>
            </w:tcMar>
            <w:vAlign w:val="center"/>
          </w:tcPr>
          <w:p>
            <w:pPr>
              <w:spacing w:line="200" w:lineRule="exact"/>
              <w:rPr>
                <w:rFonts w:hint="eastAsia" w:ascii="黑体" w:hAnsi="黑体" w:eastAsia="黑体" w:cs="黑体"/>
                <w:color w:val="auto"/>
                <w:szCs w:val="21"/>
                <w:highlight w:val="none"/>
              </w:rPr>
            </w:pPr>
          </w:p>
        </w:tc>
        <w:tc>
          <w:tcPr>
            <w:tcW w:w="2910" w:type="dxa"/>
            <w:shd w:val="clear" w:color="auto" w:fill="auto"/>
            <w:tcMar>
              <w:left w:w="108" w:type="dxa"/>
              <w:right w:w="108" w:type="dxa"/>
            </w:tcMar>
            <w:vAlign w:val="center"/>
          </w:tcPr>
          <w:p>
            <w:pPr>
              <w:widowControl/>
              <w:spacing w:line="200" w:lineRule="exact"/>
              <w:rPr>
                <w:rFonts w:hint="eastAsia" w:ascii="黑体" w:hAnsi="黑体" w:eastAsia="黑体" w:cs="黑体"/>
                <w:color w:val="auto"/>
                <w:kern w:val="0"/>
                <w:szCs w:val="21"/>
                <w:highlight w:val="none"/>
              </w:rPr>
            </w:pPr>
            <w:r>
              <w:rPr>
                <w:rFonts w:hint="eastAsia" w:ascii="黑体" w:hAnsi="黑体" w:eastAsia="黑体" w:cs="黑体"/>
                <w:color w:val="auto"/>
                <w:kern w:val="0"/>
                <w:szCs w:val="21"/>
                <w:highlight w:val="none"/>
              </w:rPr>
              <w:t>7.属于行政执法案卷</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06"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571" w:type="dxa"/>
            <w:vMerge w:val="continue"/>
            <w:shd w:val="clear" w:color="auto" w:fill="auto"/>
            <w:tcMar>
              <w:left w:w="108" w:type="dxa"/>
              <w:right w:w="108" w:type="dxa"/>
            </w:tcMar>
            <w:vAlign w:val="center"/>
          </w:tcPr>
          <w:p>
            <w:pPr>
              <w:rPr>
                <w:rFonts w:hint="eastAsia" w:ascii="黑体" w:hAnsi="黑体" w:eastAsia="黑体" w:cs="黑体"/>
                <w:color w:val="auto"/>
                <w:szCs w:val="21"/>
                <w:highlight w:val="none"/>
              </w:rPr>
            </w:pPr>
          </w:p>
        </w:tc>
        <w:tc>
          <w:tcPr>
            <w:tcW w:w="1170" w:type="dxa"/>
            <w:vMerge w:val="continue"/>
            <w:shd w:val="clear" w:color="auto" w:fill="auto"/>
            <w:tcMar>
              <w:left w:w="108" w:type="dxa"/>
              <w:right w:w="108" w:type="dxa"/>
            </w:tcMar>
            <w:vAlign w:val="center"/>
          </w:tcPr>
          <w:p>
            <w:pPr>
              <w:spacing w:line="200" w:lineRule="exact"/>
              <w:rPr>
                <w:rFonts w:hint="eastAsia" w:ascii="黑体" w:hAnsi="黑体" w:eastAsia="黑体" w:cs="黑体"/>
                <w:color w:val="auto"/>
                <w:szCs w:val="21"/>
                <w:highlight w:val="none"/>
              </w:rPr>
            </w:pPr>
          </w:p>
        </w:tc>
        <w:tc>
          <w:tcPr>
            <w:tcW w:w="2910" w:type="dxa"/>
            <w:shd w:val="clear" w:color="auto" w:fill="auto"/>
            <w:tcMar>
              <w:left w:w="108" w:type="dxa"/>
              <w:right w:w="108" w:type="dxa"/>
            </w:tcMar>
            <w:vAlign w:val="center"/>
          </w:tcPr>
          <w:p>
            <w:pPr>
              <w:widowControl/>
              <w:spacing w:line="200" w:lineRule="exact"/>
              <w:rPr>
                <w:rFonts w:hint="eastAsia" w:ascii="黑体" w:hAnsi="黑体" w:eastAsia="黑体" w:cs="黑体"/>
                <w:color w:val="auto"/>
                <w:kern w:val="0"/>
                <w:szCs w:val="21"/>
                <w:highlight w:val="none"/>
              </w:rPr>
            </w:pPr>
            <w:r>
              <w:rPr>
                <w:rFonts w:hint="eastAsia" w:ascii="黑体" w:hAnsi="黑体" w:eastAsia="黑体" w:cs="黑体"/>
                <w:color w:val="auto"/>
                <w:kern w:val="0"/>
                <w:szCs w:val="21"/>
                <w:highlight w:val="none"/>
              </w:rPr>
              <w:t>8.属于行政查询事项</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06"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4" w:hRule="exact"/>
          <w:jc w:val="center"/>
        </w:trPr>
        <w:tc>
          <w:tcPr>
            <w:tcW w:w="571" w:type="dxa"/>
            <w:vMerge w:val="continue"/>
            <w:shd w:val="clear" w:color="auto" w:fill="auto"/>
            <w:tcMar>
              <w:left w:w="108" w:type="dxa"/>
              <w:right w:w="108" w:type="dxa"/>
            </w:tcMar>
            <w:vAlign w:val="center"/>
          </w:tcPr>
          <w:p>
            <w:pPr>
              <w:rPr>
                <w:rFonts w:hint="eastAsia" w:ascii="黑体" w:hAnsi="黑体" w:eastAsia="黑体" w:cs="黑体"/>
                <w:color w:val="auto"/>
                <w:szCs w:val="21"/>
                <w:highlight w:val="none"/>
              </w:rPr>
            </w:pPr>
          </w:p>
        </w:tc>
        <w:tc>
          <w:tcPr>
            <w:tcW w:w="1170" w:type="dxa"/>
            <w:vMerge w:val="restart"/>
            <w:shd w:val="clear" w:color="auto" w:fill="auto"/>
            <w:tcMar>
              <w:left w:w="108" w:type="dxa"/>
              <w:right w:w="108" w:type="dxa"/>
            </w:tcMar>
            <w:vAlign w:val="center"/>
          </w:tcPr>
          <w:p>
            <w:pPr>
              <w:widowControl/>
              <w:spacing w:line="200" w:lineRule="exact"/>
              <w:ind w:left="-107" w:leftChars="-51"/>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（四）无法提供</w:t>
            </w:r>
          </w:p>
        </w:tc>
        <w:tc>
          <w:tcPr>
            <w:tcW w:w="2910" w:type="dxa"/>
            <w:shd w:val="clear" w:color="auto" w:fill="auto"/>
            <w:tcMar>
              <w:left w:w="108" w:type="dxa"/>
              <w:right w:w="108" w:type="dxa"/>
            </w:tcMar>
            <w:vAlign w:val="center"/>
          </w:tcPr>
          <w:p>
            <w:pPr>
              <w:widowControl/>
              <w:spacing w:line="200" w:lineRule="exact"/>
              <w:rPr>
                <w:rFonts w:hint="eastAsia" w:ascii="黑体" w:hAnsi="黑体" w:eastAsia="黑体" w:cs="黑体"/>
                <w:color w:val="auto"/>
                <w:kern w:val="0"/>
                <w:szCs w:val="21"/>
                <w:highlight w:val="none"/>
              </w:rPr>
            </w:pPr>
            <w:r>
              <w:rPr>
                <w:rFonts w:hint="eastAsia" w:ascii="黑体" w:hAnsi="黑体" w:eastAsia="黑体" w:cs="黑体"/>
                <w:color w:val="auto"/>
                <w:kern w:val="0"/>
                <w:szCs w:val="21"/>
                <w:highlight w:val="none"/>
              </w:rPr>
              <w:t>1.本机关不掌握相关政府信息</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09"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571" w:type="dxa"/>
            <w:vMerge w:val="continue"/>
            <w:shd w:val="clear" w:color="auto" w:fill="auto"/>
            <w:tcMar>
              <w:left w:w="108" w:type="dxa"/>
              <w:right w:w="108" w:type="dxa"/>
            </w:tcMar>
            <w:vAlign w:val="center"/>
          </w:tcPr>
          <w:p>
            <w:pPr>
              <w:rPr>
                <w:rFonts w:hint="eastAsia" w:ascii="黑体" w:hAnsi="黑体" w:eastAsia="黑体" w:cs="黑体"/>
                <w:color w:val="auto"/>
                <w:szCs w:val="21"/>
                <w:highlight w:val="none"/>
              </w:rPr>
            </w:pPr>
          </w:p>
        </w:tc>
        <w:tc>
          <w:tcPr>
            <w:tcW w:w="1170" w:type="dxa"/>
            <w:vMerge w:val="continue"/>
            <w:shd w:val="clear" w:color="auto" w:fill="auto"/>
            <w:tcMar>
              <w:left w:w="108" w:type="dxa"/>
              <w:right w:w="108" w:type="dxa"/>
            </w:tcMar>
            <w:vAlign w:val="center"/>
          </w:tcPr>
          <w:p>
            <w:pPr>
              <w:spacing w:line="200" w:lineRule="exact"/>
              <w:ind w:left="-107" w:leftChars="-51"/>
              <w:rPr>
                <w:rFonts w:hint="eastAsia" w:ascii="黑体" w:hAnsi="黑体" w:eastAsia="黑体" w:cs="黑体"/>
                <w:color w:val="auto"/>
                <w:szCs w:val="21"/>
                <w:highlight w:val="none"/>
              </w:rPr>
            </w:pPr>
          </w:p>
        </w:tc>
        <w:tc>
          <w:tcPr>
            <w:tcW w:w="2910" w:type="dxa"/>
            <w:shd w:val="clear" w:color="auto" w:fill="auto"/>
            <w:tcMar>
              <w:left w:w="108" w:type="dxa"/>
              <w:right w:w="108" w:type="dxa"/>
            </w:tcMar>
            <w:vAlign w:val="center"/>
          </w:tcPr>
          <w:p>
            <w:pPr>
              <w:widowControl/>
              <w:spacing w:line="200" w:lineRule="exact"/>
              <w:rPr>
                <w:rFonts w:hint="eastAsia" w:ascii="黑体" w:hAnsi="黑体" w:eastAsia="黑体" w:cs="黑体"/>
                <w:color w:val="auto"/>
                <w:kern w:val="0"/>
                <w:szCs w:val="21"/>
                <w:highlight w:val="none"/>
              </w:rPr>
            </w:pPr>
            <w:r>
              <w:rPr>
                <w:rFonts w:hint="eastAsia" w:ascii="黑体" w:hAnsi="黑体" w:eastAsia="黑体" w:cs="黑体"/>
                <w:color w:val="auto"/>
                <w:kern w:val="0"/>
                <w:szCs w:val="21"/>
                <w:highlight w:val="none"/>
              </w:rPr>
              <w:t>2.没有现成信息需要另行制作</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09"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571" w:type="dxa"/>
            <w:vMerge w:val="continue"/>
            <w:shd w:val="clear" w:color="auto" w:fill="auto"/>
            <w:tcMar>
              <w:left w:w="108" w:type="dxa"/>
              <w:right w:w="108" w:type="dxa"/>
            </w:tcMar>
            <w:vAlign w:val="center"/>
          </w:tcPr>
          <w:p>
            <w:pPr>
              <w:rPr>
                <w:rFonts w:hint="eastAsia" w:ascii="黑体" w:hAnsi="黑体" w:eastAsia="黑体" w:cs="黑体"/>
                <w:color w:val="auto"/>
                <w:szCs w:val="21"/>
                <w:highlight w:val="none"/>
              </w:rPr>
            </w:pPr>
          </w:p>
        </w:tc>
        <w:tc>
          <w:tcPr>
            <w:tcW w:w="1170" w:type="dxa"/>
            <w:vMerge w:val="continue"/>
            <w:shd w:val="clear" w:color="auto" w:fill="auto"/>
            <w:tcMar>
              <w:left w:w="108" w:type="dxa"/>
              <w:right w:w="108" w:type="dxa"/>
            </w:tcMar>
            <w:vAlign w:val="center"/>
          </w:tcPr>
          <w:p>
            <w:pPr>
              <w:spacing w:line="200" w:lineRule="exact"/>
              <w:ind w:left="-107" w:leftChars="-51"/>
              <w:rPr>
                <w:rFonts w:hint="eastAsia" w:ascii="黑体" w:hAnsi="黑体" w:eastAsia="黑体" w:cs="黑体"/>
                <w:color w:val="auto"/>
                <w:szCs w:val="21"/>
                <w:highlight w:val="none"/>
              </w:rPr>
            </w:pPr>
          </w:p>
        </w:tc>
        <w:tc>
          <w:tcPr>
            <w:tcW w:w="2910" w:type="dxa"/>
            <w:shd w:val="clear" w:color="auto" w:fill="auto"/>
            <w:tcMar>
              <w:left w:w="108" w:type="dxa"/>
              <w:right w:w="108" w:type="dxa"/>
            </w:tcMar>
            <w:vAlign w:val="center"/>
          </w:tcPr>
          <w:p>
            <w:pPr>
              <w:widowControl/>
              <w:spacing w:line="200" w:lineRule="exact"/>
              <w:rPr>
                <w:rFonts w:hint="eastAsia" w:ascii="黑体" w:hAnsi="黑体" w:eastAsia="黑体" w:cs="黑体"/>
                <w:color w:val="auto"/>
                <w:kern w:val="0"/>
                <w:szCs w:val="21"/>
                <w:highlight w:val="none"/>
              </w:rPr>
            </w:pPr>
            <w:r>
              <w:rPr>
                <w:rFonts w:hint="eastAsia" w:ascii="黑体" w:hAnsi="黑体" w:eastAsia="黑体" w:cs="黑体"/>
                <w:color w:val="auto"/>
                <w:kern w:val="0"/>
                <w:szCs w:val="21"/>
                <w:highlight w:val="none"/>
              </w:rPr>
              <w:t>3.补正后申请内容仍不明确</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09"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571" w:type="dxa"/>
            <w:vMerge w:val="continue"/>
            <w:shd w:val="clear" w:color="auto" w:fill="auto"/>
            <w:tcMar>
              <w:left w:w="108" w:type="dxa"/>
              <w:right w:w="108" w:type="dxa"/>
            </w:tcMar>
            <w:vAlign w:val="center"/>
          </w:tcPr>
          <w:p>
            <w:pPr>
              <w:rPr>
                <w:rFonts w:hint="eastAsia" w:ascii="黑体" w:hAnsi="黑体" w:eastAsia="黑体" w:cs="黑体"/>
                <w:color w:val="auto"/>
                <w:szCs w:val="21"/>
                <w:highlight w:val="none"/>
              </w:rPr>
            </w:pPr>
          </w:p>
        </w:tc>
        <w:tc>
          <w:tcPr>
            <w:tcW w:w="1170" w:type="dxa"/>
            <w:vMerge w:val="restart"/>
            <w:shd w:val="clear" w:color="auto" w:fill="auto"/>
            <w:tcMar>
              <w:left w:w="108" w:type="dxa"/>
              <w:right w:w="108" w:type="dxa"/>
            </w:tcMar>
            <w:vAlign w:val="center"/>
          </w:tcPr>
          <w:p>
            <w:pPr>
              <w:widowControl/>
              <w:spacing w:line="200" w:lineRule="exact"/>
              <w:ind w:left="-107" w:leftChars="-51"/>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（五）不予处理</w:t>
            </w:r>
          </w:p>
        </w:tc>
        <w:tc>
          <w:tcPr>
            <w:tcW w:w="2910" w:type="dxa"/>
            <w:shd w:val="clear" w:color="auto" w:fill="auto"/>
            <w:tcMar>
              <w:left w:w="108" w:type="dxa"/>
              <w:right w:w="108" w:type="dxa"/>
            </w:tcMar>
            <w:vAlign w:val="center"/>
          </w:tcPr>
          <w:p>
            <w:pPr>
              <w:widowControl/>
              <w:spacing w:line="200" w:lineRule="exact"/>
              <w:rPr>
                <w:rFonts w:hint="eastAsia" w:ascii="黑体" w:hAnsi="黑体" w:eastAsia="黑体" w:cs="黑体"/>
                <w:color w:val="auto"/>
                <w:kern w:val="0"/>
                <w:szCs w:val="21"/>
                <w:highlight w:val="none"/>
              </w:rPr>
            </w:pPr>
            <w:r>
              <w:rPr>
                <w:rFonts w:hint="eastAsia" w:ascii="黑体" w:hAnsi="黑体" w:eastAsia="黑体" w:cs="黑体"/>
                <w:color w:val="auto"/>
                <w:kern w:val="0"/>
                <w:szCs w:val="21"/>
                <w:highlight w:val="none"/>
              </w:rPr>
              <w:t>1.信访举报投诉类申请</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09"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571" w:type="dxa"/>
            <w:vMerge w:val="continue"/>
            <w:shd w:val="clear" w:color="auto" w:fill="auto"/>
            <w:tcMar>
              <w:left w:w="108" w:type="dxa"/>
              <w:right w:w="108" w:type="dxa"/>
            </w:tcMar>
            <w:vAlign w:val="center"/>
          </w:tcPr>
          <w:p>
            <w:pPr>
              <w:rPr>
                <w:rFonts w:hint="eastAsia" w:ascii="黑体" w:hAnsi="黑体" w:eastAsia="黑体" w:cs="黑体"/>
                <w:color w:val="auto"/>
                <w:szCs w:val="21"/>
                <w:highlight w:val="none"/>
              </w:rPr>
            </w:pPr>
          </w:p>
        </w:tc>
        <w:tc>
          <w:tcPr>
            <w:tcW w:w="1170" w:type="dxa"/>
            <w:vMerge w:val="continue"/>
            <w:shd w:val="clear" w:color="auto" w:fill="auto"/>
            <w:tcMar>
              <w:left w:w="108" w:type="dxa"/>
              <w:right w:w="108" w:type="dxa"/>
            </w:tcMar>
            <w:vAlign w:val="center"/>
          </w:tcPr>
          <w:p>
            <w:pPr>
              <w:spacing w:line="200" w:lineRule="exact"/>
              <w:rPr>
                <w:rFonts w:hint="eastAsia" w:ascii="黑体" w:hAnsi="黑体" w:eastAsia="黑体" w:cs="黑体"/>
                <w:color w:val="auto"/>
                <w:szCs w:val="21"/>
                <w:highlight w:val="none"/>
              </w:rPr>
            </w:pPr>
          </w:p>
        </w:tc>
        <w:tc>
          <w:tcPr>
            <w:tcW w:w="2910" w:type="dxa"/>
            <w:shd w:val="clear" w:color="auto" w:fill="auto"/>
            <w:tcMar>
              <w:left w:w="108" w:type="dxa"/>
              <w:right w:w="108" w:type="dxa"/>
            </w:tcMar>
            <w:vAlign w:val="center"/>
          </w:tcPr>
          <w:p>
            <w:pPr>
              <w:widowControl/>
              <w:spacing w:line="200" w:lineRule="exact"/>
              <w:rPr>
                <w:rFonts w:hint="eastAsia" w:ascii="黑体" w:hAnsi="黑体" w:eastAsia="黑体" w:cs="黑体"/>
                <w:color w:val="auto"/>
                <w:kern w:val="0"/>
                <w:szCs w:val="21"/>
                <w:highlight w:val="none"/>
              </w:rPr>
            </w:pPr>
            <w:r>
              <w:rPr>
                <w:rFonts w:hint="eastAsia" w:ascii="黑体" w:hAnsi="黑体" w:eastAsia="黑体" w:cs="黑体"/>
                <w:color w:val="auto"/>
                <w:kern w:val="0"/>
                <w:szCs w:val="21"/>
                <w:highlight w:val="none"/>
              </w:rPr>
              <w:t>2.重复申请</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12"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571" w:type="dxa"/>
            <w:vMerge w:val="continue"/>
            <w:shd w:val="clear" w:color="auto" w:fill="auto"/>
            <w:tcMar>
              <w:left w:w="108" w:type="dxa"/>
              <w:right w:w="108" w:type="dxa"/>
            </w:tcMar>
            <w:vAlign w:val="center"/>
          </w:tcPr>
          <w:p>
            <w:pPr>
              <w:rPr>
                <w:rFonts w:hint="eastAsia" w:ascii="黑体" w:hAnsi="黑体" w:eastAsia="黑体" w:cs="黑体"/>
                <w:color w:val="auto"/>
                <w:szCs w:val="21"/>
                <w:highlight w:val="none"/>
              </w:rPr>
            </w:pPr>
          </w:p>
        </w:tc>
        <w:tc>
          <w:tcPr>
            <w:tcW w:w="1170" w:type="dxa"/>
            <w:vMerge w:val="continue"/>
            <w:shd w:val="clear" w:color="auto" w:fill="auto"/>
            <w:tcMar>
              <w:left w:w="108" w:type="dxa"/>
              <w:right w:w="108" w:type="dxa"/>
            </w:tcMar>
            <w:vAlign w:val="center"/>
          </w:tcPr>
          <w:p>
            <w:pPr>
              <w:spacing w:line="200" w:lineRule="exact"/>
              <w:rPr>
                <w:rFonts w:hint="eastAsia" w:ascii="黑体" w:hAnsi="黑体" w:eastAsia="黑体" w:cs="黑体"/>
                <w:color w:val="auto"/>
                <w:szCs w:val="21"/>
                <w:highlight w:val="none"/>
              </w:rPr>
            </w:pPr>
          </w:p>
        </w:tc>
        <w:tc>
          <w:tcPr>
            <w:tcW w:w="2910" w:type="dxa"/>
            <w:shd w:val="clear" w:color="auto" w:fill="auto"/>
            <w:tcMar>
              <w:left w:w="108" w:type="dxa"/>
              <w:right w:w="108" w:type="dxa"/>
            </w:tcMar>
            <w:vAlign w:val="center"/>
          </w:tcPr>
          <w:p>
            <w:pPr>
              <w:widowControl/>
              <w:spacing w:line="200" w:lineRule="exact"/>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3.要求提供公开出版物</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12"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571" w:type="dxa"/>
            <w:vMerge w:val="continue"/>
            <w:shd w:val="clear" w:color="auto" w:fill="auto"/>
            <w:tcMar>
              <w:left w:w="108" w:type="dxa"/>
              <w:right w:w="108" w:type="dxa"/>
            </w:tcMar>
            <w:vAlign w:val="center"/>
          </w:tcPr>
          <w:p>
            <w:pPr>
              <w:rPr>
                <w:rFonts w:hint="eastAsia" w:ascii="黑体" w:hAnsi="黑体" w:eastAsia="黑体" w:cs="黑体"/>
                <w:color w:val="auto"/>
                <w:szCs w:val="21"/>
                <w:highlight w:val="none"/>
              </w:rPr>
            </w:pPr>
          </w:p>
        </w:tc>
        <w:tc>
          <w:tcPr>
            <w:tcW w:w="1170" w:type="dxa"/>
            <w:vMerge w:val="continue"/>
            <w:shd w:val="clear" w:color="auto" w:fill="auto"/>
            <w:tcMar>
              <w:left w:w="108" w:type="dxa"/>
              <w:right w:w="108" w:type="dxa"/>
            </w:tcMar>
            <w:vAlign w:val="center"/>
          </w:tcPr>
          <w:p>
            <w:pPr>
              <w:spacing w:line="200" w:lineRule="exact"/>
              <w:rPr>
                <w:rFonts w:hint="eastAsia" w:ascii="黑体" w:hAnsi="黑体" w:eastAsia="黑体" w:cs="黑体"/>
                <w:color w:val="auto"/>
                <w:szCs w:val="21"/>
                <w:highlight w:val="none"/>
              </w:rPr>
            </w:pPr>
          </w:p>
        </w:tc>
        <w:tc>
          <w:tcPr>
            <w:tcW w:w="2910" w:type="dxa"/>
            <w:shd w:val="clear" w:color="auto" w:fill="auto"/>
            <w:tcMar>
              <w:left w:w="108" w:type="dxa"/>
              <w:right w:w="108" w:type="dxa"/>
            </w:tcMar>
            <w:vAlign w:val="center"/>
          </w:tcPr>
          <w:p>
            <w:pPr>
              <w:widowControl/>
              <w:spacing w:line="200" w:lineRule="exact"/>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4.无正当理由大量反复申请</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12"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71" w:type="dxa"/>
            <w:vMerge w:val="continue"/>
            <w:shd w:val="clear" w:color="auto" w:fill="auto"/>
            <w:tcMar>
              <w:left w:w="108" w:type="dxa"/>
              <w:right w:w="108" w:type="dxa"/>
            </w:tcMar>
            <w:vAlign w:val="center"/>
          </w:tcPr>
          <w:p>
            <w:pPr>
              <w:rPr>
                <w:rFonts w:hint="eastAsia" w:ascii="黑体" w:hAnsi="黑体" w:eastAsia="黑体" w:cs="黑体"/>
                <w:color w:val="auto"/>
                <w:szCs w:val="21"/>
                <w:highlight w:val="none"/>
              </w:rPr>
            </w:pPr>
          </w:p>
        </w:tc>
        <w:tc>
          <w:tcPr>
            <w:tcW w:w="1170" w:type="dxa"/>
            <w:vMerge w:val="continue"/>
            <w:shd w:val="clear" w:color="auto" w:fill="auto"/>
            <w:tcMar>
              <w:left w:w="108" w:type="dxa"/>
              <w:right w:w="108" w:type="dxa"/>
            </w:tcMar>
            <w:vAlign w:val="center"/>
          </w:tcPr>
          <w:p>
            <w:pPr>
              <w:spacing w:line="200" w:lineRule="exact"/>
              <w:rPr>
                <w:rFonts w:hint="eastAsia" w:ascii="黑体" w:hAnsi="黑体" w:eastAsia="黑体" w:cs="黑体"/>
                <w:color w:val="auto"/>
                <w:szCs w:val="21"/>
                <w:highlight w:val="none"/>
              </w:rPr>
            </w:pPr>
          </w:p>
        </w:tc>
        <w:tc>
          <w:tcPr>
            <w:tcW w:w="2910" w:type="dxa"/>
            <w:shd w:val="clear" w:color="auto" w:fill="auto"/>
            <w:tcMar>
              <w:left w:w="108" w:type="dxa"/>
              <w:right w:w="108" w:type="dxa"/>
            </w:tcMar>
            <w:vAlign w:val="center"/>
          </w:tcPr>
          <w:p>
            <w:pPr>
              <w:widowControl/>
              <w:spacing w:line="300" w:lineRule="exact"/>
              <w:rPr>
                <w:rFonts w:hint="eastAsia" w:ascii="黑体" w:hAnsi="黑体" w:eastAsia="黑体" w:cs="黑体"/>
                <w:color w:val="auto"/>
                <w:kern w:val="0"/>
                <w:szCs w:val="21"/>
                <w:highlight w:val="none"/>
              </w:rPr>
            </w:pPr>
            <w:r>
              <w:rPr>
                <w:rFonts w:hint="eastAsia" w:ascii="黑体" w:hAnsi="黑体" w:eastAsia="黑体" w:cs="黑体"/>
                <w:color w:val="auto"/>
                <w:kern w:val="0"/>
                <w:szCs w:val="21"/>
                <w:highlight w:val="none"/>
              </w:rPr>
              <w:t>5.要求行政机关确认或重新</w:t>
            </w:r>
          </w:p>
          <w:p>
            <w:pPr>
              <w:widowControl/>
              <w:spacing w:line="300" w:lineRule="exact"/>
              <w:ind w:firstLine="210" w:firstLineChars="100"/>
              <w:rPr>
                <w:rFonts w:hint="eastAsia" w:ascii="黑体" w:hAnsi="黑体" w:eastAsia="黑体" w:cs="黑体"/>
                <w:color w:val="auto"/>
                <w:szCs w:val="21"/>
                <w:highlight w:val="none"/>
              </w:rPr>
            </w:pPr>
            <w:r>
              <w:rPr>
                <w:rFonts w:hint="eastAsia" w:ascii="黑体" w:hAnsi="黑体" w:eastAsia="黑体" w:cs="黑体"/>
                <w:color w:val="auto"/>
                <w:kern w:val="0"/>
                <w:szCs w:val="21"/>
                <w:highlight w:val="none"/>
              </w:rPr>
              <w:t>出具已获取信息</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12"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71" w:type="dxa"/>
            <w:vMerge w:val="continue"/>
            <w:shd w:val="clear" w:color="auto" w:fill="auto"/>
            <w:tcMar>
              <w:left w:w="108" w:type="dxa"/>
              <w:right w:w="108" w:type="dxa"/>
            </w:tcMar>
            <w:vAlign w:val="center"/>
          </w:tcPr>
          <w:p>
            <w:pPr>
              <w:rPr>
                <w:rFonts w:hint="eastAsia" w:ascii="黑体" w:hAnsi="黑体" w:eastAsia="黑体" w:cs="黑体"/>
                <w:color w:val="auto"/>
                <w:szCs w:val="21"/>
                <w:highlight w:val="none"/>
              </w:rPr>
            </w:pPr>
          </w:p>
        </w:tc>
        <w:tc>
          <w:tcPr>
            <w:tcW w:w="1170" w:type="dxa"/>
            <w:vMerge w:val="restart"/>
            <w:shd w:val="clear" w:color="auto" w:fill="auto"/>
            <w:tcMar>
              <w:left w:w="108" w:type="dxa"/>
              <w:right w:w="108" w:type="dxa"/>
            </w:tcMar>
            <w:vAlign w:val="center"/>
          </w:tcPr>
          <w:p>
            <w:pPr>
              <w:widowControl/>
              <w:spacing w:line="300" w:lineRule="exact"/>
              <w:rPr>
                <w:rFonts w:hint="eastAsia" w:ascii="黑体" w:hAnsi="黑体" w:eastAsia="黑体" w:cs="黑体"/>
                <w:color w:val="auto"/>
                <w:kern w:val="0"/>
                <w:szCs w:val="21"/>
                <w:highlight w:val="none"/>
              </w:rPr>
            </w:pPr>
            <w:r>
              <w:rPr>
                <w:rFonts w:hint="eastAsia" w:ascii="黑体" w:hAnsi="黑体" w:eastAsia="黑体" w:cs="黑体"/>
                <w:color w:val="auto"/>
                <w:kern w:val="0"/>
                <w:szCs w:val="21"/>
                <w:highlight w:val="none"/>
              </w:rPr>
              <w:t>（六）其他处理</w:t>
            </w:r>
          </w:p>
        </w:tc>
        <w:tc>
          <w:tcPr>
            <w:tcW w:w="2910" w:type="dxa"/>
            <w:shd w:val="clear" w:color="auto" w:fill="auto"/>
            <w:vAlign w:val="center"/>
          </w:tcPr>
          <w:p>
            <w:pPr>
              <w:widowControl/>
              <w:spacing w:line="300" w:lineRule="exact"/>
              <w:rPr>
                <w:rFonts w:hint="eastAsia" w:ascii="黑体" w:hAnsi="黑体" w:eastAsia="黑体" w:cs="黑体"/>
                <w:color w:val="auto"/>
                <w:highlight w:val="none"/>
              </w:rPr>
            </w:pPr>
            <w:r>
              <w:rPr>
                <w:rFonts w:hint="eastAsia" w:ascii="黑体" w:hAnsi="黑体" w:eastAsia="黑体" w:cs="黑体"/>
                <w:color w:val="auto"/>
                <w:highlight w:val="none"/>
              </w:rPr>
              <w:t>1.申请人无正当理由逾期不补正、行政机关不再处理其政府信息公开申请</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15"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1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52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c>
          <w:tcPr>
            <w:tcW w:w="6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color w:val="auto"/>
                <w:kern w:val="2"/>
                <w:sz w:val="21"/>
                <w:szCs w:val="21"/>
                <w:highlight w:val="none"/>
                <w:lang w:val="en-US" w:eastAsia="zh-CN" w:bidi="ar-SA"/>
              </w:rPr>
            </w:pPr>
            <w:r>
              <w:rPr>
                <w:rFonts w:hint="eastAsia" w:ascii="黑体" w:hAnsi="黑体" w:eastAsia="黑体" w:cs="黑体"/>
                <w:color w:val="auto"/>
                <w:szCs w:val="21"/>
                <w:highlight w:val="none"/>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71" w:type="dxa"/>
            <w:vMerge w:val="continue"/>
            <w:shd w:val="clear" w:color="auto" w:fill="auto"/>
            <w:tcMar>
              <w:left w:w="108" w:type="dxa"/>
              <w:right w:w="108" w:type="dxa"/>
            </w:tcMar>
            <w:vAlign w:val="center"/>
          </w:tcPr>
          <w:p>
            <w:pPr>
              <w:rPr>
                <w:rFonts w:hint="eastAsia" w:ascii="黑体" w:hAnsi="黑体" w:eastAsia="黑体" w:cs="黑体"/>
                <w:szCs w:val="21"/>
                <w:highlight w:val="none"/>
              </w:rPr>
            </w:pPr>
          </w:p>
        </w:tc>
        <w:tc>
          <w:tcPr>
            <w:tcW w:w="1170" w:type="dxa"/>
            <w:vMerge w:val="continue"/>
            <w:shd w:val="clear" w:color="auto" w:fill="auto"/>
            <w:tcMar>
              <w:left w:w="108" w:type="dxa"/>
              <w:right w:w="108" w:type="dxa"/>
            </w:tcMar>
            <w:vAlign w:val="center"/>
          </w:tcPr>
          <w:p>
            <w:pPr>
              <w:widowControl/>
              <w:spacing w:line="300" w:lineRule="exact"/>
              <w:rPr>
                <w:rFonts w:hint="eastAsia" w:ascii="黑体" w:hAnsi="黑体" w:eastAsia="黑体" w:cs="黑体"/>
                <w:kern w:val="0"/>
                <w:szCs w:val="21"/>
                <w:highlight w:val="none"/>
              </w:rPr>
            </w:pPr>
          </w:p>
        </w:tc>
        <w:tc>
          <w:tcPr>
            <w:tcW w:w="2910" w:type="dxa"/>
            <w:shd w:val="clear" w:color="auto" w:fill="auto"/>
            <w:vAlign w:val="center"/>
          </w:tcPr>
          <w:p>
            <w:pPr>
              <w:widowControl/>
              <w:spacing w:line="300" w:lineRule="exact"/>
              <w:rPr>
                <w:rFonts w:hint="eastAsia" w:ascii="黑体" w:hAnsi="黑体" w:eastAsia="黑体" w:cs="黑体"/>
                <w:kern w:val="0"/>
                <w:szCs w:val="21"/>
                <w:highlight w:val="none"/>
              </w:rPr>
            </w:pPr>
            <w:r>
              <w:rPr>
                <w:rFonts w:hint="eastAsia" w:ascii="黑体" w:hAnsi="黑体" w:eastAsia="黑体" w:cs="黑体"/>
                <w:highlight w:val="none"/>
              </w:rPr>
              <w:t>2.申请人逾期未按收费通知要求缴纳费用、行政机关不再处理其政府信息公开申请</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515"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51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52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6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71" w:type="dxa"/>
            <w:vMerge w:val="continue"/>
            <w:shd w:val="clear" w:color="auto" w:fill="auto"/>
            <w:tcMar>
              <w:left w:w="108" w:type="dxa"/>
              <w:right w:w="108" w:type="dxa"/>
            </w:tcMar>
            <w:vAlign w:val="center"/>
          </w:tcPr>
          <w:p>
            <w:pPr>
              <w:rPr>
                <w:rFonts w:hint="eastAsia" w:ascii="黑体" w:hAnsi="黑体" w:eastAsia="黑体" w:cs="黑体"/>
                <w:szCs w:val="21"/>
                <w:highlight w:val="none"/>
              </w:rPr>
            </w:pPr>
          </w:p>
        </w:tc>
        <w:tc>
          <w:tcPr>
            <w:tcW w:w="1170" w:type="dxa"/>
            <w:vMerge w:val="continue"/>
            <w:shd w:val="clear" w:color="auto" w:fill="auto"/>
            <w:tcMar>
              <w:left w:w="108" w:type="dxa"/>
              <w:right w:w="108" w:type="dxa"/>
            </w:tcMar>
            <w:vAlign w:val="center"/>
          </w:tcPr>
          <w:p>
            <w:pPr>
              <w:widowControl/>
              <w:spacing w:line="300" w:lineRule="exact"/>
              <w:rPr>
                <w:rFonts w:hint="eastAsia" w:ascii="黑体" w:hAnsi="黑体" w:eastAsia="黑体" w:cs="黑体"/>
                <w:kern w:val="0"/>
                <w:szCs w:val="21"/>
                <w:highlight w:val="none"/>
              </w:rPr>
            </w:pPr>
          </w:p>
        </w:tc>
        <w:tc>
          <w:tcPr>
            <w:tcW w:w="2910" w:type="dxa"/>
            <w:shd w:val="clear" w:color="auto" w:fill="auto"/>
            <w:vAlign w:val="center"/>
          </w:tcPr>
          <w:p>
            <w:pPr>
              <w:widowControl/>
              <w:spacing w:line="300" w:lineRule="exact"/>
              <w:rPr>
                <w:rFonts w:hint="eastAsia" w:ascii="黑体" w:hAnsi="黑体" w:eastAsia="黑体" w:cs="黑体"/>
                <w:kern w:val="0"/>
                <w:szCs w:val="21"/>
                <w:highlight w:val="none"/>
              </w:rPr>
            </w:pPr>
            <w:r>
              <w:rPr>
                <w:rFonts w:hint="eastAsia" w:ascii="黑体" w:hAnsi="黑体" w:eastAsia="黑体" w:cs="黑体"/>
                <w:highlight w:val="none"/>
              </w:rPr>
              <w:t>3.其他</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515"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51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52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6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71" w:type="dxa"/>
            <w:vMerge w:val="continue"/>
            <w:shd w:val="clear" w:color="auto" w:fill="auto"/>
            <w:tcMar>
              <w:left w:w="108" w:type="dxa"/>
              <w:right w:w="108" w:type="dxa"/>
            </w:tcMar>
            <w:vAlign w:val="center"/>
          </w:tcPr>
          <w:p>
            <w:pPr>
              <w:rPr>
                <w:rFonts w:hint="eastAsia" w:ascii="黑体" w:hAnsi="黑体" w:eastAsia="黑体" w:cs="黑体"/>
                <w:szCs w:val="21"/>
                <w:highlight w:val="none"/>
              </w:rPr>
            </w:pPr>
          </w:p>
        </w:tc>
        <w:tc>
          <w:tcPr>
            <w:tcW w:w="4080" w:type="dxa"/>
            <w:gridSpan w:val="2"/>
            <w:shd w:val="clear" w:color="auto" w:fill="auto"/>
            <w:tcMar>
              <w:left w:w="108" w:type="dxa"/>
              <w:right w:w="108" w:type="dxa"/>
            </w:tcMar>
            <w:vAlign w:val="center"/>
          </w:tcPr>
          <w:p>
            <w:pPr>
              <w:widowControl/>
              <w:spacing w:line="300" w:lineRule="exact"/>
              <w:rPr>
                <w:rFonts w:hint="eastAsia" w:ascii="黑体" w:hAnsi="黑体" w:eastAsia="黑体" w:cs="黑体"/>
                <w:kern w:val="0"/>
                <w:szCs w:val="21"/>
                <w:highlight w:val="none"/>
              </w:rPr>
            </w:pPr>
            <w:r>
              <w:rPr>
                <w:rFonts w:hint="eastAsia" w:ascii="黑体" w:hAnsi="黑体" w:eastAsia="黑体" w:cs="黑体"/>
                <w:kern w:val="0"/>
                <w:szCs w:val="21"/>
                <w:highlight w:val="none"/>
              </w:rPr>
              <w:t>（七）总计</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1</w:t>
            </w:r>
          </w:p>
        </w:tc>
        <w:tc>
          <w:tcPr>
            <w:tcW w:w="506"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52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6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651" w:type="dxa"/>
            <w:gridSpan w:val="3"/>
            <w:shd w:val="clear" w:color="auto" w:fill="auto"/>
            <w:tcMar>
              <w:left w:w="108" w:type="dxa"/>
              <w:right w:w="108" w:type="dxa"/>
            </w:tcMar>
            <w:vAlign w:val="center"/>
          </w:tcPr>
          <w:p>
            <w:pPr>
              <w:widowControl/>
              <w:spacing w:line="300" w:lineRule="exact"/>
              <w:rPr>
                <w:rFonts w:hint="eastAsia" w:ascii="黑体" w:hAnsi="黑体" w:eastAsia="黑体" w:cs="黑体"/>
                <w:kern w:val="0"/>
                <w:szCs w:val="21"/>
                <w:highlight w:val="none"/>
              </w:rPr>
            </w:pPr>
            <w:r>
              <w:rPr>
                <w:rFonts w:hint="eastAsia" w:ascii="黑体" w:hAnsi="黑体" w:eastAsia="黑体" w:cs="黑体"/>
                <w:kern w:val="0"/>
                <w:szCs w:val="21"/>
                <w:highlight w:val="none"/>
              </w:rPr>
              <w:t>四、结转下年度继续办理</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49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535"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52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c>
          <w:tcPr>
            <w:tcW w:w="6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黑体" w:hAnsi="黑体" w:eastAsia="黑体" w:cs="黑体"/>
                <w:kern w:val="2"/>
                <w:sz w:val="21"/>
                <w:szCs w:val="21"/>
                <w:highlight w:val="none"/>
                <w:lang w:val="en-US" w:eastAsia="zh-CN" w:bidi="ar-SA"/>
              </w:rPr>
            </w:pPr>
            <w:r>
              <w:rPr>
                <w:rFonts w:hint="eastAsia" w:ascii="黑体" w:hAnsi="黑体" w:eastAsia="黑体" w:cs="黑体"/>
                <w:szCs w:val="21"/>
                <w:highlight w:val="none"/>
                <w:lang w:val="en-US" w:eastAsia="zh-CN"/>
              </w:rPr>
              <w:t>0</w:t>
            </w:r>
          </w:p>
        </w:tc>
      </w:tr>
    </w:tbl>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b w:val="0"/>
          <w:bCs/>
          <w:i w:val="0"/>
          <w:caps w:val="0"/>
          <w:color w:val="333333"/>
          <w:spacing w:val="0"/>
          <w:kern w:val="0"/>
          <w:sz w:val="32"/>
          <w:szCs w:val="32"/>
          <w:highlight w:val="none"/>
          <w:shd w:val="clear" w:fill="FFFFFF"/>
          <w:lang w:val="en-US" w:eastAsia="zh-CN" w:bidi="ar"/>
        </w:rPr>
      </w:pPr>
      <w:r>
        <w:rPr>
          <w:rFonts w:hint="default" w:ascii="Times New Roman" w:hAnsi="Times New Roman" w:eastAsia="黑体" w:cs="Times New Roman"/>
          <w:b w:val="0"/>
          <w:bCs/>
          <w:i w:val="0"/>
          <w:caps w:val="0"/>
          <w:color w:val="333333"/>
          <w:spacing w:val="0"/>
          <w:kern w:val="0"/>
          <w:sz w:val="32"/>
          <w:szCs w:val="32"/>
          <w:highlight w:val="none"/>
          <w:shd w:val="clear" w:fill="FFFFFF"/>
          <w:lang w:val="en-US" w:eastAsia="zh-CN" w:bidi="ar"/>
        </w:rPr>
        <w:t>四、政府信息公开行政复议、行政诉讼情况</w:t>
      </w:r>
    </w:p>
    <w:tbl>
      <w:tblPr>
        <w:tblStyle w:val="4"/>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ind w:left="-149" w:leftChars="-71" w:right="-170" w:rightChars="-81"/>
              <w:jc w:val="center"/>
              <w:rPr>
                <w:rFonts w:hint="default" w:ascii="Times New Roman" w:hAnsi="Times New Roman" w:eastAsia="黑体" w:cs="Times New Roman"/>
                <w:kern w:val="0"/>
                <w:sz w:val="20"/>
                <w:szCs w:val="20"/>
                <w:highlight w:val="none"/>
              </w:rPr>
            </w:pPr>
            <w:r>
              <w:rPr>
                <w:rFonts w:hint="default" w:ascii="Times New Roman" w:hAnsi="Times New Roman" w:eastAsia="黑体" w:cs="Times New Roman"/>
                <w:kern w:val="0"/>
                <w:sz w:val="20"/>
                <w:szCs w:val="20"/>
                <w:highlight w:val="none"/>
              </w:rPr>
              <w:t>结果</w:t>
            </w:r>
          </w:p>
          <w:p>
            <w:pPr>
              <w:widowControl/>
              <w:ind w:left="-149" w:leftChars="-71" w:right="-170" w:rightChars="-81"/>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43" w:leftChars="-21" w:right="-132" w:rightChars="-63" w:hanging="1"/>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82" w:leftChars="-39" w:right="-97" w:rightChars="-46"/>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18" w:leftChars="-56" w:right="-118" w:rightChars="-56"/>
              <w:jc w:val="center"/>
              <w:rPr>
                <w:rFonts w:hint="default" w:ascii="Times New Roman" w:hAnsi="Times New Roman" w:eastAsia="黑体" w:cs="Times New Roman"/>
                <w:kern w:val="0"/>
                <w:sz w:val="20"/>
                <w:szCs w:val="20"/>
                <w:highlight w:val="none"/>
              </w:rPr>
            </w:pPr>
            <w:r>
              <w:rPr>
                <w:rFonts w:hint="default" w:ascii="Times New Roman" w:hAnsi="Times New Roman" w:eastAsia="黑体" w:cs="Times New Roman"/>
                <w:kern w:val="0"/>
                <w:sz w:val="20"/>
                <w:szCs w:val="20"/>
                <w:highlight w:val="none"/>
              </w:rPr>
              <w:t>尚未</w:t>
            </w:r>
          </w:p>
          <w:p>
            <w:pPr>
              <w:widowControl/>
              <w:ind w:left="-118" w:leftChars="-56" w:right="-118" w:rightChars="-56"/>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line="320" w:lineRule="exact"/>
              <w:jc w:val="center"/>
              <w:rPr>
                <w:rFonts w:hint="default" w:ascii="Times New Roman" w:hAnsi="Times New Roman" w:eastAsia="黑体" w:cs="Times New Roman"/>
                <w:kern w:val="0"/>
                <w:sz w:val="20"/>
                <w:szCs w:val="20"/>
                <w:highlight w:val="none"/>
              </w:rPr>
            </w:pPr>
            <w:r>
              <w:rPr>
                <w:rFonts w:hint="default" w:ascii="Times New Roman" w:hAnsi="Times New Roman" w:eastAsia="黑体" w:cs="Times New Roman"/>
                <w:kern w:val="0"/>
                <w:sz w:val="20"/>
                <w:szCs w:val="20"/>
                <w:highlight w:val="none"/>
              </w:rPr>
              <w:t>总</w:t>
            </w:r>
          </w:p>
          <w:p>
            <w:pPr>
              <w:widowControl/>
              <w:spacing w:line="320" w:lineRule="exact"/>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default" w:ascii="Times New Roman" w:hAnsi="Times New Roman" w:eastAsia="黑体" w:cs="Times New Roman"/>
                <w:sz w:val="24"/>
                <w:highlight w:val="none"/>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rPr>
                <w:rFonts w:hint="default" w:ascii="Times New Roman" w:hAnsi="Times New Roman" w:eastAsia="黑体" w:cs="Times New Roman"/>
                <w:sz w:val="24"/>
                <w:highlight w:val="none"/>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hint="default" w:ascii="Times New Roman" w:hAnsi="Times New Roman" w:eastAsia="黑体" w:cs="Times New Roman"/>
                <w:sz w:val="24"/>
                <w:highlight w:val="none"/>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hint="default" w:ascii="Times New Roman" w:hAnsi="Times New Roman" w:eastAsia="黑体" w:cs="Times New Roman"/>
                <w:sz w:val="24"/>
                <w:highlight w:val="none"/>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hint="default" w:ascii="Times New Roman" w:hAnsi="Times New Roman" w:eastAsia="黑体" w:cs="Times New Roman"/>
                <w:sz w:val="24"/>
                <w:highlight w:val="none"/>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105" w:leftChars="-50" w:right="-126" w:rightChars="-60"/>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86" w:leftChars="-41" w:right="-88" w:rightChars="-42"/>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26" w:leftChars="-60" w:right="-136" w:rightChars="-65"/>
              <w:jc w:val="center"/>
              <w:rPr>
                <w:rFonts w:hint="default" w:ascii="Times New Roman" w:hAnsi="Times New Roman" w:eastAsia="黑体" w:cs="Times New Roman"/>
                <w:kern w:val="0"/>
                <w:sz w:val="20"/>
                <w:szCs w:val="20"/>
                <w:highlight w:val="none"/>
              </w:rPr>
            </w:pPr>
            <w:r>
              <w:rPr>
                <w:rFonts w:hint="default" w:ascii="Times New Roman" w:hAnsi="Times New Roman" w:eastAsia="黑体" w:cs="Times New Roman"/>
                <w:kern w:val="0"/>
                <w:sz w:val="20"/>
                <w:szCs w:val="20"/>
                <w:highlight w:val="none"/>
              </w:rPr>
              <w:t>其他</w:t>
            </w:r>
          </w:p>
          <w:p>
            <w:pPr>
              <w:widowControl/>
              <w:ind w:left="-126" w:leftChars="-60" w:right="-136" w:rightChars="-65"/>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64" w:leftChars="-78" w:right="-153" w:rightChars="-73"/>
              <w:jc w:val="center"/>
              <w:rPr>
                <w:rFonts w:hint="default" w:ascii="Times New Roman" w:hAnsi="Times New Roman" w:eastAsia="黑体" w:cs="Times New Roman"/>
                <w:kern w:val="0"/>
                <w:sz w:val="20"/>
                <w:szCs w:val="20"/>
                <w:highlight w:val="none"/>
              </w:rPr>
            </w:pPr>
            <w:r>
              <w:rPr>
                <w:rFonts w:hint="default" w:ascii="Times New Roman" w:hAnsi="Times New Roman" w:eastAsia="黑体" w:cs="Times New Roman"/>
                <w:kern w:val="0"/>
                <w:sz w:val="20"/>
                <w:szCs w:val="20"/>
                <w:highlight w:val="none"/>
              </w:rPr>
              <w:t>尚未</w:t>
            </w:r>
          </w:p>
          <w:p>
            <w:pPr>
              <w:widowControl/>
              <w:ind w:left="-164" w:leftChars="-78" w:right="-153" w:rightChars="-73"/>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99" w:leftChars="-47" w:right="-78" w:rightChars="-37"/>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36" w:leftChars="-65" w:right="-124" w:rightChars="-59"/>
              <w:jc w:val="center"/>
              <w:rPr>
                <w:rFonts w:hint="default" w:ascii="Times New Roman" w:hAnsi="Times New Roman" w:eastAsia="黑体" w:cs="Times New Roman"/>
                <w:kern w:val="0"/>
                <w:sz w:val="20"/>
                <w:szCs w:val="20"/>
                <w:highlight w:val="none"/>
              </w:rPr>
            </w:pPr>
            <w:r>
              <w:rPr>
                <w:rFonts w:hint="default" w:ascii="Times New Roman" w:hAnsi="Times New Roman" w:eastAsia="黑体" w:cs="Times New Roman"/>
                <w:kern w:val="0"/>
                <w:sz w:val="20"/>
                <w:szCs w:val="20"/>
                <w:highlight w:val="none"/>
              </w:rPr>
              <w:t>结果</w:t>
            </w:r>
          </w:p>
          <w:p>
            <w:pPr>
              <w:widowControl/>
              <w:ind w:left="-136" w:leftChars="-65" w:right="-124" w:rightChars="-59"/>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73" w:leftChars="-83" w:right="-134" w:rightChars="-64" w:hanging="1"/>
              <w:jc w:val="center"/>
              <w:rPr>
                <w:rFonts w:hint="default" w:ascii="Times New Roman" w:hAnsi="Times New Roman" w:eastAsia="黑体" w:cs="Times New Roman"/>
                <w:kern w:val="0"/>
                <w:sz w:val="20"/>
                <w:szCs w:val="20"/>
                <w:highlight w:val="none"/>
              </w:rPr>
            </w:pPr>
            <w:r>
              <w:rPr>
                <w:rFonts w:hint="default" w:ascii="Times New Roman" w:hAnsi="Times New Roman" w:eastAsia="黑体" w:cs="Times New Roman"/>
                <w:kern w:val="0"/>
                <w:sz w:val="20"/>
                <w:szCs w:val="20"/>
                <w:highlight w:val="none"/>
              </w:rPr>
              <w:t>其他</w:t>
            </w:r>
          </w:p>
          <w:p>
            <w:pPr>
              <w:widowControl/>
              <w:ind w:left="-173" w:leftChars="-83" w:right="-134" w:rightChars="-64" w:hanging="1"/>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67" w:leftChars="-33" w:right="-105" w:rightChars="-50" w:hanging="2" w:hangingChars="1"/>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highlight w:val="none"/>
              </w:rPr>
            </w:pPr>
            <w:r>
              <w:rPr>
                <w:rFonts w:hint="default" w:ascii="Times New Roman" w:hAnsi="Times New Roman" w:eastAsia="黑体" w:cs="Times New Roman"/>
                <w:kern w:val="0"/>
                <w:sz w:val="20"/>
                <w:szCs w:val="20"/>
                <w:highlight w:val="none"/>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kern w:val="2"/>
                <w:sz w:val="21"/>
                <w:szCs w:val="21"/>
                <w:highlight w:val="none"/>
                <w:lang w:val="en-US" w:eastAsia="zh-CN" w:bidi="ar-SA"/>
              </w:rPr>
            </w:pPr>
            <w:r>
              <w:rPr>
                <w:rFonts w:hint="default" w:ascii="Times New Roman" w:hAnsi="Times New Roman" w:eastAsia="仿宋_GB2312" w:cs="Times New Roman"/>
                <w:szCs w:val="21"/>
                <w:highlight w:val="none"/>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kern w:val="2"/>
                <w:sz w:val="21"/>
                <w:szCs w:val="21"/>
                <w:highlight w:val="none"/>
                <w:lang w:val="en-US" w:eastAsia="zh-CN" w:bidi="ar-SA"/>
              </w:rPr>
            </w:pPr>
            <w:r>
              <w:rPr>
                <w:rFonts w:hint="default" w:ascii="Times New Roman" w:hAnsi="Times New Roman" w:eastAsia="仿宋_GB2312" w:cs="Times New Roman"/>
                <w:szCs w:val="21"/>
                <w:highlight w:val="none"/>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kern w:val="2"/>
                <w:sz w:val="21"/>
                <w:szCs w:val="21"/>
                <w:highlight w:val="none"/>
                <w:lang w:val="en-US" w:eastAsia="zh-CN" w:bidi="ar-SA"/>
              </w:rPr>
            </w:pPr>
            <w:r>
              <w:rPr>
                <w:rFonts w:hint="default" w:ascii="Times New Roman" w:hAnsi="Times New Roman" w:eastAsia="仿宋_GB2312" w:cs="Times New Roman"/>
                <w:szCs w:val="21"/>
                <w:highlight w:val="none"/>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kern w:val="2"/>
                <w:sz w:val="21"/>
                <w:szCs w:val="21"/>
                <w:highlight w:val="none"/>
                <w:lang w:val="en-US" w:eastAsia="zh-CN" w:bidi="ar-SA"/>
              </w:rPr>
            </w:pPr>
            <w:r>
              <w:rPr>
                <w:rFonts w:hint="default" w:ascii="Times New Roman" w:hAnsi="Times New Roman" w:eastAsia="仿宋_GB2312" w:cs="Times New Roman"/>
                <w:szCs w:val="21"/>
                <w:highlight w:val="none"/>
                <w:lang w:val="en-US" w:eastAsia="zh-CN"/>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kern w:val="2"/>
                <w:sz w:val="21"/>
                <w:szCs w:val="21"/>
                <w:highlight w:val="none"/>
                <w:lang w:val="en-US" w:eastAsia="zh-CN" w:bidi="ar-SA"/>
              </w:rPr>
            </w:pPr>
            <w:r>
              <w:rPr>
                <w:rFonts w:hint="default" w:ascii="Times New Roman" w:hAnsi="Times New Roman" w:eastAsia="仿宋_GB2312" w:cs="Times New Roman"/>
                <w:szCs w:val="21"/>
                <w:highlight w:val="none"/>
                <w:lang w:val="en-US" w:eastAsia="zh-CN"/>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kern w:val="2"/>
                <w:sz w:val="21"/>
                <w:szCs w:val="21"/>
                <w:highlight w:val="none"/>
                <w:lang w:val="en-US" w:eastAsia="zh-CN" w:bidi="ar-SA"/>
              </w:rPr>
            </w:pPr>
            <w:r>
              <w:rPr>
                <w:rFonts w:hint="default" w:ascii="Times New Roman" w:hAnsi="Times New Roman" w:eastAsia="仿宋_GB2312" w:cs="Times New Roman"/>
                <w:szCs w:val="21"/>
                <w:highlight w:val="none"/>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kern w:val="2"/>
                <w:sz w:val="21"/>
                <w:szCs w:val="21"/>
                <w:highlight w:val="none"/>
                <w:lang w:val="en-US" w:eastAsia="zh-CN" w:bidi="ar-SA"/>
              </w:rPr>
            </w:pPr>
            <w:r>
              <w:rPr>
                <w:rFonts w:hint="default" w:ascii="Times New Roman" w:hAnsi="Times New Roman" w:eastAsia="仿宋_GB2312" w:cs="Times New Roman"/>
                <w:szCs w:val="21"/>
                <w:highlight w:val="none"/>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kern w:val="2"/>
                <w:sz w:val="21"/>
                <w:szCs w:val="21"/>
                <w:highlight w:val="none"/>
                <w:lang w:val="en-US" w:eastAsia="zh-CN" w:bidi="ar-SA"/>
              </w:rPr>
            </w:pPr>
            <w:r>
              <w:rPr>
                <w:rFonts w:hint="default" w:ascii="Times New Roman" w:hAnsi="Times New Roman" w:eastAsia="仿宋_GB2312" w:cs="Times New Roman"/>
                <w:szCs w:val="21"/>
                <w:highlight w:val="none"/>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kern w:val="2"/>
                <w:sz w:val="21"/>
                <w:szCs w:val="21"/>
                <w:highlight w:val="none"/>
                <w:lang w:val="en-US" w:eastAsia="zh-CN" w:bidi="ar-SA"/>
              </w:rPr>
            </w:pPr>
            <w:r>
              <w:rPr>
                <w:rFonts w:hint="default" w:ascii="Times New Roman" w:hAnsi="Times New Roman" w:eastAsia="仿宋_GB2312" w:cs="Times New Roman"/>
                <w:szCs w:val="21"/>
                <w:highlight w:val="none"/>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kern w:val="2"/>
                <w:sz w:val="21"/>
                <w:szCs w:val="21"/>
                <w:highlight w:val="none"/>
                <w:lang w:val="en-US" w:eastAsia="zh-CN" w:bidi="ar-SA"/>
              </w:rPr>
            </w:pPr>
            <w:r>
              <w:rPr>
                <w:rFonts w:hint="default" w:ascii="Times New Roman" w:hAnsi="Times New Roman" w:eastAsia="仿宋_GB2312" w:cs="Times New Roman"/>
                <w:szCs w:val="21"/>
                <w:highlight w:val="none"/>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kern w:val="2"/>
                <w:sz w:val="21"/>
                <w:szCs w:val="21"/>
                <w:highlight w:val="none"/>
                <w:lang w:val="en-US" w:eastAsia="zh-CN" w:bidi="ar-SA"/>
              </w:rPr>
            </w:pPr>
            <w:r>
              <w:rPr>
                <w:rFonts w:hint="default" w:ascii="Times New Roman" w:hAnsi="Times New Roman" w:eastAsia="仿宋_GB2312" w:cs="Times New Roman"/>
                <w:szCs w:val="21"/>
                <w:highlight w:val="none"/>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kern w:val="2"/>
                <w:sz w:val="21"/>
                <w:szCs w:val="21"/>
                <w:highlight w:val="none"/>
                <w:lang w:val="en-US" w:eastAsia="zh-CN" w:bidi="ar-SA"/>
              </w:rPr>
            </w:pPr>
            <w:r>
              <w:rPr>
                <w:rFonts w:hint="default" w:ascii="Times New Roman" w:hAnsi="Times New Roman" w:eastAsia="仿宋_GB2312" w:cs="Times New Roman"/>
                <w:szCs w:val="21"/>
                <w:highlight w:val="none"/>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kern w:val="2"/>
                <w:sz w:val="21"/>
                <w:szCs w:val="21"/>
                <w:highlight w:val="none"/>
                <w:lang w:val="en-US" w:eastAsia="zh-CN" w:bidi="ar-SA"/>
              </w:rPr>
            </w:pPr>
            <w:r>
              <w:rPr>
                <w:rFonts w:hint="default" w:ascii="Times New Roman" w:hAnsi="Times New Roman" w:eastAsia="仿宋_GB2312" w:cs="Times New Roman"/>
                <w:szCs w:val="21"/>
                <w:highlight w:val="none"/>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kern w:val="2"/>
                <w:sz w:val="21"/>
                <w:szCs w:val="21"/>
                <w:highlight w:val="none"/>
                <w:lang w:val="en-US" w:eastAsia="zh-CN" w:bidi="ar-SA"/>
              </w:rPr>
            </w:pPr>
            <w:r>
              <w:rPr>
                <w:rFonts w:hint="default" w:ascii="Times New Roman" w:hAnsi="Times New Roman" w:eastAsia="仿宋_GB2312" w:cs="Times New Roman"/>
                <w:szCs w:val="21"/>
                <w:highlight w:val="none"/>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eastAsiaTheme="minorEastAsia"/>
                <w:highlight w:val="none"/>
                <w:lang w:val="en-US" w:eastAsia="zh-CN"/>
              </w:rPr>
            </w:pPr>
            <w:r>
              <w:rPr>
                <w:rFonts w:hint="default" w:ascii="Times New Roman" w:hAnsi="Times New Roman" w:cs="Times New Roman"/>
                <w:highlight w:val="none"/>
                <w:lang w:val="en-US" w:eastAsia="zh-CN"/>
              </w:rPr>
              <w:t>0</w:t>
            </w:r>
          </w:p>
        </w:tc>
      </w:tr>
    </w:tbl>
    <w:p>
      <w:pPr>
        <w:pStyle w:val="3"/>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10" w:leftChars="0" w:right="0" w:firstLine="640" w:firstLineChars="0"/>
        <w:jc w:val="both"/>
        <w:textAlignment w:val="auto"/>
        <w:rPr>
          <w:rFonts w:hint="eastAsia" w:ascii="黑体" w:hAnsi="黑体" w:eastAsia="黑体" w:cs="黑体"/>
          <w:b w:val="0"/>
          <w:bCs/>
          <w:i w:val="0"/>
          <w:caps w:val="0"/>
          <w:color w:val="333333"/>
          <w:spacing w:val="0"/>
          <w:kern w:val="0"/>
          <w:sz w:val="32"/>
          <w:szCs w:val="32"/>
          <w:highlight w:val="none"/>
          <w:shd w:val="clear" w:fill="FFFFFF"/>
          <w:lang w:val="en-US" w:eastAsia="zh-CN" w:bidi="ar"/>
        </w:rPr>
      </w:pPr>
      <w:r>
        <w:rPr>
          <w:rFonts w:hint="eastAsia" w:ascii="黑体" w:hAnsi="黑体" w:eastAsia="黑体" w:cs="黑体"/>
          <w:b w:val="0"/>
          <w:bCs/>
          <w:i w:val="0"/>
          <w:caps w:val="0"/>
          <w:color w:val="333333"/>
          <w:spacing w:val="0"/>
          <w:kern w:val="0"/>
          <w:sz w:val="32"/>
          <w:szCs w:val="32"/>
          <w:highlight w:val="none"/>
          <w:shd w:val="clear" w:fill="FFFFFF"/>
          <w:lang w:val="en-US" w:eastAsia="zh-CN" w:bidi="ar"/>
        </w:rPr>
        <w:t>存在的主要问题及改进情况</w:t>
      </w:r>
    </w:p>
    <w:p>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eastAsia"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（一）存在的主要问题。一是公开的</w:t>
      </w:r>
      <w:r>
        <w:rPr>
          <w:rFonts w:hint="eastAsia" w:ascii="Times New Roman" w:hAnsi="Times New Roman" w:eastAsia="仿宋_GB2312" w:cs="Times New Roman"/>
          <w:sz w:val="32"/>
          <w:szCs w:val="32"/>
          <w:highlight w:val="none"/>
          <w:lang w:eastAsia="zh-CN"/>
        </w:rPr>
        <w:t>创新</w:t>
      </w:r>
      <w:r>
        <w:rPr>
          <w:rFonts w:hint="eastAsia" w:ascii="Times New Roman" w:hAnsi="Times New Roman" w:eastAsia="仿宋_GB2312" w:cs="Times New Roman"/>
          <w:sz w:val="32"/>
          <w:szCs w:val="32"/>
          <w:highlight w:val="none"/>
        </w:rPr>
        <w:t>性不够。以完成</w:t>
      </w:r>
      <w:r>
        <w:rPr>
          <w:rFonts w:hint="eastAsia" w:ascii="Times New Roman" w:hAnsi="Times New Roman" w:eastAsia="仿宋_GB2312" w:cs="Times New Roman"/>
          <w:sz w:val="32"/>
          <w:szCs w:val="32"/>
          <w:highlight w:val="none"/>
          <w:lang w:eastAsia="zh-CN"/>
        </w:rPr>
        <w:t>区</w:t>
      </w:r>
      <w:r>
        <w:rPr>
          <w:rFonts w:hint="eastAsia" w:ascii="Times New Roman" w:hAnsi="Times New Roman" w:eastAsia="仿宋_GB2312" w:cs="Times New Roman"/>
          <w:sz w:val="32"/>
          <w:szCs w:val="32"/>
          <w:highlight w:val="none"/>
        </w:rPr>
        <w:t>政府部署的工作要点任务为主，主动研究、创新优化的较少。二是信息发布的</w:t>
      </w:r>
      <w:r>
        <w:rPr>
          <w:rFonts w:hint="eastAsia" w:ascii="Times New Roman" w:hAnsi="Times New Roman" w:eastAsia="仿宋_GB2312" w:cs="Times New Roman"/>
          <w:sz w:val="32"/>
          <w:szCs w:val="32"/>
          <w:highlight w:val="none"/>
          <w:lang w:eastAsia="zh-CN"/>
        </w:rPr>
        <w:t>审核力度</w:t>
      </w:r>
      <w:r>
        <w:rPr>
          <w:rFonts w:hint="eastAsia" w:ascii="Times New Roman" w:hAnsi="Times New Roman" w:eastAsia="仿宋_GB2312" w:cs="Times New Roman"/>
          <w:sz w:val="32"/>
          <w:szCs w:val="32"/>
          <w:highlight w:val="none"/>
        </w:rPr>
        <w:t>不</w:t>
      </w:r>
      <w:r>
        <w:rPr>
          <w:rFonts w:hint="eastAsia" w:ascii="Times New Roman" w:hAnsi="Times New Roman" w:eastAsia="仿宋_GB2312" w:cs="Times New Roman"/>
          <w:sz w:val="32"/>
          <w:szCs w:val="32"/>
          <w:highlight w:val="none"/>
          <w:lang w:eastAsia="zh-CN"/>
        </w:rPr>
        <w:t>足</w:t>
      </w:r>
      <w:r>
        <w:rPr>
          <w:rFonts w:hint="eastAsia" w:ascii="Times New Roman" w:hAnsi="Times New Roman" w:eastAsia="仿宋_GB2312" w:cs="Times New Roman"/>
          <w:sz w:val="32"/>
          <w:szCs w:val="32"/>
          <w:highlight w:val="none"/>
        </w:rPr>
        <w:t>。错别字问题</w:t>
      </w:r>
      <w:r>
        <w:rPr>
          <w:rFonts w:hint="eastAsia" w:ascii="Times New Roman" w:hAnsi="Times New Roman" w:eastAsia="仿宋_GB2312" w:cs="Times New Roman"/>
          <w:sz w:val="32"/>
          <w:szCs w:val="32"/>
          <w:highlight w:val="none"/>
          <w:lang w:eastAsia="zh-CN"/>
        </w:rPr>
        <w:t>仍然存在</w:t>
      </w:r>
      <w:r>
        <w:rPr>
          <w:rFonts w:hint="eastAsia" w:ascii="Times New Roman" w:hAnsi="Times New Roman" w:eastAsia="仿宋_GB2312" w:cs="Times New Roman"/>
          <w:sz w:val="32"/>
          <w:szCs w:val="32"/>
          <w:highlight w:val="none"/>
        </w:rPr>
        <w:t>。</w:t>
      </w:r>
    </w:p>
    <w:p>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eastAsia"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（二）改进措施。</w:t>
      </w:r>
      <w:r>
        <w:rPr>
          <w:rFonts w:hint="eastAsia" w:ascii="Times New Roman" w:hAnsi="Times New Roman" w:eastAsia="仿宋_GB2312" w:cs="Times New Roman"/>
          <w:sz w:val="32"/>
          <w:szCs w:val="32"/>
          <w:highlight w:val="none"/>
          <w:lang w:eastAsia="zh-CN"/>
        </w:rPr>
        <w:t>一</w:t>
      </w:r>
      <w:r>
        <w:rPr>
          <w:rFonts w:hint="eastAsia" w:ascii="Times New Roman" w:hAnsi="Times New Roman" w:eastAsia="仿宋_GB2312" w:cs="Times New Roman"/>
          <w:sz w:val="32"/>
          <w:szCs w:val="32"/>
          <w:highlight w:val="none"/>
        </w:rPr>
        <w:t>是</w:t>
      </w:r>
      <w:r>
        <w:rPr>
          <w:rFonts w:hint="eastAsia" w:ascii="Times New Roman" w:hAnsi="Times New Roman" w:eastAsia="仿宋_GB2312" w:cs="Times New Roman"/>
          <w:sz w:val="32"/>
          <w:szCs w:val="32"/>
          <w:highlight w:val="none"/>
        </w:rPr>
        <w:t>加强政务公开工作的沟通交流，</w:t>
      </w:r>
      <w:r>
        <w:rPr>
          <w:rFonts w:hint="eastAsia" w:ascii="Times New Roman" w:hAnsi="Times New Roman" w:eastAsia="仿宋_GB2312" w:cs="Times New Roman"/>
          <w:sz w:val="32"/>
          <w:szCs w:val="32"/>
          <w:highlight w:val="none"/>
        </w:rPr>
        <w:t>学习先进区县局优秀做法，</w:t>
      </w:r>
      <w:r>
        <w:rPr>
          <w:rFonts w:hint="eastAsia" w:ascii="Times New Roman" w:hAnsi="Times New Roman" w:eastAsia="仿宋_GB2312" w:cs="Times New Roman"/>
          <w:sz w:val="32"/>
          <w:szCs w:val="32"/>
          <w:highlight w:val="none"/>
          <w:lang w:eastAsia="zh-CN"/>
        </w:rPr>
        <w:t>改</w:t>
      </w:r>
      <w:r>
        <w:rPr>
          <w:rFonts w:hint="eastAsia" w:ascii="Times New Roman" w:hAnsi="Times New Roman" w:eastAsia="仿宋_GB2312" w:cs="Times New Roman"/>
          <w:sz w:val="32"/>
          <w:szCs w:val="32"/>
          <w:highlight w:val="none"/>
        </w:rPr>
        <w:t>进我局政务公开工作水平。</w:t>
      </w:r>
      <w:r>
        <w:rPr>
          <w:rFonts w:hint="eastAsia" w:ascii="Times New Roman" w:hAnsi="Times New Roman" w:eastAsia="仿宋_GB2312" w:cs="Times New Roman"/>
          <w:sz w:val="32"/>
          <w:szCs w:val="32"/>
          <w:highlight w:val="none"/>
          <w:lang w:eastAsia="zh-CN"/>
        </w:rPr>
        <w:t>二是</w:t>
      </w:r>
      <w:r>
        <w:rPr>
          <w:rFonts w:hint="eastAsia" w:ascii="Times New Roman" w:hAnsi="Times New Roman" w:eastAsia="仿宋_GB2312" w:cs="Times New Roman"/>
          <w:sz w:val="32"/>
          <w:szCs w:val="32"/>
          <w:highlight w:val="none"/>
          <w:lang w:eastAsia="zh-CN"/>
        </w:rPr>
        <w:t>强化</w:t>
      </w:r>
      <w:r>
        <w:rPr>
          <w:rFonts w:hint="eastAsia" w:ascii="Times New Roman" w:hAnsi="Times New Roman" w:eastAsia="仿宋_GB2312" w:cs="Times New Roman"/>
          <w:sz w:val="32"/>
          <w:szCs w:val="32"/>
          <w:highlight w:val="none"/>
        </w:rPr>
        <w:t>政务公开工作</w:t>
      </w:r>
      <w:r>
        <w:rPr>
          <w:rFonts w:hint="eastAsia" w:ascii="Times New Roman" w:hAnsi="Times New Roman" w:eastAsia="仿宋_GB2312" w:cs="Times New Roman"/>
          <w:sz w:val="32"/>
          <w:szCs w:val="32"/>
          <w:highlight w:val="none"/>
          <w:lang w:eastAsia="zh-CN"/>
        </w:rPr>
        <w:t>研究</w:t>
      </w:r>
      <w:r>
        <w:rPr>
          <w:rFonts w:hint="eastAsia" w:ascii="Times New Roman" w:hAnsi="Times New Roman" w:eastAsia="仿宋_GB2312" w:cs="Times New Roman"/>
          <w:sz w:val="32"/>
          <w:szCs w:val="32"/>
          <w:highlight w:val="none"/>
          <w:lang w:eastAsia="zh-CN"/>
        </w:rPr>
        <w:t>，创新工作方法，拓宽群众获取政府信息渠道。</w:t>
      </w:r>
      <w:r>
        <w:rPr>
          <w:rFonts w:hint="eastAsia" w:ascii="Times New Roman" w:hAnsi="Times New Roman" w:eastAsia="仿宋_GB2312" w:cs="Times New Roman"/>
          <w:sz w:val="32"/>
          <w:szCs w:val="32"/>
          <w:highlight w:val="none"/>
        </w:rPr>
        <w:t>三是</w:t>
      </w:r>
      <w:r>
        <w:rPr>
          <w:rFonts w:hint="eastAsia" w:ascii="Times New Roman" w:hAnsi="Times New Roman" w:eastAsia="仿宋_GB2312" w:cs="Times New Roman"/>
          <w:sz w:val="32"/>
          <w:szCs w:val="32"/>
          <w:highlight w:val="none"/>
          <w:lang w:eastAsia="zh-CN"/>
        </w:rPr>
        <w:t>持续</w:t>
      </w:r>
      <w:r>
        <w:rPr>
          <w:rFonts w:hint="eastAsia" w:ascii="Times New Roman" w:hAnsi="Times New Roman" w:eastAsia="仿宋_GB2312" w:cs="Times New Roman"/>
          <w:sz w:val="32"/>
          <w:szCs w:val="32"/>
          <w:highlight w:val="none"/>
        </w:rPr>
        <w:t>开展政务公开工作培训</w:t>
      </w:r>
      <w:r>
        <w:rPr>
          <w:rFonts w:hint="eastAsia" w:ascii="Times New Roman" w:hAnsi="Times New Roman" w:eastAsia="仿宋_GB2312" w:cs="Times New Roman"/>
          <w:sz w:val="32"/>
          <w:szCs w:val="32"/>
          <w:highlight w:val="none"/>
        </w:rPr>
        <w:t>。进一步强化做好政务公开工作的意识，明确工作要求，</w:t>
      </w:r>
      <w:r>
        <w:rPr>
          <w:rFonts w:hint="eastAsia" w:ascii="Times New Roman" w:hAnsi="Times New Roman" w:eastAsia="仿宋_GB2312" w:cs="Times New Roman"/>
          <w:sz w:val="32"/>
          <w:szCs w:val="32"/>
          <w:highlight w:val="none"/>
          <w:lang w:eastAsia="zh-CN"/>
        </w:rPr>
        <w:t>严格发布深刻，确保信息准确</w:t>
      </w:r>
      <w:r>
        <w:rPr>
          <w:rFonts w:hint="eastAsia" w:ascii="Times New Roman" w:hAnsi="Times New Roman" w:eastAsia="仿宋_GB2312" w:cs="Times New Roman"/>
          <w:sz w:val="32"/>
          <w:szCs w:val="32"/>
          <w:highlight w:val="none"/>
        </w:rPr>
        <w:t>。</w:t>
      </w:r>
    </w:p>
    <w:p>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right="0" w:firstLine="645"/>
        <w:jc w:val="both"/>
        <w:textAlignment w:val="auto"/>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六、其他需要报告的事项</w:t>
      </w:r>
    </w:p>
    <w:p>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right="0" w:firstLine="645"/>
        <w:jc w:val="both"/>
        <w:textAlignment w:val="auto"/>
        <w:rPr>
          <w:rFonts w:hint="eastAsia" w:ascii="Times New Roman" w:hAnsi="Times New Roman" w:eastAsia="楷体_GB2312" w:cs="Times New Roman"/>
          <w:sz w:val="32"/>
          <w:szCs w:val="32"/>
          <w:highlight w:val="none"/>
          <w:lang w:eastAsia="zh-CN"/>
        </w:rPr>
      </w:pPr>
      <w:r>
        <w:rPr>
          <w:rFonts w:hint="default" w:ascii="Times New Roman" w:hAnsi="Times New Roman" w:cs="Times New Roman"/>
          <w:sz w:val="32"/>
          <w:szCs w:val="32"/>
          <w:highlight w:val="none"/>
        </w:rPr>
        <w:t>1</w:t>
      </w:r>
      <w:r>
        <w:rPr>
          <w:rFonts w:hint="default" w:ascii="Times New Roman" w:hAnsi="Times New Roman" w:eastAsia="仿宋_GB2312" w:cs="Times New Roman"/>
          <w:sz w:val="32"/>
          <w:szCs w:val="32"/>
          <w:highlight w:val="none"/>
        </w:rPr>
        <w:t>.</w:t>
      </w:r>
      <w:r>
        <w:rPr>
          <w:rFonts w:hint="default" w:ascii="Times New Roman" w:hAnsi="Times New Roman" w:eastAsia="楷体_GB2312" w:cs="Times New Roman"/>
          <w:sz w:val="32"/>
          <w:szCs w:val="32"/>
          <w:highlight w:val="none"/>
        </w:rPr>
        <w:t>政府信息公开收费方面</w:t>
      </w:r>
      <w:r>
        <w:rPr>
          <w:rFonts w:hint="eastAsia" w:ascii="Times New Roman" w:hAnsi="Times New Roman" w:eastAsia="楷体_GB2312" w:cs="Times New Roman"/>
          <w:sz w:val="32"/>
          <w:szCs w:val="32"/>
          <w:highlight w:val="none"/>
          <w:lang w:eastAsia="zh-CN"/>
        </w:rPr>
        <w:t>。</w:t>
      </w:r>
    </w:p>
    <w:p>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right="0" w:firstLine="645"/>
        <w:jc w:val="both"/>
        <w:textAlignment w:val="auto"/>
        <w:rPr>
          <w:rFonts w:hint="eastAsia" w:ascii="Times New Roman" w:hAnsi="Times New Roman" w:eastAsia="仿宋_GB2312" w:cs="Times New Roman"/>
          <w:sz w:val="32"/>
          <w:szCs w:val="32"/>
          <w:highlight w:val="none"/>
          <w:u w:val="single"/>
          <w:lang w:val="en-US" w:eastAsia="zh-CN"/>
        </w:rPr>
      </w:pPr>
      <w:r>
        <w:rPr>
          <w:rFonts w:hint="default" w:ascii="Times New Roman" w:hAnsi="Times New Roman" w:cs="Times New Roman"/>
          <w:sz w:val="32"/>
          <w:szCs w:val="32"/>
          <w:highlight w:val="none"/>
        </w:rPr>
        <w:t>202</w:t>
      </w:r>
      <w:r>
        <w:rPr>
          <w:rFonts w:hint="eastAsia" w:ascii="Times New Roman" w:hAnsi="Times New Roman" w:cs="Times New Roman"/>
          <w:sz w:val="32"/>
          <w:szCs w:val="32"/>
          <w:highlight w:val="none"/>
          <w:lang w:val="en-US" w:eastAsia="zh-CN"/>
        </w:rPr>
        <w:t>3</w:t>
      </w:r>
      <w:r>
        <w:rPr>
          <w:rFonts w:hint="default" w:ascii="Times New Roman" w:hAnsi="Times New Roman" w:eastAsia="仿宋_GB2312" w:cs="Times New Roman"/>
          <w:sz w:val="32"/>
          <w:szCs w:val="32"/>
          <w:highlight w:val="none"/>
        </w:rPr>
        <w:t>年</w:t>
      </w:r>
      <w:r>
        <w:rPr>
          <w:rFonts w:hint="eastAsia" w:ascii="Times New Roman" w:hAnsi="Times New Roman" w:eastAsia="仿宋_GB2312" w:cs="Times New Roman"/>
          <w:sz w:val="32"/>
          <w:szCs w:val="32"/>
          <w:highlight w:val="none"/>
          <w:lang w:val="en-US" w:eastAsia="zh-CN"/>
        </w:rPr>
        <w:t>威海市环翠区工信局</w:t>
      </w:r>
      <w:r>
        <w:rPr>
          <w:rFonts w:hint="default" w:ascii="Times New Roman" w:hAnsi="Times New Roman" w:eastAsia="仿宋_GB2312" w:cs="Times New Roman"/>
          <w:sz w:val="32"/>
          <w:szCs w:val="32"/>
          <w:highlight w:val="none"/>
        </w:rPr>
        <w:t>未收取政府信息公开信息处理费。</w:t>
      </w:r>
      <w:bookmarkStart w:id="0" w:name="_GoBack"/>
      <w:bookmarkEnd w:id="0"/>
    </w:p>
    <w:p>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eastAsia" w:ascii="Times New Roman" w:hAnsi="Times New Roman" w:eastAsia="楷体_GB2312" w:cs="Times New Roman"/>
          <w:sz w:val="32"/>
          <w:szCs w:val="32"/>
          <w:highlight w:val="none"/>
          <w:lang w:eastAsia="zh-CN"/>
        </w:rPr>
      </w:pPr>
      <w:r>
        <w:rPr>
          <w:rFonts w:hint="default" w:ascii="Times New Roman" w:hAnsi="Times New Roman" w:cs="Times New Roman"/>
          <w:sz w:val="32"/>
          <w:szCs w:val="32"/>
          <w:highlight w:val="none"/>
        </w:rPr>
        <w:t>2</w:t>
      </w:r>
      <w:r>
        <w:rPr>
          <w:rFonts w:hint="default" w:ascii="Times New Roman" w:hAnsi="Times New Roman" w:eastAsia="仿宋_GB2312" w:cs="Times New Roman"/>
          <w:sz w:val="32"/>
          <w:szCs w:val="32"/>
          <w:highlight w:val="none"/>
        </w:rPr>
        <w:t>.</w:t>
      </w:r>
      <w:r>
        <w:rPr>
          <w:rFonts w:hint="default" w:ascii="Times New Roman" w:hAnsi="Times New Roman" w:eastAsia="楷体_GB2312" w:cs="Times New Roman"/>
          <w:sz w:val="32"/>
          <w:szCs w:val="32"/>
          <w:highlight w:val="none"/>
        </w:rPr>
        <w:t>人大代表、政协委员提案办理方面</w:t>
      </w:r>
      <w:r>
        <w:rPr>
          <w:rFonts w:hint="eastAsia" w:ascii="Times New Roman" w:hAnsi="Times New Roman" w:eastAsia="楷体_GB2312" w:cs="Times New Roman"/>
          <w:sz w:val="32"/>
          <w:szCs w:val="32"/>
          <w:highlight w:val="none"/>
          <w:lang w:eastAsia="zh-CN"/>
        </w:rPr>
        <w:t>。</w:t>
      </w:r>
    </w:p>
    <w:p>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eastAsia" w:ascii="Times New Roman" w:hAnsi="Times New Roman" w:eastAsia="仿宋_GB2312" w:cs="Times New Roman"/>
          <w:sz w:val="32"/>
          <w:szCs w:val="32"/>
          <w:highlight w:val="none"/>
          <w:lang w:eastAsia="zh-CN"/>
        </w:rPr>
      </w:pPr>
      <w:r>
        <w:rPr>
          <w:rFonts w:hint="default" w:ascii="Times New Roman" w:hAnsi="Times New Roman" w:cs="Times New Roman"/>
          <w:sz w:val="32"/>
          <w:szCs w:val="32"/>
          <w:highlight w:val="none"/>
        </w:rPr>
        <w:t>202</w:t>
      </w:r>
      <w:r>
        <w:rPr>
          <w:rFonts w:hint="eastAsia" w:ascii="Times New Roman" w:hAnsi="Times New Roman" w:cs="Times New Roman"/>
          <w:sz w:val="32"/>
          <w:szCs w:val="32"/>
          <w:highlight w:val="none"/>
          <w:lang w:val="en-US" w:eastAsia="zh-CN"/>
        </w:rPr>
        <w:t>3</w:t>
      </w:r>
      <w:r>
        <w:rPr>
          <w:rFonts w:hint="default" w:ascii="Times New Roman" w:hAnsi="Times New Roman" w:eastAsia="仿宋_GB2312" w:cs="Times New Roman"/>
          <w:sz w:val="32"/>
          <w:szCs w:val="32"/>
          <w:highlight w:val="none"/>
        </w:rPr>
        <w:t>年</w:t>
      </w:r>
      <w:r>
        <w:rPr>
          <w:rFonts w:hint="eastAsia" w:ascii="Times New Roman" w:hAnsi="Times New Roman" w:eastAsia="仿宋_GB2312" w:cs="Times New Roman"/>
          <w:sz w:val="32"/>
          <w:szCs w:val="32"/>
          <w:highlight w:val="none"/>
          <w:lang w:val="en-US" w:eastAsia="zh-CN"/>
        </w:rPr>
        <w:t>威海市环翠区工信局</w:t>
      </w:r>
      <w:r>
        <w:rPr>
          <w:rFonts w:hint="eastAsia" w:ascii="Times New Roman" w:hAnsi="Times New Roman" w:eastAsia="仿宋_GB2312" w:cs="Times New Roman"/>
          <w:sz w:val="32"/>
          <w:szCs w:val="32"/>
          <w:highlight w:val="none"/>
          <w:lang w:val="en-US" w:eastAsia="zh-CN"/>
        </w:rPr>
        <w:t>单位</w:t>
      </w:r>
      <w:r>
        <w:rPr>
          <w:rFonts w:hint="default" w:ascii="Times New Roman" w:hAnsi="Times New Roman" w:eastAsia="仿宋_GB2312" w:cs="Times New Roman"/>
          <w:sz w:val="32"/>
          <w:szCs w:val="32"/>
          <w:highlight w:val="none"/>
        </w:rPr>
        <w:t>共承办</w:t>
      </w:r>
      <w:r>
        <w:rPr>
          <w:rFonts w:hint="eastAsia" w:ascii="Times New Roman" w:hAnsi="Times New Roman" w:eastAsia="仿宋_GB2312" w:cs="Times New Roman"/>
          <w:sz w:val="32"/>
          <w:szCs w:val="32"/>
          <w:highlight w:val="none"/>
          <w:lang w:eastAsia="zh-CN"/>
        </w:rPr>
        <w:t>区</w:t>
      </w:r>
      <w:r>
        <w:rPr>
          <w:rFonts w:hint="default" w:ascii="Times New Roman" w:hAnsi="Times New Roman" w:eastAsia="仿宋_GB2312" w:cs="Times New Roman"/>
          <w:sz w:val="32"/>
          <w:szCs w:val="32"/>
          <w:highlight w:val="none"/>
        </w:rPr>
        <w:t>人大代表建议</w:t>
      </w:r>
      <w:r>
        <w:rPr>
          <w:rFonts w:hint="eastAsia" w:ascii="Times New Roman" w:hAnsi="Times New Roman" w:eastAsia="仿宋_GB2312" w:cs="Times New Roman"/>
          <w:sz w:val="32"/>
          <w:szCs w:val="32"/>
          <w:highlight w:val="none"/>
          <w:u w:val="single"/>
          <w:lang w:val="en-US" w:eastAsia="zh-CN"/>
        </w:rPr>
        <w:t xml:space="preserve"> 1 </w:t>
      </w:r>
      <w:r>
        <w:rPr>
          <w:rFonts w:hint="default" w:ascii="Times New Roman" w:hAnsi="Times New Roman" w:eastAsia="仿宋_GB2312" w:cs="Times New Roman"/>
          <w:sz w:val="32"/>
          <w:szCs w:val="32"/>
          <w:highlight w:val="none"/>
        </w:rPr>
        <w:t>件、政协提案</w:t>
      </w:r>
      <w:r>
        <w:rPr>
          <w:rFonts w:hint="eastAsia" w:ascii="Times New Roman" w:hAnsi="Times New Roman" w:eastAsia="仿宋_GB2312" w:cs="Times New Roman"/>
          <w:sz w:val="32"/>
          <w:szCs w:val="32"/>
          <w:highlight w:val="none"/>
          <w:u w:val="single"/>
          <w:lang w:val="en-US" w:eastAsia="zh-CN"/>
        </w:rPr>
        <w:t xml:space="preserve"> 7 </w:t>
      </w:r>
      <w:r>
        <w:rPr>
          <w:rFonts w:hint="default" w:ascii="Times New Roman" w:hAnsi="Times New Roman" w:eastAsia="仿宋_GB2312" w:cs="Times New Roman"/>
          <w:sz w:val="32"/>
          <w:szCs w:val="32"/>
          <w:highlight w:val="none"/>
        </w:rPr>
        <w:t>件。目前，已全部办理完成</w:t>
      </w:r>
      <w:r>
        <w:rPr>
          <w:rFonts w:hint="eastAsia" w:ascii="Times New Roman" w:hAnsi="Times New Roman" w:eastAsia="仿宋_GB2312" w:cs="Times New Roman"/>
          <w:sz w:val="32"/>
          <w:szCs w:val="32"/>
          <w:highlight w:val="none"/>
          <w:lang w:eastAsia="zh-CN"/>
        </w:rPr>
        <w:t>。</w:t>
      </w:r>
    </w:p>
    <w:p>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eastAsia" w:ascii="Times New Roman" w:hAnsi="Times New Roman" w:eastAsia="楷体_GB2312" w:cs="Times New Roman"/>
          <w:sz w:val="32"/>
          <w:szCs w:val="32"/>
          <w:highlight w:val="none"/>
          <w:lang w:eastAsia="zh-CN"/>
        </w:rPr>
      </w:pPr>
      <w:r>
        <w:rPr>
          <w:rFonts w:hint="default" w:ascii="Times New Roman" w:hAnsi="Times New Roman" w:eastAsia="楷体_GB2312" w:cs="Times New Roman"/>
          <w:sz w:val="32"/>
          <w:szCs w:val="32"/>
          <w:highlight w:val="none"/>
          <w:lang w:val="en-US" w:eastAsia="zh-CN"/>
        </w:rPr>
        <w:t>3</w:t>
      </w:r>
      <w:r>
        <w:rPr>
          <w:rFonts w:hint="default" w:ascii="Times New Roman" w:hAnsi="Times New Roman" w:eastAsia="楷体_GB2312" w:cs="Times New Roman"/>
          <w:sz w:val="32"/>
          <w:szCs w:val="32"/>
          <w:highlight w:val="none"/>
        </w:rPr>
        <w:t>.政务公开工作创新情况</w:t>
      </w:r>
      <w:r>
        <w:rPr>
          <w:rFonts w:hint="eastAsia" w:ascii="Times New Roman" w:hAnsi="Times New Roman" w:eastAsia="楷体_GB2312" w:cs="Times New Roman"/>
          <w:sz w:val="32"/>
          <w:szCs w:val="32"/>
          <w:highlight w:val="none"/>
          <w:lang w:eastAsia="zh-CN"/>
        </w:rPr>
        <w:t>。</w:t>
      </w:r>
    </w:p>
    <w:p>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eastAsia" w:ascii="Times New Roman" w:hAnsi="Times New Roman" w:eastAsia="仿宋_GB2312" w:cs="Times New Roman"/>
          <w:sz w:val="32"/>
          <w:szCs w:val="32"/>
          <w:highlight w:val="none"/>
          <w:lang w:eastAsia="zh-CN"/>
        </w:rPr>
      </w:pPr>
      <w:r>
        <w:rPr>
          <w:rFonts w:hint="eastAsia" w:ascii="Times New Roman" w:hAnsi="Times New Roman" w:eastAsia="仿宋_GB2312" w:cs="Times New Roman"/>
          <w:sz w:val="32"/>
          <w:szCs w:val="32"/>
          <w:highlight w:val="none"/>
        </w:rPr>
        <w:t>202</w:t>
      </w:r>
      <w:r>
        <w:rPr>
          <w:rFonts w:hint="eastAsia" w:ascii="Times New Roman" w:hAnsi="Times New Roman" w:eastAsia="仿宋_GB2312" w:cs="Times New Roman"/>
          <w:sz w:val="32"/>
          <w:szCs w:val="32"/>
          <w:highlight w:val="none"/>
          <w:lang w:val="en-US" w:eastAsia="zh-CN"/>
        </w:rPr>
        <w:t>3</w:t>
      </w:r>
      <w:r>
        <w:rPr>
          <w:rFonts w:hint="eastAsia" w:ascii="Times New Roman" w:hAnsi="Times New Roman" w:eastAsia="仿宋_GB2312" w:cs="Times New Roman"/>
          <w:sz w:val="32"/>
          <w:szCs w:val="32"/>
          <w:highlight w:val="none"/>
        </w:rPr>
        <w:t>年，区工信局</w:t>
      </w:r>
      <w:r>
        <w:rPr>
          <w:rFonts w:hint="eastAsia" w:ascii="Times New Roman" w:hAnsi="Times New Roman" w:eastAsia="仿宋_GB2312" w:cs="Times New Roman"/>
          <w:sz w:val="32"/>
          <w:szCs w:val="32"/>
          <w:highlight w:val="none"/>
          <w:lang w:eastAsia="zh-CN"/>
        </w:rPr>
        <w:t>一方面</w:t>
      </w:r>
      <w:r>
        <w:rPr>
          <w:rFonts w:hint="eastAsia" w:ascii="Times New Roman" w:hAnsi="Times New Roman" w:eastAsia="仿宋_GB2312" w:cs="Times New Roman"/>
          <w:sz w:val="32"/>
          <w:szCs w:val="32"/>
          <w:highlight w:val="none"/>
        </w:rPr>
        <w:t>通过举办政府公开日，</w:t>
      </w:r>
      <w:r>
        <w:rPr>
          <w:rFonts w:hint="eastAsia" w:ascii="Times New Roman" w:hAnsi="Times New Roman" w:eastAsia="仿宋_GB2312" w:cs="Times New Roman"/>
          <w:sz w:val="32"/>
          <w:szCs w:val="32"/>
          <w:highlight w:val="none"/>
          <w:lang w:eastAsia="zh-CN"/>
        </w:rPr>
        <w:t>丰富</w:t>
      </w:r>
      <w:r>
        <w:rPr>
          <w:rFonts w:hint="eastAsia" w:ascii="Times New Roman" w:hAnsi="Times New Roman" w:eastAsia="仿宋_GB2312" w:cs="Times New Roman"/>
          <w:sz w:val="32"/>
          <w:szCs w:val="32"/>
          <w:highlight w:val="none"/>
        </w:rPr>
        <w:t>公开</w:t>
      </w:r>
      <w:r>
        <w:rPr>
          <w:rFonts w:hint="eastAsia" w:ascii="Times New Roman" w:hAnsi="Times New Roman" w:eastAsia="仿宋_GB2312" w:cs="Times New Roman"/>
          <w:sz w:val="32"/>
          <w:szCs w:val="32"/>
          <w:highlight w:val="none"/>
          <w:lang w:eastAsia="zh-CN"/>
        </w:rPr>
        <w:t>形式</w:t>
      </w:r>
      <w:r>
        <w:rPr>
          <w:rFonts w:hint="eastAsia" w:ascii="Times New Roman" w:hAnsi="Times New Roman" w:eastAsia="仿宋_GB2312" w:cs="Times New Roman"/>
          <w:sz w:val="32"/>
          <w:szCs w:val="32"/>
          <w:highlight w:val="none"/>
        </w:rPr>
        <w:t>，</w:t>
      </w:r>
      <w:r>
        <w:rPr>
          <w:rFonts w:hint="eastAsia" w:ascii="Times New Roman" w:hAnsi="Times New Roman" w:eastAsia="仿宋_GB2312" w:cs="Times New Roman"/>
          <w:sz w:val="32"/>
          <w:szCs w:val="32"/>
          <w:highlight w:val="none"/>
          <w:lang w:eastAsia="zh-CN"/>
        </w:rPr>
        <w:t>拓展</w:t>
      </w:r>
      <w:r>
        <w:rPr>
          <w:rFonts w:hint="eastAsia" w:ascii="Times New Roman" w:hAnsi="Times New Roman" w:eastAsia="仿宋_GB2312" w:cs="Times New Roman"/>
          <w:sz w:val="32"/>
          <w:szCs w:val="32"/>
          <w:highlight w:val="none"/>
        </w:rPr>
        <w:t>公开信息的</w:t>
      </w:r>
      <w:r>
        <w:rPr>
          <w:rFonts w:hint="eastAsia" w:ascii="Times New Roman" w:hAnsi="Times New Roman" w:eastAsia="仿宋_GB2312" w:cs="Times New Roman"/>
          <w:sz w:val="32"/>
          <w:szCs w:val="32"/>
          <w:highlight w:val="none"/>
          <w:lang w:eastAsia="zh-CN"/>
        </w:rPr>
        <w:t>范围</w:t>
      </w:r>
      <w:r>
        <w:rPr>
          <w:rFonts w:hint="eastAsia" w:ascii="Times New Roman" w:hAnsi="Times New Roman" w:eastAsia="仿宋_GB2312" w:cs="Times New Roman"/>
          <w:sz w:val="32"/>
          <w:szCs w:val="32"/>
          <w:highlight w:val="none"/>
        </w:rPr>
        <w:t>和载体，及时解答</w:t>
      </w:r>
      <w:r>
        <w:rPr>
          <w:rFonts w:hint="eastAsia" w:ascii="Times New Roman" w:hAnsi="Times New Roman" w:eastAsia="仿宋_GB2312" w:cs="Times New Roman"/>
          <w:sz w:val="32"/>
          <w:szCs w:val="32"/>
          <w:highlight w:val="none"/>
          <w:lang w:eastAsia="zh-CN"/>
        </w:rPr>
        <w:t>回复</w:t>
      </w:r>
      <w:r>
        <w:rPr>
          <w:rFonts w:hint="eastAsia" w:ascii="Times New Roman" w:hAnsi="Times New Roman" w:eastAsia="仿宋_GB2312" w:cs="Times New Roman"/>
          <w:sz w:val="32"/>
          <w:szCs w:val="32"/>
          <w:highlight w:val="none"/>
        </w:rPr>
        <w:t>市民、企业的咨询和问题，</w:t>
      </w:r>
      <w:r>
        <w:rPr>
          <w:rFonts w:hint="eastAsia" w:ascii="Times New Roman" w:hAnsi="Times New Roman" w:eastAsia="仿宋_GB2312" w:cs="Times New Roman"/>
          <w:sz w:val="32"/>
          <w:szCs w:val="32"/>
          <w:highlight w:val="none"/>
          <w:lang w:eastAsia="zh-CN"/>
        </w:rPr>
        <w:t>接受群众和企业监督</w:t>
      </w:r>
      <w:r>
        <w:rPr>
          <w:rFonts w:hint="eastAsia" w:ascii="Times New Roman" w:hAnsi="Times New Roman" w:eastAsia="仿宋_GB2312" w:cs="Times New Roman"/>
          <w:sz w:val="32"/>
          <w:szCs w:val="32"/>
          <w:highlight w:val="none"/>
        </w:rPr>
        <w:t>。</w:t>
      </w:r>
      <w:r>
        <w:rPr>
          <w:rFonts w:hint="eastAsia" w:ascii="Times New Roman" w:hAnsi="Times New Roman" w:eastAsia="仿宋_GB2312" w:cs="Times New Roman"/>
          <w:sz w:val="32"/>
          <w:szCs w:val="32"/>
          <w:highlight w:val="none"/>
          <w:lang w:eastAsia="zh-CN"/>
        </w:rPr>
        <w:t>另一方面，通过派遣工作人员到区政府参与政务公开培训，并积极开展机关内部培训，夯实业务工作人员业务能力基础，规范公开流程，进一步规范我局政府信息公开工作流程，提升工作标准。</w:t>
      </w:r>
    </w:p>
    <w:p>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eastAsia" w:ascii="Times New Roman" w:hAnsi="Times New Roman" w:eastAsia="仿宋_GB2312" w:cs="Times New Roman"/>
          <w:sz w:val="32"/>
          <w:szCs w:val="32"/>
          <w:highlight w:val="none"/>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decorative"/>
    <w:pitch w:val="default"/>
    <w:sig w:usb0="00000001" w:usb1="080E0000" w:usb2="00000000" w:usb3="00000000" w:csb0="00040000" w:csb1="00000000"/>
  </w:font>
  <w:font w:name="Calibri Light">
    <w:panose1 w:val="020F0302020204030204"/>
    <w:charset w:val="00"/>
    <w:family w:val="auto"/>
    <w:pitch w:val="default"/>
    <w:sig w:usb0="A00002EF" w:usb1="4000207B" w:usb2="00000000"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BEA31A8"/>
    <w:multiLevelType w:val="singleLevel"/>
    <w:tmpl w:val="2BEA31A8"/>
    <w:lvl w:ilvl="0" w:tentative="0">
      <w:start w:val="5"/>
      <w:numFmt w:val="chineseCounting"/>
      <w:suff w:val="nothing"/>
      <w:lvlText w:val="%1、"/>
      <w:lvlJc w:val="left"/>
      <w:pPr>
        <w:ind w:left="-1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QyZGMwY2RiMTA3NWRmZDc4ZWJkMDNjZjZjN2E5YmEifQ=="/>
    <w:docVar w:name="KSO_WPS_MARK_KEY" w:val="0b958dca-27ee-4bfa-8daf-095dec63df21"/>
  </w:docVars>
  <w:rsids>
    <w:rsidRoot w:val="11AF18C8"/>
    <w:rsid w:val="00F05477"/>
    <w:rsid w:val="05E355AA"/>
    <w:rsid w:val="08D157AC"/>
    <w:rsid w:val="094E3682"/>
    <w:rsid w:val="0C3D1EB8"/>
    <w:rsid w:val="0FAB6019"/>
    <w:rsid w:val="10AFA3C6"/>
    <w:rsid w:val="11637F27"/>
    <w:rsid w:val="11AF18C8"/>
    <w:rsid w:val="12F26E2C"/>
    <w:rsid w:val="1A6A77C7"/>
    <w:rsid w:val="1B216501"/>
    <w:rsid w:val="1EE73F05"/>
    <w:rsid w:val="1F0028D1"/>
    <w:rsid w:val="21E9640B"/>
    <w:rsid w:val="23700025"/>
    <w:rsid w:val="29385A89"/>
    <w:rsid w:val="2AFA0F3C"/>
    <w:rsid w:val="2D7B23E8"/>
    <w:rsid w:val="320C7AB3"/>
    <w:rsid w:val="33743750"/>
    <w:rsid w:val="3BB645EB"/>
    <w:rsid w:val="3F1E4982"/>
    <w:rsid w:val="3F7F6D07"/>
    <w:rsid w:val="400C0C7E"/>
    <w:rsid w:val="44B00772"/>
    <w:rsid w:val="464F74E8"/>
    <w:rsid w:val="469D2F78"/>
    <w:rsid w:val="48C12F4D"/>
    <w:rsid w:val="511E6463"/>
    <w:rsid w:val="543F399F"/>
    <w:rsid w:val="54F23AC6"/>
    <w:rsid w:val="56F344A5"/>
    <w:rsid w:val="5A7122F9"/>
    <w:rsid w:val="5B2555BE"/>
    <w:rsid w:val="5B2F2252"/>
    <w:rsid w:val="5CD66220"/>
    <w:rsid w:val="5EDC32BA"/>
    <w:rsid w:val="60A25BD7"/>
    <w:rsid w:val="619568CD"/>
    <w:rsid w:val="625C6C22"/>
    <w:rsid w:val="657F7FC2"/>
    <w:rsid w:val="68C9088B"/>
    <w:rsid w:val="6BAC1255"/>
    <w:rsid w:val="6C7C7FF0"/>
    <w:rsid w:val="7258372B"/>
    <w:rsid w:val="7300769E"/>
    <w:rsid w:val="769811A1"/>
    <w:rsid w:val="77181135"/>
    <w:rsid w:val="7A15284A"/>
    <w:rsid w:val="7A590E1D"/>
    <w:rsid w:val="7BFC1E22"/>
    <w:rsid w:val="7E2277F5"/>
    <w:rsid w:val="7F5D0D7A"/>
    <w:rsid w:val="7FF3217F"/>
    <w:rsid w:val="CFD98EC0"/>
    <w:rsid w:val="F95F4281"/>
    <w:rsid w:val="FABFFB74"/>
    <w:rsid w:val="FBBB77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2584</Words>
  <Characters>2690</Characters>
  <Lines>0</Lines>
  <Paragraphs>0</Paragraphs>
  <TotalTime>20</TotalTime>
  <ScaleCrop>false</ScaleCrop>
  <LinksUpToDate>false</LinksUpToDate>
  <CharactersWithSpaces>2694</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2023-01-16T15:45:00Z</dcterms:created>
  <dc:creator>诗人与熊</dc:creator>
  <cp:lastModifiedBy>从不放炮的腾炮炮</cp:lastModifiedBy>
  <cp:lastPrinted>2024-01-12T06:09:00Z</cp:lastPrinted>
  <dcterms:modified xsi:type="dcterms:W3CDTF">2024-01-19T00:24:53Z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E69FC135B6704485BACA57740AE2D712</vt:lpwstr>
  </property>
</Properties>
</file>