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kern w:val="0"/>
          <w:sz w:val="32"/>
          <w:szCs w:val="32"/>
          <w:lang w:val="en-US" w:eastAsia="zh-CN" w:bidi="hi-IN"/>
        </w:rPr>
      </w:pPr>
      <w:r>
        <w:rPr>
          <w:rFonts w:hint="default" w:ascii="Times New Roman" w:hAnsi="Times New Roman" w:eastAsia="黑体" w:cs="Times New Roman"/>
          <w:kern w:val="0"/>
          <w:sz w:val="32"/>
          <w:szCs w:val="32"/>
          <w:lang w:eastAsia="zh-CN" w:bidi="hi-IN"/>
        </w:rPr>
        <w:t>附件</w:t>
      </w:r>
      <w:r>
        <w:rPr>
          <w:rFonts w:hint="default" w:ascii="Times New Roman" w:hAnsi="Times New Roman" w:eastAsia="黑体" w:cs="Times New Roman"/>
          <w:kern w:val="0"/>
          <w:sz w:val="32"/>
          <w:szCs w:val="32"/>
          <w:lang w:val="en-US" w:eastAsia="zh-CN" w:bidi="hi-IN"/>
        </w:rPr>
        <w:t>3</w:t>
      </w:r>
      <w:bookmarkStart w:id="0" w:name="_GoBack"/>
      <w:bookmarkEnd w:id="0"/>
    </w:p>
    <w:p>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default" w:ascii="Times New Roman" w:hAnsi="Times New Roman" w:eastAsia="黑体" w:cs="Times New Roman"/>
          <w:kern w:val="0"/>
          <w:sz w:val="32"/>
          <w:szCs w:val="32"/>
          <w:lang w:val="en-US" w:eastAsia="zh-CN" w:bidi="hi-IN"/>
        </w:rPr>
      </w:pPr>
    </w:p>
    <w:p>
      <w:pPr>
        <w:keepNext w:val="0"/>
        <w:keepLines w:val="0"/>
        <w:pageBreakBefore w:val="0"/>
        <w:widowControl w:val="0"/>
        <w:kinsoku/>
        <w:wordWrap/>
        <w:overflowPunct w:val="0"/>
        <w:topLinePunct w:val="0"/>
        <w:autoSpaceDE/>
        <w:autoSpaceDN/>
        <w:bidi w:val="0"/>
        <w:adjustRightInd/>
        <w:snapToGrid/>
        <w:spacing w:line="600" w:lineRule="exact"/>
        <w:ind w:firstLine="441" w:firstLineChars="100"/>
        <w:jc w:val="center"/>
        <w:textAlignment w:val="auto"/>
        <w:rPr>
          <w:rFonts w:hint="default" w:ascii="Times New Roman" w:hAnsi="Times New Roman" w:eastAsia="方正小标宋简体" w:cs="Times New Roman"/>
          <w:kern w:val="0"/>
          <w:sz w:val="44"/>
          <w:szCs w:val="44"/>
          <w:lang w:bidi="hi-IN"/>
        </w:rPr>
      </w:pPr>
      <w:r>
        <w:rPr>
          <w:rFonts w:hint="default" w:ascii="Times New Roman" w:hAnsi="Times New Roman" w:eastAsia="方正小标宋简体" w:cs="Times New Roman"/>
          <w:kern w:val="0"/>
          <w:sz w:val="44"/>
          <w:szCs w:val="44"/>
          <w:lang w:bidi="hi-IN"/>
        </w:rPr>
        <w:t>环翠区省级慢性非传染性疾病综合防控</w:t>
      </w:r>
    </w:p>
    <w:p>
      <w:pPr>
        <w:keepNext w:val="0"/>
        <w:keepLines w:val="0"/>
        <w:pageBreakBefore w:val="0"/>
        <w:widowControl w:val="0"/>
        <w:kinsoku/>
        <w:wordWrap/>
        <w:overflowPunct w:val="0"/>
        <w:topLinePunct w:val="0"/>
        <w:autoSpaceDE/>
        <w:autoSpaceDN/>
        <w:bidi w:val="0"/>
        <w:adjustRightInd/>
        <w:snapToGrid/>
        <w:spacing w:line="600" w:lineRule="exact"/>
        <w:ind w:firstLine="441" w:firstLineChars="100"/>
        <w:jc w:val="center"/>
        <w:textAlignment w:val="auto"/>
        <w:rPr>
          <w:rFonts w:hint="default" w:ascii="Times New Roman" w:hAnsi="Times New Roman" w:eastAsia="方正小标宋简体" w:cs="Times New Roman"/>
          <w:kern w:val="0"/>
          <w:sz w:val="44"/>
          <w:szCs w:val="44"/>
          <w:lang w:eastAsia="zh-CN" w:bidi="hi-IN"/>
        </w:rPr>
      </w:pPr>
      <w:r>
        <w:rPr>
          <w:rFonts w:hint="default" w:ascii="Times New Roman" w:hAnsi="Times New Roman" w:eastAsia="方正小标宋简体" w:cs="Times New Roman"/>
          <w:kern w:val="0"/>
          <w:sz w:val="44"/>
          <w:szCs w:val="44"/>
          <w:lang w:bidi="hi-IN"/>
        </w:rPr>
        <w:t>示范区</w:t>
      </w:r>
      <w:r>
        <w:rPr>
          <w:rFonts w:hint="default" w:ascii="Times New Roman" w:hAnsi="Times New Roman" w:eastAsia="方正小标宋简体" w:cs="Times New Roman"/>
          <w:kern w:val="0"/>
          <w:sz w:val="44"/>
          <w:szCs w:val="44"/>
          <w:lang w:eastAsia="zh-CN" w:bidi="hi-IN"/>
        </w:rPr>
        <w:t>复审责任分工</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bidi="hi-IN"/>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44"/>
          <w:szCs w:val="32"/>
          <w:lang w:bidi="hi-IN"/>
        </w:rPr>
      </w:pPr>
      <w:r>
        <w:rPr>
          <w:rFonts w:hint="default" w:ascii="Times New Roman" w:hAnsi="Times New Roman" w:eastAsia="仿宋_GB2312" w:cs="Times New Roman"/>
          <w:kern w:val="0"/>
          <w:sz w:val="32"/>
          <w:szCs w:val="32"/>
          <w:lang w:bidi="hi-IN"/>
        </w:rPr>
        <w:t>为全面推进省级慢性非传染性疾病综合防控示范区（以下简称</w:t>
      </w:r>
      <w:r>
        <w:rPr>
          <w:rFonts w:hint="eastAsia" w:ascii="Times New Roman" w:hAnsi="Times New Roman" w:eastAsia="仿宋_GB2312" w:cs="Times New Roman"/>
          <w:kern w:val="0"/>
          <w:sz w:val="32"/>
          <w:szCs w:val="32"/>
          <w:lang w:eastAsia="zh-CN" w:bidi="hi-IN"/>
        </w:rPr>
        <w:t>“</w:t>
      </w:r>
      <w:r>
        <w:rPr>
          <w:rFonts w:hint="default" w:ascii="Times New Roman" w:hAnsi="Times New Roman" w:eastAsia="仿宋_GB2312" w:cs="Times New Roman"/>
          <w:kern w:val="0"/>
          <w:sz w:val="32"/>
          <w:szCs w:val="32"/>
          <w:lang w:bidi="hi-IN"/>
        </w:rPr>
        <w:t>慢性病综合防控示范区</w:t>
      </w:r>
      <w:r>
        <w:rPr>
          <w:rFonts w:hint="eastAsia" w:ascii="Times New Roman" w:hAnsi="Times New Roman" w:eastAsia="仿宋_GB2312" w:cs="Times New Roman"/>
          <w:kern w:val="0"/>
          <w:sz w:val="32"/>
          <w:szCs w:val="32"/>
          <w:lang w:eastAsia="zh-CN" w:bidi="hi-IN"/>
        </w:rPr>
        <w:t>”</w:t>
      </w:r>
      <w:r>
        <w:rPr>
          <w:rFonts w:hint="default" w:ascii="Times New Roman" w:hAnsi="Times New Roman" w:eastAsia="仿宋_GB2312" w:cs="Times New Roman"/>
          <w:kern w:val="0"/>
          <w:sz w:val="32"/>
          <w:szCs w:val="32"/>
          <w:lang w:bidi="hi-IN"/>
        </w:rPr>
        <w:t>）</w:t>
      </w:r>
      <w:r>
        <w:rPr>
          <w:rFonts w:hint="default" w:ascii="Times New Roman" w:hAnsi="Times New Roman" w:eastAsia="仿宋_GB2312" w:cs="Times New Roman"/>
          <w:kern w:val="0"/>
          <w:sz w:val="32"/>
          <w:szCs w:val="32"/>
          <w:lang w:eastAsia="zh-CN" w:bidi="hi-IN"/>
        </w:rPr>
        <w:t>复审</w:t>
      </w:r>
      <w:r>
        <w:rPr>
          <w:rFonts w:hint="default" w:ascii="Times New Roman" w:hAnsi="Times New Roman" w:eastAsia="仿宋_GB2312" w:cs="Times New Roman"/>
          <w:kern w:val="0"/>
          <w:sz w:val="32"/>
          <w:szCs w:val="32"/>
          <w:lang w:bidi="hi-IN"/>
        </w:rPr>
        <w:t>工作，进一步完善</w:t>
      </w:r>
      <w:r>
        <w:rPr>
          <w:rFonts w:hint="default" w:ascii="Times New Roman" w:hAnsi="Times New Roman" w:eastAsia="仿宋_GB2312" w:cs="Times New Roman"/>
          <w:kern w:val="0"/>
          <w:sz w:val="32"/>
          <w:szCs w:val="32"/>
          <w:lang w:eastAsia="zh-CN" w:bidi="hi-IN"/>
        </w:rPr>
        <w:t>示范区责任分工</w:t>
      </w:r>
      <w:r>
        <w:rPr>
          <w:rFonts w:hint="default" w:ascii="Times New Roman" w:hAnsi="Times New Roman" w:eastAsia="仿宋_GB2312" w:cs="Times New Roman"/>
          <w:kern w:val="0"/>
          <w:sz w:val="32"/>
          <w:szCs w:val="32"/>
          <w:lang w:bidi="hi-IN"/>
        </w:rPr>
        <w:t>、</w:t>
      </w:r>
      <w:r>
        <w:rPr>
          <w:rFonts w:hint="default" w:ascii="Times New Roman" w:hAnsi="Times New Roman" w:eastAsia="仿宋_GB2312" w:cs="Times New Roman"/>
          <w:kern w:val="0"/>
          <w:sz w:val="32"/>
          <w:szCs w:val="32"/>
          <w:lang w:eastAsia="zh-CN" w:bidi="hi-IN"/>
        </w:rPr>
        <w:t>使各项指标落实到人</w:t>
      </w:r>
      <w:r>
        <w:rPr>
          <w:rFonts w:hint="default" w:ascii="Times New Roman" w:hAnsi="Times New Roman" w:eastAsia="仿宋_GB2312" w:cs="Times New Roman"/>
          <w:kern w:val="0"/>
          <w:sz w:val="32"/>
          <w:szCs w:val="32"/>
          <w:lang w:bidi="hi-IN"/>
        </w:rPr>
        <w:t>，根据</w:t>
      </w:r>
      <w:r>
        <w:rPr>
          <w:rFonts w:hint="default" w:ascii="Times New Roman" w:hAnsi="Times New Roman" w:eastAsia="仿宋_GB2312" w:cs="Times New Roman"/>
          <w:kern w:val="0"/>
          <w:sz w:val="32"/>
          <w:szCs w:val="32"/>
          <w:lang w:eastAsia="zh-CN" w:bidi="hi-IN"/>
        </w:rPr>
        <w:t>山东省卫生健康委《关于印发</w:t>
      </w:r>
      <w:r>
        <w:rPr>
          <w:rFonts w:hint="default" w:ascii="Times New Roman" w:hAnsi="Times New Roman" w:eastAsia="仿宋_GB2312" w:cs="Times New Roman"/>
          <w:kern w:val="0"/>
          <w:sz w:val="32"/>
          <w:szCs w:val="32"/>
          <w:lang w:bidi="hi-IN"/>
        </w:rPr>
        <w:t>〈</w:t>
      </w:r>
      <w:r>
        <w:rPr>
          <w:rFonts w:hint="default" w:ascii="Times New Roman" w:hAnsi="Times New Roman" w:eastAsia="仿宋_GB2312" w:cs="Times New Roman"/>
          <w:kern w:val="0"/>
          <w:sz w:val="32"/>
          <w:szCs w:val="32"/>
          <w:lang w:eastAsia="zh-CN" w:bidi="hi-IN"/>
        </w:rPr>
        <w:t>山东省慢性非传染性疾病综合防控示范区建设管理办法（</w:t>
      </w:r>
      <w:r>
        <w:rPr>
          <w:rFonts w:hint="default" w:ascii="Times New Roman" w:hAnsi="Times New Roman" w:eastAsia="仿宋_GB2312" w:cs="Times New Roman"/>
          <w:kern w:val="0"/>
          <w:sz w:val="32"/>
          <w:szCs w:val="32"/>
          <w:lang w:val="en-US" w:eastAsia="zh-CN" w:bidi="hi-IN"/>
        </w:rPr>
        <w:t>2019版</w:t>
      </w:r>
      <w:r>
        <w:rPr>
          <w:rFonts w:hint="default" w:ascii="Times New Roman" w:hAnsi="Times New Roman" w:eastAsia="仿宋_GB2312" w:cs="Times New Roman"/>
          <w:kern w:val="0"/>
          <w:sz w:val="32"/>
          <w:szCs w:val="32"/>
          <w:lang w:eastAsia="zh-CN" w:bidi="hi-IN"/>
        </w:rPr>
        <w:t>）</w:t>
      </w:r>
      <w:r>
        <w:rPr>
          <w:rFonts w:hint="default" w:ascii="Times New Roman" w:hAnsi="Times New Roman" w:eastAsia="仿宋_GB2312" w:cs="Times New Roman"/>
          <w:kern w:val="0"/>
          <w:sz w:val="32"/>
          <w:szCs w:val="32"/>
          <w:lang w:bidi="hi-IN"/>
        </w:rPr>
        <w:t>〉</w:t>
      </w:r>
      <w:r>
        <w:rPr>
          <w:rFonts w:hint="default" w:ascii="Times New Roman" w:hAnsi="Times New Roman" w:eastAsia="仿宋_GB2312" w:cs="Times New Roman"/>
          <w:kern w:val="0"/>
          <w:sz w:val="32"/>
          <w:szCs w:val="32"/>
          <w:lang w:eastAsia="zh-CN" w:bidi="hi-IN"/>
        </w:rPr>
        <w:t>的通知》（鲁卫疾控</w:t>
      </w:r>
      <w:r>
        <w:rPr>
          <w:rFonts w:hint="default" w:ascii="Times New Roman" w:hAnsi="Times New Roman" w:eastAsia="仿宋_GB2312" w:cs="Times New Roman"/>
          <w:color w:val="000000"/>
          <w:kern w:val="0"/>
          <w:sz w:val="32"/>
          <w:szCs w:val="32"/>
        </w:rPr>
        <w:t>〔201</w:t>
      </w:r>
      <w:r>
        <w:rPr>
          <w:rFonts w:hint="default"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10</w:t>
      </w:r>
      <w:r>
        <w:rPr>
          <w:rFonts w:hint="default" w:ascii="Times New Roman" w:hAnsi="Times New Roman" w:eastAsia="仿宋_GB2312" w:cs="Times New Roman"/>
          <w:kern w:val="0"/>
          <w:sz w:val="32"/>
          <w:szCs w:val="32"/>
          <w:lang w:bidi="hi-IN"/>
        </w:rPr>
        <w:t>号</w:t>
      </w:r>
      <w:r>
        <w:rPr>
          <w:rFonts w:hint="default" w:ascii="Times New Roman" w:hAnsi="Times New Roman" w:eastAsia="仿宋_GB2312" w:cs="Times New Roman"/>
          <w:kern w:val="0"/>
          <w:sz w:val="32"/>
          <w:szCs w:val="32"/>
          <w:lang w:eastAsia="zh-CN" w:bidi="hi-IN"/>
        </w:rPr>
        <w:t>）</w:t>
      </w:r>
      <w:r>
        <w:rPr>
          <w:rFonts w:hint="default" w:ascii="Times New Roman" w:hAnsi="Times New Roman" w:eastAsia="仿宋_GB2312" w:cs="Times New Roman"/>
          <w:kern w:val="0"/>
          <w:sz w:val="32"/>
          <w:szCs w:val="32"/>
          <w:lang w:bidi="hi-IN"/>
        </w:rPr>
        <w:t>，现制定</w:t>
      </w:r>
      <w:r>
        <w:rPr>
          <w:rFonts w:hint="default" w:ascii="Times New Roman" w:hAnsi="Times New Roman" w:eastAsia="仿宋_GB2312" w:cs="Times New Roman"/>
          <w:kern w:val="0"/>
          <w:sz w:val="32"/>
          <w:szCs w:val="32"/>
          <w:lang w:eastAsia="zh-CN" w:bidi="hi-IN"/>
        </w:rPr>
        <w:t>示范区复审责任分工</w:t>
      </w:r>
      <w:r>
        <w:rPr>
          <w:rFonts w:hint="default" w:ascii="Times New Roman" w:hAnsi="Times New Roman" w:eastAsia="仿宋_GB2312" w:cs="Times New Roman"/>
          <w:kern w:val="0"/>
          <w:sz w:val="32"/>
          <w:szCs w:val="32"/>
          <w:lang w:bidi="hi-IN"/>
        </w:rPr>
        <w:t>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黑体" w:cs="Times New Roman"/>
          <w:kern w:val="0"/>
          <w:sz w:val="32"/>
          <w:szCs w:val="32"/>
          <w:lang w:eastAsia="zh-CN" w:bidi="hi-IN"/>
        </w:rPr>
      </w:pPr>
      <w:r>
        <w:rPr>
          <w:rFonts w:hint="default" w:ascii="Times New Roman" w:hAnsi="Times New Roman" w:eastAsia="黑体" w:cs="Times New Roman"/>
          <w:kern w:val="0"/>
          <w:sz w:val="32"/>
          <w:szCs w:val="32"/>
          <w:lang w:eastAsia="zh-CN" w:bidi="hi-IN"/>
        </w:rPr>
        <w:t>一、责任分工范围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highlight w:val="none"/>
          <w:lang w:eastAsia="zh-CN" w:bidi="hi-IN"/>
        </w:rPr>
      </w:pPr>
      <w:r>
        <w:rPr>
          <w:rFonts w:hint="default" w:ascii="Times New Roman" w:hAnsi="Times New Roman" w:eastAsia="仿宋_GB2312" w:cs="Times New Roman"/>
          <w:kern w:val="0"/>
          <w:sz w:val="32"/>
          <w:szCs w:val="32"/>
          <w:lang w:eastAsia="zh-CN" w:bidi="hi-IN"/>
        </w:rPr>
        <w:t>各镇政府、街道办事处；</w:t>
      </w:r>
      <w:r>
        <w:rPr>
          <w:rFonts w:hint="default" w:ascii="Times New Roman" w:hAnsi="Times New Roman" w:eastAsia="仿宋_GB2312" w:cs="Times New Roman"/>
          <w:kern w:val="0"/>
          <w:sz w:val="32"/>
          <w:szCs w:val="32"/>
          <w:lang w:bidi="hi-IN"/>
        </w:rPr>
        <w:t>区委宣传部、区</w:t>
      </w:r>
      <w:r>
        <w:rPr>
          <w:rFonts w:hint="default" w:ascii="Times New Roman" w:hAnsi="Times New Roman" w:eastAsia="仿宋_GB2312" w:cs="Times New Roman"/>
          <w:kern w:val="0"/>
          <w:sz w:val="32"/>
          <w:szCs w:val="32"/>
          <w:lang w:eastAsia="zh-CN" w:bidi="hi-IN"/>
        </w:rPr>
        <w:t>委区</w:t>
      </w:r>
      <w:r>
        <w:rPr>
          <w:rFonts w:hint="default" w:ascii="Times New Roman" w:hAnsi="Times New Roman" w:eastAsia="仿宋_GB2312" w:cs="Times New Roman"/>
          <w:kern w:val="0"/>
          <w:sz w:val="32"/>
          <w:szCs w:val="32"/>
          <w:lang w:bidi="hi-IN"/>
        </w:rPr>
        <w:t>直机关工委、区总工会、</w:t>
      </w:r>
      <w:r>
        <w:rPr>
          <w:rFonts w:hint="default" w:ascii="Times New Roman" w:hAnsi="Times New Roman" w:eastAsia="仿宋_GB2312" w:cs="Times New Roman"/>
          <w:color w:val="000000"/>
          <w:kern w:val="0"/>
          <w:sz w:val="32"/>
          <w:szCs w:val="32"/>
          <w:lang w:bidi="hi-IN"/>
        </w:rPr>
        <w:t>团区委</w:t>
      </w:r>
      <w:r>
        <w:rPr>
          <w:rFonts w:hint="default" w:ascii="Times New Roman" w:hAnsi="Times New Roman" w:eastAsia="仿宋_GB2312" w:cs="Times New Roman"/>
          <w:kern w:val="0"/>
          <w:sz w:val="32"/>
          <w:szCs w:val="32"/>
          <w:lang w:bidi="hi-IN"/>
        </w:rPr>
        <w:t>、区妇联</w:t>
      </w:r>
      <w:r>
        <w:rPr>
          <w:rFonts w:hint="default" w:ascii="Times New Roman" w:hAnsi="Times New Roman" w:eastAsia="仿宋_GB2312" w:cs="Times New Roman"/>
          <w:kern w:val="0"/>
          <w:sz w:val="32"/>
          <w:szCs w:val="32"/>
          <w:highlight w:val="none"/>
          <w:lang w:bidi="hi-IN"/>
        </w:rPr>
        <w:t>、</w:t>
      </w:r>
      <w:r>
        <w:rPr>
          <w:rFonts w:hint="default" w:ascii="Times New Roman" w:hAnsi="Times New Roman" w:eastAsia="仿宋_GB2312" w:cs="Times New Roman"/>
          <w:kern w:val="0"/>
          <w:sz w:val="32"/>
          <w:szCs w:val="32"/>
          <w:lang w:eastAsia="zh-CN" w:bidi="hi-IN"/>
        </w:rPr>
        <w:t>区融媒体中心、</w:t>
      </w:r>
      <w:r>
        <w:rPr>
          <w:rFonts w:hint="default" w:ascii="Times New Roman" w:hAnsi="Times New Roman" w:eastAsia="仿宋_GB2312" w:cs="Times New Roman"/>
          <w:kern w:val="0"/>
          <w:sz w:val="32"/>
          <w:szCs w:val="32"/>
          <w:highlight w:val="none"/>
          <w:lang w:bidi="hi-IN"/>
        </w:rPr>
        <w:t>区</w:t>
      </w:r>
      <w:r>
        <w:rPr>
          <w:rFonts w:hint="default" w:ascii="Times New Roman" w:hAnsi="Times New Roman" w:eastAsia="仿宋_GB2312" w:cs="Times New Roman"/>
          <w:kern w:val="0"/>
          <w:sz w:val="32"/>
          <w:szCs w:val="32"/>
          <w:highlight w:val="none"/>
          <w:lang w:eastAsia="zh-CN" w:bidi="hi-IN"/>
        </w:rPr>
        <w:t>发展</w:t>
      </w:r>
      <w:r>
        <w:rPr>
          <w:rFonts w:hint="eastAsia" w:ascii="Times New Roman" w:hAnsi="Times New Roman" w:eastAsia="仿宋_GB2312" w:cs="Times New Roman"/>
          <w:kern w:val="0"/>
          <w:sz w:val="32"/>
          <w:szCs w:val="32"/>
          <w:highlight w:val="none"/>
          <w:lang w:eastAsia="zh-CN" w:bidi="hi-IN"/>
        </w:rPr>
        <w:t>和</w:t>
      </w:r>
      <w:r>
        <w:rPr>
          <w:rFonts w:hint="default" w:ascii="Times New Roman" w:hAnsi="Times New Roman" w:eastAsia="仿宋_GB2312" w:cs="Times New Roman"/>
          <w:kern w:val="0"/>
          <w:sz w:val="32"/>
          <w:szCs w:val="32"/>
          <w:highlight w:val="none"/>
          <w:lang w:eastAsia="zh-CN" w:bidi="hi-IN"/>
        </w:rPr>
        <w:t>改革局</w:t>
      </w:r>
      <w:r>
        <w:rPr>
          <w:rFonts w:hint="default" w:ascii="Times New Roman" w:hAnsi="Times New Roman" w:eastAsia="仿宋_GB2312" w:cs="Times New Roman"/>
          <w:kern w:val="0"/>
          <w:sz w:val="32"/>
          <w:szCs w:val="32"/>
          <w:highlight w:val="none"/>
          <w:lang w:bidi="hi-IN"/>
        </w:rPr>
        <w:t>、区教育和</w:t>
      </w:r>
      <w:r>
        <w:rPr>
          <w:rFonts w:hint="default" w:ascii="Times New Roman" w:hAnsi="Times New Roman" w:eastAsia="仿宋_GB2312" w:cs="Times New Roman"/>
          <w:kern w:val="0"/>
          <w:sz w:val="32"/>
          <w:szCs w:val="32"/>
          <w:lang w:eastAsia="zh-CN" w:bidi="hi-IN"/>
        </w:rPr>
        <w:t>体育</w:t>
      </w:r>
      <w:r>
        <w:rPr>
          <w:rFonts w:hint="default" w:ascii="Times New Roman" w:hAnsi="Times New Roman" w:eastAsia="仿宋_GB2312" w:cs="Times New Roman"/>
          <w:kern w:val="0"/>
          <w:sz w:val="32"/>
          <w:szCs w:val="32"/>
          <w:lang w:bidi="hi-IN"/>
        </w:rPr>
        <w:t>局、区科技局、</w:t>
      </w:r>
      <w:r>
        <w:rPr>
          <w:rFonts w:hint="default" w:ascii="Times New Roman" w:hAnsi="Times New Roman" w:eastAsia="仿宋_GB2312" w:cs="Times New Roman"/>
          <w:kern w:val="0"/>
          <w:sz w:val="32"/>
          <w:szCs w:val="32"/>
          <w:lang w:eastAsia="zh-CN" w:bidi="hi-IN"/>
        </w:rPr>
        <w:t>区工业和信息化局、</w:t>
      </w:r>
      <w:r>
        <w:rPr>
          <w:rFonts w:hint="default" w:ascii="Times New Roman" w:hAnsi="Times New Roman" w:eastAsia="仿宋_GB2312" w:cs="Times New Roman"/>
          <w:kern w:val="0"/>
          <w:sz w:val="32"/>
          <w:szCs w:val="32"/>
          <w:lang w:bidi="hi-IN"/>
        </w:rPr>
        <w:t>区民政局、区财政局、区</w:t>
      </w:r>
      <w:r>
        <w:rPr>
          <w:rFonts w:hint="default" w:ascii="Times New Roman" w:hAnsi="Times New Roman" w:eastAsia="仿宋_GB2312" w:cs="Times New Roman"/>
          <w:kern w:val="0"/>
          <w:sz w:val="32"/>
          <w:szCs w:val="32"/>
          <w:lang w:eastAsia="zh-CN" w:bidi="hi-IN"/>
        </w:rPr>
        <w:t>人力资源和社会保障</w:t>
      </w:r>
      <w:r>
        <w:rPr>
          <w:rFonts w:hint="default" w:ascii="Times New Roman" w:hAnsi="Times New Roman" w:eastAsia="仿宋_GB2312" w:cs="Times New Roman"/>
          <w:kern w:val="0"/>
          <w:sz w:val="32"/>
          <w:szCs w:val="32"/>
          <w:lang w:bidi="hi-IN"/>
        </w:rPr>
        <w:t>局、区</w:t>
      </w:r>
      <w:r>
        <w:rPr>
          <w:rFonts w:hint="default" w:ascii="Times New Roman" w:hAnsi="Times New Roman" w:eastAsia="仿宋_GB2312" w:cs="Times New Roman"/>
          <w:kern w:val="0"/>
          <w:sz w:val="32"/>
          <w:szCs w:val="32"/>
          <w:lang w:eastAsia="zh-CN" w:bidi="hi-IN"/>
        </w:rPr>
        <w:t>住房和城乡建设</w:t>
      </w:r>
      <w:r>
        <w:rPr>
          <w:rFonts w:hint="default" w:ascii="Times New Roman" w:hAnsi="Times New Roman" w:eastAsia="仿宋_GB2312" w:cs="Times New Roman"/>
          <w:kern w:val="0"/>
          <w:sz w:val="32"/>
          <w:szCs w:val="32"/>
          <w:lang w:bidi="hi-IN"/>
        </w:rPr>
        <w:t>局、</w:t>
      </w:r>
      <w:r>
        <w:rPr>
          <w:rFonts w:hint="default" w:ascii="Times New Roman" w:hAnsi="Times New Roman" w:eastAsia="仿宋_GB2312" w:cs="Times New Roman"/>
          <w:kern w:val="0"/>
          <w:sz w:val="32"/>
          <w:szCs w:val="32"/>
          <w:lang w:eastAsia="zh-CN" w:bidi="hi-IN"/>
        </w:rPr>
        <w:t>区商务局、</w:t>
      </w:r>
      <w:r>
        <w:rPr>
          <w:rFonts w:hint="default" w:ascii="Times New Roman" w:hAnsi="Times New Roman" w:eastAsia="仿宋_GB2312" w:cs="Times New Roman"/>
          <w:kern w:val="0"/>
          <w:sz w:val="32"/>
          <w:szCs w:val="32"/>
          <w:lang w:bidi="hi-IN"/>
        </w:rPr>
        <w:t>区</w:t>
      </w:r>
      <w:r>
        <w:rPr>
          <w:rFonts w:hint="default" w:ascii="Times New Roman" w:hAnsi="Times New Roman" w:eastAsia="仿宋_GB2312" w:cs="Times New Roman"/>
          <w:kern w:val="0"/>
          <w:sz w:val="32"/>
          <w:szCs w:val="32"/>
          <w:lang w:eastAsia="zh-CN" w:bidi="hi-IN"/>
        </w:rPr>
        <w:t>文化和旅游</w:t>
      </w:r>
      <w:r>
        <w:rPr>
          <w:rFonts w:hint="default" w:ascii="Times New Roman" w:hAnsi="Times New Roman" w:eastAsia="仿宋_GB2312" w:cs="Times New Roman"/>
          <w:kern w:val="0"/>
          <w:sz w:val="32"/>
          <w:szCs w:val="32"/>
          <w:lang w:bidi="hi-IN"/>
        </w:rPr>
        <w:t>局、区卫生</w:t>
      </w:r>
      <w:r>
        <w:rPr>
          <w:rFonts w:hint="default" w:ascii="Times New Roman" w:hAnsi="Times New Roman" w:eastAsia="仿宋_GB2312" w:cs="Times New Roman"/>
          <w:kern w:val="0"/>
          <w:sz w:val="32"/>
          <w:szCs w:val="32"/>
          <w:lang w:eastAsia="zh-CN" w:bidi="hi-IN"/>
        </w:rPr>
        <w:t>健康</w:t>
      </w:r>
      <w:r>
        <w:rPr>
          <w:rFonts w:hint="default" w:ascii="Times New Roman" w:hAnsi="Times New Roman" w:eastAsia="仿宋_GB2312" w:cs="Times New Roman"/>
          <w:kern w:val="0"/>
          <w:sz w:val="32"/>
          <w:szCs w:val="32"/>
          <w:lang w:bidi="hi-IN"/>
        </w:rPr>
        <w:t>局、</w:t>
      </w:r>
      <w:r>
        <w:rPr>
          <w:rFonts w:hint="eastAsia" w:ascii="Times New Roman" w:hAnsi="Times New Roman" w:eastAsia="仿宋_GB2312" w:cs="Times New Roman"/>
          <w:kern w:val="0"/>
          <w:sz w:val="32"/>
          <w:szCs w:val="32"/>
          <w:lang w:eastAsia="zh-CN" w:bidi="hi-IN"/>
        </w:rPr>
        <w:t>区市场监督管理局</w:t>
      </w:r>
      <w:r>
        <w:rPr>
          <w:rFonts w:hint="default" w:ascii="Times New Roman" w:hAnsi="Times New Roman" w:eastAsia="仿宋_GB2312" w:cs="Times New Roman"/>
          <w:kern w:val="0"/>
          <w:sz w:val="32"/>
          <w:szCs w:val="32"/>
          <w:lang w:bidi="hi-IN"/>
        </w:rPr>
        <w:t>、区综合</w:t>
      </w:r>
      <w:r>
        <w:rPr>
          <w:rFonts w:hint="default" w:ascii="Times New Roman" w:hAnsi="Times New Roman" w:eastAsia="仿宋_GB2312" w:cs="Times New Roman"/>
          <w:kern w:val="0"/>
          <w:sz w:val="32"/>
          <w:szCs w:val="32"/>
          <w:lang w:eastAsia="zh-CN" w:bidi="hi-IN"/>
        </w:rPr>
        <w:t>行政</w:t>
      </w:r>
      <w:r>
        <w:rPr>
          <w:rFonts w:hint="default" w:ascii="Times New Roman" w:hAnsi="Times New Roman" w:eastAsia="仿宋_GB2312" w:cs="Times New Roman"/>
          <w:kern w:val="0"/>
          <w:sz w:val="32"/>
          <w:szCs w:val="32"/>
          <w:lang w:bidi="hi-IN"/>
        </w:rPr>
        <w:t>执法局、</w:t>
      </w:r>
      <w:r>
        <w:rPr>
          <w:rFonts w:hint="default" w:ascii="Times New Roman" w:hAnsi="Times New Roman" w:eastAsia="仿宋_GB2312" w:cs="Times New Roman"/>
          <w:kern w:val="0"/>
          <w:sz w:val="32"/>
          <w:szCs w:val="32"/>
          <w:lang w:eastAsia="zh-CN" w:bidi="hi-IN"/>
        </w:rPr>
        <w:t>区</w:t>
      </w:r>
      <w:r>
        <w:rPr>
          <w:rFonts w:hint="eastAsia" w:ascii="Times New Roman" w:hAnsi="Times New Roman" w:eastAsia="仿宋_GB2312" w:cs="Times New Roman"/>
          <w:kern w:val="0"/>
          <w:sz w:val="32"/>
          <w:szCs w:val="32"/>
          <w:lang w:eastAsia="zh-CN" w:bidi="hi-IN"/>
        </w:rPr>
        <w:t>医疗保障</w:t>
      </w:r>
      <w:r>
        <w:rPr>
          <w:rFonts w:hint="default" w:ascii="Times New Roman" w:hAnsi="Times New Roman" w:eastAsia="仿宋_GB2312" w:cs="Times New Roman"/>
          <w:kern w:val="0"/>
          <w:sz w:val="32"/>
          <w:szCs w:val="32"/>
          <w:lang w:eastAsia="zh-CN" w:bidi="hi-IN"/>
        </w:rPr>
        <w:t>局、区市政园林中心、公安环翠分局、</w:t>
      </w:r>
      <w:r>
        <w:rPr>
          <w:rFonts w:hint="default" w:ascii="Times New Roman" w:hAnsi="Times New Roman" w:eastAsia="仿宋_GB2312" w:cs="Times New Roman"/>
          <w:kern w:val="0"/>
          <w:sz w:val="32"/>
          <w:szCs w:val="32"/>
          <w:highlight w:val="none"/>
          <w:lang w:val="en-US" w:eastAsia="zh-CN" w:bidi="hi-IN"/>
        </w:rPr>
        <w:t>里口山管理服务中心</w:t>
      </w:r>
      <w:r>
        <w:rPr>
          <w:rFonts w:hint="default" w:ascii="Times New Roman" w:hAnsi="Times New Roman" w:eastAsia="仿宋_GB2312" w:cs="Times New Roman"/>
          <w:kern w:val="0"/>
          <w:sz w:val="32"/>
          <w:szCs w:val="32"/>
          <w:highlight w:val="none"/>
          <w:lang w:eastAsia="zh-CN" w:bidi="hi-I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黑体" w:cs="Times New Roman"/>
          <w:kern w:val="0"/>
          <w:sz w:val="32"/>
          <w:szCs w:val="32"/>
          <w:lang w:eastAsia="zh-CN" w:bidi="hi-IN"/>
        </w:rPr>
      </w:pPr>
      <w:r>
        <w:rPr>
          <w:rFonts w:hint="eastAsia" w:ascii="Times New Roman" w:hAnsi="Times New Roman" w:eastAsia="黑体" w:cs="Times New Roman"/>
          <w:kern w:val="0"/>
          <w:sz w:val="32"/>
          <w:szCs w:val="32"/>
          <w:lang w:val="en-US" w:eastAsia="zh-CN" w:bidi="hi-IN"/>
        </w:rPr>
        <w:t>二、</w:t>
      </w:r>
      <w:r>
        <w:rPr>
          <w:rFonts w:hint="default" w:ascii="Times New Roman" w:hAnsi="Times New Roman" w:eastAsia="黑体" w:cs="Times New Roman"/>
          <w:kern w:val="0"/>
          <w:sz w:val="32"/>
          <w:szCs w:val="32"/>
          <w:lang w:eastAsia="zh-CN" w:bidi="hi-IN"/>
        </w:rPr>
        <w:t>各单位指标分工</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rPr>
      </w:pPr>
      <w:r>
        <w:rPr>
          <w:rFonts w:hint="default" w:ascii="Times New Roman" w:hAnsi="Times New Roman" w:eastAsia="楷体_GB2312" w:cs="Times New Roman"/>
          <w:bCs/>
          <w:color w:val="000000"/>
          <w:kern w:val="0"/>
          <w:sz w:val="32"/>
          <w:szCs w:val="32"/>
        </w:rPr>
        <w:t>区委宣传部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bidi="hi-IN"/>
        </w:rPr>
      </w:pPr>
      <w:r>
        <w:rPr>
          <w:rFonts w:hint="default" w:ascii="Times New Roman" w:hAnsi="Times New Roman" w:eastAsia="仿宋_GB2312" w:cs="Times New Roman"/>
          <w:kern w:val="0"/>
          <w:sz w:val="32"/>
          <w:szCs w:val="32"/>
          <w:lang w:val="en-US" w:eastAsia="zh-CN" w:bidi="hi-IN"/>
        </w:rPr>
        <w:t>4.</w:t>
      </w:r>
      <w:r>
        <w:rPr>
          <w:rFonts w:hint="default" w:ascii="Times New Roman" w:hAnsi="Times New Roman" w:eastAsia="仿宋_GB2312" w:cs="Times New Roman"/>
          <w:kern w:val="0"/>
          <w:sz w:val="32"/>
          <w:szCs w:val="32"/>
          <w:lang w:bidi="hi-IN"/>
        </w:rPr>
        <w:t>负责引导社会舆论，指导、协调各新闻单位的工作，做好慢性病防控知识宣传，普及慢性病防控知识，组织发布人群慢性病防控有关健康知识。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lang w:eastAsia="zh-CN"/>
        </w:rPr>
        <w:t>区委区直机关工委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eastAsia="zh-CN"/>
        </w:rPr>
        <w:t>组织开展</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eastAsia="zh-CN"/>
        </w:rPr>
        <w:t>无烟机关</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eastAsia="zh-CN"/>
        </w:rPr>
        <w:t>创建活动。不定期现场抽查无烟党政机关（单位）。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5.组织开展全民健康生活方式行动，实施健康细胞工程建设，创建健康机关（单位）占同类单位的30%以上。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6.每年机关、企事业单位组织至少一次健身竞赛活动，落实职工工间操制度，要求覆盖示范区机关、事业单位80%以上。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7.对无烟单位、健康机关（单位）进行督导，包括相关文件、过程资料和现场环境建设等。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区总工会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引导工会组织建立职工参加身体活动和锻炼的制度。在企事业单位落实职工工间操制度，开展工间</w:t>
      </w:r>
      <w:r>
        <w:rPr>
          <w:rFonts w:hint="default" w:ascii="Times New Roman" w:hAnsi="Times New Roman" w:eastAsia="仿宋_GB2312" w:cs="Times New Roman"/>
          <w:color w:val="000000"/>
          <w:kern w:val="0"/>
          <w:sz w:val="32"/>
          <w:szCs w:val="32"/>
          <w:lang w:eastAsia="zh-CN"/>
        </w:rPr>
        <w:t>（前）健身</w:t>
      </w:r>
      <w:r>
        <w:rPr>
          <w:rFonts w:hint="default" w:ascii="Times New Roman" w:hAnsi="Times New Roman" w:eastAsia="仿宋_GB2312" w:cs="Times New Roman"/>
          <w:color w:val="000000"/>
          <w:kern w:val="0"/>
          <w:sz w:val="32"/>
          <w:szCs w:val="32"/>
        </w:rPr>
        <w:t>活动单位覆盖率≥80%</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维护职工健康权益，鼓励企事业单位为职工提供体检机会，员工数超过50人的企业每2年1次体检并开展健康指导，覆盖率</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color w:val="000000"/>
          <w:kern w:val="0"/>
          <w:sz w:val="32"/>
          <w:szCs w:val="32"/>
        </w:rPr>
        <w:t>50%</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6.开展</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CN"/>
        </w:rPr>
        <w:t>一评二控</w:t>
      </w:r>
      <w:r>
        <w:rPr>
          <w:rFonts w:hint="default" w:ascii="Times New Roman" w:hAnsi="Times New Roman" w:eastAsia="仿宋_GB2312" w:cs="Times New Roman"/>
          <w:kern w:val="0"/>
          <w:sz w:val="32"/>
          <w:szCs w:val="32"/>
        </w:rPr>
        <w:t>三减四健</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CN"/>
        </w:rPr>
        <w:t>（健康评估、控烟、控酒、减盐、减油、减糖、健康口腔、健康体重、健康骨骼、健康心理）</w:t>
      </w:r>
      <w:r>
        <w:rPr>
          <w:rFonts w:hint="default" w:ascii="Times New Roman" w:hAnsi="Times New Roman" w:eastAsia="仿宋_GB2312" w:cs="Times New Roman"/>
          <w:kern w:val="0"/>
          <w:sz w:val="32"/>
          <w:szCs w:val="32"/>
        </w:rPr>
        <w:t>相关</w:t>
      </w:r>
      <w:r>
        <w:rPr>
          <w:rFonts w:hint="default" w:ascii="Times New Roman" w:hAnsi="Times New Roman" w:eastAsia="仿宋_GB2312" w:cs="Times New Roman"/>
          <w:kern w:val="0"/>
          <w:sz w:val="32"/>
          <w:szCs w:val="32"/>
          <w:lang w:eastAsia="zh-CN"/>
        </w:rPr>
        <w:t>行动</w:t>
      </w:r>
      <w:r>
        <w:rPr>
          <w:rFonts w:hint="default" w:ascii="Times New Roman" w:hAnsi="Times New Roman" w:eastAsia="仿宋_GB2312" w:cs="Times New Roman"/>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rPr>
      </w:pPr>
      <w:r>
        <w:rPr>
          <w:rFonts w:hint="default" w:ascii="Times New Roman" w:hAnsi="Times New Roman" w:eastAsia="楷体_GB2312" w:cs="Times New Roman"/>
          <w:bCs/>
          <w:color w:val="000000"/>
          <w:kern w:val="0"/>
          <w:sz w:val="32"/>
          <w:szCs w:val="32"/>
        </w:rPr>
        <w:t>团区委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发动青年志愿者积极参与慢性病综合防控示范区建设活动</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spacing w:val="-4"/>
          <w:sz w:val="32"/>
          <w:szCs w:val="32"/>
          <w:highlight w:val="none"/>
        </w:rPr>
      </w:pPr>
      <w:r>
        <w:rPr>
          <w:rFonts w:hint="default" w:ascii="Times New Roman" w:hAnsi="Times New Roman" w:eastAsia="仿宋_GB2312" w:cs="Times New Roman"/>
          <w:color w:val="000000"/>
          <w:kern w:val="0"/>
          <w:sz w:val="32"/>
          <w:szCs w:val="32"/>
          <w:highlight w:val="none"/>
          <w:lang w:val="en-US" w:eastAsia="zh-CN"/>
        </w:rPr>
        <w:t>5.开展</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一评二控</w:t>
      </w:r>
      <w:r>
        <w:rPr>
          <w:rFonts w:hint="default" w:ascii="Times New Roman" w:hAnsi="Times New Roman" w:eastAsia="仿宋_GB2312" w:cs="Times New Roman"/>
          <w:color w:val="000000"/>
          <w:kern w:val="0"/>
          <w:sz w:val="32"/>
          <w:szCs w:val="32"/>
          <w:highlight w:val="none"/>
        </w:rPr>
        <w:t>三减四健</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（健康评估、控烟、控酒、减盐、减油、减糖、健康口腔、健康体重、健康骨骼、健康心理）</w:t>
      </w:r>
      <w:r>
        <w:rPr>
          <w:rFonts w:hint="default" w:ascii="Times New Roman" w:hAnsi="Times New Roman" w:eastAsia="仿宋_GB2312" w:cs="Times New Roman"/>
          <w:color w:val="000000"/>
          <w:kern w:val="0"/>
          <w:sz w:val="32"/>
          <w:szCs w:val="32"/>
          <w:highlight w:val="none"/>
        </w:rPr>
        <w:t>相关</w:t>
      </w:r>
      <w:r>
        <w:rPr>
          <w:rFonts w:hint="default" w:ascii="Times New Roman" w:hAnsi="Times New Roman" w:eastAsia="仿宋_GB2312" w:cs="Times New Roman"/>
          <w:color w:val="000000"/>
          <w:kern w:val="0"/>
          <w:sz w:val="32"/>
          <w:szCs w:val="32"/>
          <w:highlight w:val="none"/>
          <w:lang w:eastAsia="zh-CN"/>
        </w:rPr>
        <w:t>行动</w:t>
      </w:r>
      <w:r>
        <w:rPr>
          <w:rFonts w:hint="default" w:ascii="Times New Roman" w:hAnsi="Times New Roman" w:eastAsia="仿宋_GB2312" w:cs="Times New Roman"/>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highlight w:val="none"/>
        </w:rPr>
      </w:pPr>
      <w:r>
        <w:rPr>
          <w:rFonts w:hint="default" w:ascii="Times New Roman" w:hAnsi="Times New Roman" w:eastAsia="楷体_GB2312" w:cs="Times New Roman"/>
          <w:bCs/>
          <w:color w:val="000000"/>
          <w:kern w:val="0"/>
          <w:sz w:val="32"/>
          <w:szCs w:val="32"/>
          <w:highlight w:val="none"/>
        </w:rPr>
        <w:t>区妇联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推进健康家庭建设，开展健康家庭</w:t>
      </w:r>
      <w:r>
        <w:rPr>
          <w:rFonts w:hint="default" w:ascii="Times New Roman" w:hAnsi="Times New Roman" w:eastAsia="仿宋_GB2312" w:cs="Times New Roman"/>
          <w:color w:val="000000"/>
          <w:kern w:val="0"/>
          <w:sz w:val="32"/>
          <w:szCs w:val="32"/>
          <w:lang w:eastAsia="zh-CN"/>
        </w:rPr>
        <w:t>评选</w:t>
      </w:r>
      <w:r>
        <w:rPr>
          <w:rFonts w:hint="default" w:ascii="Times New Roman" w:hAnsi="Times New Roman" w:eastAsia="仿宋_GB2312" w:cs="Times New Roman"/>
          <w:color w:val="000000"/>
          <w:kern w:val="0"/>
          <w:sz w:val="32"/>
          <w:szCs w:val="32"/>
        </w:rPr>
        <w:t>活动的社区（村）占辖区社区（村）总数的</w:t>
      </w:r>
      <w:r>
        <w:rPr>
          <w:rFonts w:hint="default" w:ascii="Times New Roman" w:hAnsi="Times New Roman" w:eastAsia="仿宋_GB2312" w:cs="Times New Roman"/>
          <w:color w:val="000000"/>
          <w:kern w:val="0"/>
          <w:sz w:val="32"/>
          <w:szCs w:val="32"/>
          <w:lang w:val="en-US" w:eastAsia="zh-CN"/>
        </w:rPr>
        <w:t>40</w:t>
      </w:r>
      <w:r>
        <w:rPr>
          <w:rFonts w:hint="default" w:ascii="Times New Roman" w:hAnsi="Times New Roman" w:eastAsia="仿宋_GB2312" w:cs="Times New Roman"/>
          <w:color w:val="000000"/>
          <w:kern w:val="0"/>
          <w:sz w:val="32"/>
          <w:szCs w:val="32"/>
        </w:rPr>
        <w:t>%以上</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通过发动家庭妇女，普及慢性病知识宣传，落实慢性病干预措施。（活动形式可参考：以妇女为主的健康方式知识讲座</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提倡减盐降压膳食生活</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举办以妇女为主的健康膳食知识竞赛等）</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eastAsia" w:ascii="Times New Roman" w:hAnsi="Times New Roman" w:eastAsia="仿宋_GB2312" w:cs="Times New Roman"/>
          <w:color w:val="000000"/>
          <w:kern w:val="0"/>
          <w:sz w:val="32"/>
          <w:szCs w:val="32"/>
          <w:highlight w:val="none"/>
          <w:lang w:eastAsia="zh-CN"/>
        </w:rPr>
      </w:pPr>
      <w:r>
        <w:rPr>
          <w:rFonts w:hint="default" w:ascii="Times New Roman" w:hAnsi="Times New Roman" w:eastAsia="仿宋_GB2312" w:cs="Times New Roman"/>
          <w:color w:val="000000"/>
          <w:kern w:val="0"/>
          <w:sz w:val="32"/>
          <w:szCs w:val="32"/>
          <w:highlight w:val="none"/>
          <w:lang w:val="en-US" w:eastAsia="zh-CN"/>
        </w:rPr>
        <w:t>6.开展</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一评二控</w:t>
      </w:r>
      <w:r>
        <w:rPr>
          <w:rFonts w:hint="default" w:ascii="Times New Roman" w:hAnsi="Times New Roman" w:eastAsia="仿宋_GB2312" w:cs="Times New Roman"/>
          <w:color w:val="000000"/>
          <w:kern w:val="0"/>
          <w:sz w:val="32"/>
          <w:szCs w:val="32"/>
          <w:highlight w:val="none"/>
        </w:rPr>
        <w:t>三减四健</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（健康评估、控烟、控酒、减盐、减油、减糖、健康口腔、健康体重、健康骨骼、健康心理）</w:t>
      </w:r>
      <w:r>
        <w:rPr>
          <w:rFonts w:hint="default" w:ascii="Times New Roman" w:hAnsi="Times New Roman" w:eastAsia="仿宋_GB2312" w:cs="Times New Roman"/>
          <w:color w:val="000000"/>
          <w:kern w:val="0"/>
          <w:sz w:val="32"/>
          <w:szCs w:val="32"/>
          <w:highlight w:val="none"/>
        </w:rPr>
        <w:t>相关</w:t>
      </w:r>
      <w:r>
        <w:rPr>
          <w:rFonts w:hint="default" w:ascii="Times New Roman" w:hAnsi="Times New Roman" w:eastAsia="仿宋_GB2312" w:cs="Times New Roman"/>
          <w:color w:val="000000"/>
          <w:kern w:val="0"/>
          <w:sz w:val="32"/>
          <w:szCs w:val="32"/>
          <w:highlight w:val="none"/>
          <w:lang w:eastAsia="zh-CN"/>
        </w:rPr>
        <w:t>行动</w:t>
      </w:r>
      <w:r>
        <w:rPr>
          <w:rFonts w:hint="default" w:ascii="Times New Roman" w:hAnsi="Times New Roman" w:eastAsia="仿宋_GB2312" w:cs="Times New Roman"/>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lang w:eastAsia="zh-CN"/>
        </w:rPr>
        <w:t>区融媒体中心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eastAsia="zh-CN"/>
        </w:rPr>
        <w:t>制定卫生健康知识传播计划。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eastAsia="zh-CN"/>
        </w:rPr>
        <w:t>利用社会主流媒体和互联网等新媒体</w:t>
      </w:r>
      <w:r>
        <w:rPr>
          <w:rFonts w:hint="default" w:ascii="Times New Roman" w:hAnsi="Times New Roman" w:eastAsia="仿宋_GB2312" w:cs="Times New Roman"/>
          <w:color w:val="auto"/>
          <w:kern w:val="0"/>
          <w:sz w:val="32"/>
          <w:szCs w:val="32"/>
          <w:lang w:eastAsia="zh-CN"/>
        </w:rPr>
        <w:t>，配合相关部门广泛开展慢性病防制和健康教育，每月不少于</w:t>
      </w:r>
      <w:r>
        <w:rPr>
          <w:rFonts w:hint="default" w:ascii="Times New Roman" w:hAnsi="Times New Roman" w:eastAsia="仿宋_GB2312" w:cs="Times New Roman"/>
          <w:color w:val="auto"/>
          <w:kern w:val="0"/>
          <w:sz w:val="32"/>
          <w:szCs w:val="32"/>
          <w:lang w:val="en-US" w:eastAsia="zh-CN"/>
        </w:rPr>
        <w:t>2次（新闻报道除外），普及慢性病防控知识，提高群众慢性病知识知晓率。</w:t>
      </w:r>
    </w:p>
    <w:p>
      <w:pPr>
        <w:keepNext w:val="0"/>
        <w:keepLines w:val="0"/>
        <w:pageBreakBefore w:val="0"/>
        <w:widowControl w:val="0"/>
        <w:tabs>
          <w:tab w:val="left" w:pos="734"/>
        </w:tabs>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color w:val="auto"/>
          <w:kern w:val="0"/>
          <w:sz w:val="32"/>
          <w:szCs w:val="32"/>
          <w:lang w:val="en-US" w:eastAsia="zh-CN"/>
        </w:rPr>
        <w:t>6.</w:t>
      </w:r>
      <w:r>
        <w:rPr>
          <w:rFonts w:hint="default" w:ascii="Times New Roman" w:hAnsi="Times New Roman" w:eastAsia="仿宋_GB2312" w:cs="Times New Roman"/>
          <w:color w:val="auto"/>
          <w:kern w:val="0"/>
          <w:sz w:val="32"/>
          <w:szCs w:val="32"/>
          <w:lang w:eastAsia="zh-CN"/>
        </w:rPr>
        <w:t>强化健康生活方式与行动促进，配合相关部门每</w:t>
      </w:r>
      <w:r>
        <w:rPr>
          <w:rFonts w:hint="default" w:ascii="Times New Roman" w:hAnsi="Times New Roman" w:eastAsia="仿宋_GB2312" w:cs="Times New Roman"/>
          <w:kern w:val="0"/>
          <w:sz w:val="32"/>
          <w:szCs w:val="32"/>
          <w:lang w:eastAsia="zh-CN"/>
        </w:rPr>
        <w:t>周刊播</w:t>
      </w:r>
      <w:r>
        <w:rPr>
          <w:rFonts w:hint="default" w:ascii="Times New Roman" w:hAnsi="Times New Roman" w:eastAsia="仿宋_GB2312" w:cs="Times New Roman"/>
          <w:kern w:val="0"/>
          <w:sz w:val="32"/>
          <w:szCs w:val="32"/>
          <w:lang w:val="en-US" w:eastAsia="zh-CN"/>
        </w:rPr>
        <w:t>1次公共卫生健康信息和公益宣传广告，可以以滚动字幕的方式播放。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w:t>
      </w:r>
      <w:r>
        <w:rPr>
          <w:rFonts w:hint="default" w:ascii="Times New Roman" w:hAnsi="Times New Roman" w:eastAsia="楷体_GB2312" w:cs="Times New Roman"/>
          <w:bCs/>
          <w:color w:val="000000"/>
          <w:kern w:val="0"/>
          <w:sz w:val="32"/>
          <w:szCs w:val="32"/>
          <w:lang w:eastAsia="zh-CN"/>
        </w:rPr>
        <w:t>发展</w:t>
      </w:r>
      <w:r>
        <w:rPr>
          <w:rFonts w:hint="eastAsia" w:ascii="Times New Roman" w:hAnsi="Times New Roman" w:eastAsia="楷体_GB2312" w:cs="Times New Roman"/>
          <w:bCs/>
          <w:color w:val="000000"/>
          <w:kern w:val="0"/>
          <w:sz w:val="32"/>
          <w:szCs w:val="32"/>
          <w:lang w:eastAsia="zh-CN"/>
        </w:rPr>
        <w:t>和</w:t>
      </w:r>
      <w:r>
        <w:rPr>
          <w:rFonts w:hint="default" w:ascii="Times New Roman" w:hAnsi="Times New Roman" w:eastAsia="楷体_GB2312" w:cs="Times New Roman"/>
          <w:bCs/>
          <w:color w:val="000000"/>
          <w:kern w:val="0"/>
          <w:sz w:val="32"/>
          <w:szCs w:val="32"/>
          <w:lang w:eastAsia="zh-CN"/>
        </w:rPr>
        <w:t>改革局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将慢性病防控工作</w:t>
      </w:r>
      <w:r>
        <w:rPr>
          <w:rFonts w:hint="default" w:ascii="Times New Roman" w:hAnsi="Times New Roman" w:eastAsia="仿宋_GB2312" w:cs="Times New Roman"/>
          <w:color w:val="auto"/>
          <w:kern w:val="0"/>
          <w:sz w:val="32"/>
          <w:szCs w:val="32"/>
        </w:rPr>
        <w:t>纳入</w:t>
      </w:r>
      <w:r>
        <w:rPr>
          <w:rFonts w:hint="default" w:ascii="Times New Roman" w:hAnsi="Times New Roman" w:eastAsia="仿宋_GB2312" w:cs="Times New Roman"/>
          <w:color w:val="auto"/>
          <w:kern w:val="0"/>
          <w:sz w:val="32"/>
          <w:szCs w:val="32"/>
          <w:lang w:eastAsia="zh-CN"/>
        </w:rPr>
        <w:t>国民经济和社会发展规划</w:t>
      </w:r>
      <w:r>
        <w:rPr>
          <w:rFonts w:hint="default" w:ascii="Times New Roman" w:hAnsi="Times New Roman" w:eastAsia="仿宋_GB2312" w:cs="Times New Roman"/>
          <w:color w:val="auto"/>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区教育和</w:t>
      </w:r>
      <w:r>
        <w:rPr>
          <w:rFonts w:hint="default" w:ascii="Times New Roman" w:hAnsi="Times New Roman" w:eastAsia="楷体_GB2312" w:cs="Times New Roman"/>
          <w:bCs/>
          <w:color w:val="000000"/>
          <w:kern w:val="0"/>
          <w:sz w:val="32"/>
          <w:szCs w:val="32"/>
          <w:lang w:eastAsia="zh-CN"/>
        </w:rPr>
        <w:t>体育</w:t>
      </w:r>
      <w:r>
        <w:rPr>
          <w:rFonts w:hint="default" w:ascii="Times New Roman" w:hAnsi="Times New Roman" w:eastAsia="楷体_GB2312" w:cs="Times New Roman"/>
          <w:bCs/>
          <w:color w:val="000000"/>
          <w:kern w:val="0"/>
          <w:sz w:val="32"/>
          <w:szCs w:val="32"/>
        </w:rPr>
        <w:t>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制订学生慢性病防控教学计划，督促各类学校开展健康教育活动，实施青少年体育活动推进计划，中小学生每天锻炼时间不少于1小时</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在中小学校和幼儿园开设健康教育课，覆盖率达100%，健康教育课包括营养均衡、口腔保健、健康体重、视力保护等内容，每学期以班级为单位，课程≥6学时</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5.开展</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无烟学校</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创建活动。不定期现场抽查无烟学校情况。</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6.辖区中小学校及托幼机构有限制销售高糖饮料和零食政策和措施。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rPr>
        <w:t>积极组织在校学生健康查体，学生健康体检率≥90%</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开展口腔健康知识宣传，逐步提高儿童龋齿发现率、充填及时率</w:t>
      </w:r>
      <w:r>
        <w:rPr>
          <w:rFonts w:hint="default" w:ascii="Times New Roman" w:hAnsi="Times New Roman" w:eastAsia="仿宋_GB2312" w:cs="Times New Roman"/>
          <w:kern w:val="0"/>
          <w:sz w:val="32"/>
          <w:szCs w:val="32"/>
          <w:lang w:eastAsia="zh-CN"/>
        </w:rPr>
        <w:t>，组织辖区小学二年级学生参与儿童龋病预防治疗项目，配合定点医疗机构做好项目实施，辖区内实施窝沟封闭学校覆盖率</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60</w:t>
      </w:r>
      <w:r>
        <w:rPr>
          <w:rFonts w:hint="default" w:ascii="Times New Roman" w:hAnsi="Times New Roman" w:eastAsia="仿宋_GB2312" w:cs="Times New Roman"/>
          <w:kern w:val="0"/>
          <w:sz w:val="32"/>
          <w:szCs w:val="32"/>
        </w:rPr>
        <w:t>%，辖区12岁儿童患龋率低于2</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rPr>
        <w:t>推进健康学校建设，建设健康学校占学校总数的30%以上</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学校体育场地免费或者低收费向社区群众开放</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10.</w:t>
      </w:r>
      <w:r>
        <w:rPr>
          <w:rFonts w:hint="default" w:ascii="Times New Roman" w:hAnsi="Times New Roman" w:eastAsia="仿宋_GB2312" w:cs="Times New Roman"/>
          <w:kern w:val="0"/>
          <w:sz w:val="32"/>
          <w:szCs w:val="32"/>
        </w:rPr>
        <w:t>对无烟学校、健康学校进行督导，包括</w:t>
      </w:r>
      <w:r>
        <w:rPr>
          <w:rFonts w:hint="default" w:ascii="Times New Roman" w:hAnsi="Times New Roman" w:eastAsia="仿宋_GB2312" w:cs="Times New Roman"/>
          <w:kern w:val="0"/>
          <w:sz w:val="32"/>
          <w:szCs w:val="32"/>
          <w:lang w:eastAsia="zh-CN"/>
        </w:rPr>
        <w:t>相关</w:t>
      </w:r>
      <w:r>
        <w:rPr>
          <w:rFonts w:hint="default" w:ascii="Times New Roman" w:hAnsi="Times New Roman" w:eastAsia="仿宋_GB2312" w:cs="Times New Roman"/>
          <w:kern w:val="0"/>
          <w:sz w:val="32"/>
          <w:szCs w:val="32"/>
        </w:rPr>
        <w:t>文件、过程资料和现场环境建设等</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11.组织多部门、群众开展集体性健身活动，每年不少于1次；有5个及以上的群众健身团体，配有体育指导员和志愿者，社会体育指导员数量占总人口的2.3</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以上</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每年至少开展1次多部门组织的集体性健身活动；成立1个以上群众健身团队的社区（村）的比例达到60%以上。</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12.公共体育场地设施免费或低收费向社区居民开放；有条件的单位免费或低收费开放比例≥30%。</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13.定期开展政府支持、企事业单位承担参与并积极支持的健身活动，每年≥1次。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rPr>
        <w:t>14.</w:t>
      </w:r>
      <w:r>
        <w:rPr>
          <w:rFonts w:hint="default" w:ascii="Times New Roman" w:hAnsi="Times New Roman" w:eastAsia="仿宋_GB2312" w:cs="Times New Roman"/>
          <w:color w:val="000000"/>
          <w:kern w:val="0"/>
          <w:sz w:val="32"/>
          <w:szCs w:val="32"/>
          <w:highlight w:val="none"/>
          <w:lang w:val="en-US" w:eastAsia="zh-CN"/>
        </w:rPr>
        <w:t>开展</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一评二控</w:t>
      </w:r>
      <w:r>
        <w:rPr>
          <w:rFonts w:hint="default" w:ascii="Times New Roman" w:hAnsi="Times New Roman" w:eastAsia="仿宋_GB2312" w:cs="Times New Roman"/>
          <w:color w:val="000000"/>
          <w:kern w:val="0"/>
          <w:sz w:val="32"/>
          <w:szCs w:val="32"/>
          <w:highlight w:val="none"/>
        </w:rPr>
        <w:t>三减四健</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（健康评估、控烟、控酒、减盐、减油、减糖、健康口腔、健康体重、健康骨骼、健康心理）</w:t>
      </w:r>
      <w:r>
        <w:rPr>
          <w:rFonts w:hint="default" w:ascii="Times New Roman" w:hAnsi="Times New Roman" w:eastAsia="仿宋_GB2312" w:cs="Times New Roman"/>
          <w:color w:val="000000"/>
          <w:kern w:val="0"/>
          <w:sz w:val="32"/>
          <w:szCs w:val="32"/>
          <w:highlight w:val="none"/>
        </w:rPr>
        <w:t>相关</w:t>
      </w:r>
      <w:r>
        <w:rPr>
          <w:rFonts w:hint="default" w:ascii="Times New Roman" w:hAnsi="Times New Roman" w:eastAsia="仿宋_GB2312" w:cs="Times New Roman"/>
          <w:color w:val="000000"/>
          <w:kern w:val="0"/>
          <w:sz w:val="32"/>
          <w:szCs w:val="32"/>
          <w:highlight w:val="none"/>
          <w:lang w:eastAsia="zh-CN"/>
        </w:rPr>
        <w:t>行动</w:t>
      </w:r>
      <w:r>
        <w:rPr>
          <w:rFonts w:hint="default" w:ascii="Times New Roman" w:hAnsi="Times New Roman" w:eastAsia="仿宋_GB2312" w:cs="Times New Roman"/>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rPr>
      </w:pPr>
      <w:r>
        <w:rPr>
          <w:rFonts w:hint="default" w:ascii="Times New Roman" w:hAnsi="Times New Roman" w:eastAsia="楷体_GB2312" w:cs="Times New Roman"/>
          <w:bCs/>
          <w:color w:val="000000"/>
          <w:kern w:val="0"/>
          <w:sz w:val="32"/>
          <w:szCs w:val="32"/>
        </w:rPr>
        <w:t>区科技局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color w:val="auto"/>
          <w:kern w:val="0"/>
          <w:sz w:val="32"/>
          <w:szCs w:val="32"/>
          <w:lang w:val="en-US" w:eastAsia="zh-CN"/>
        </w:rPr>
        <w:t>4.</w:t>
      </w:r>
      <w:r>
        <w:rPr>
          <w:rFonts w:hint="eastAsia" w:ascii="Times New Roman" w:hAnsi="Times New Roman" w:eastAsia="仿宋_GB2312" w:cs="仿宋_GB2312"/>
          <w:color w:val="auto"/>
          <w:sz w:val="32"/>
          <w:szCs w:val="32"/>
        </w:rPr>
        <w:t>协助负责慢性病防制适宜技术引进和转化</w:t>
      </w:r>
      <w:r>
        <w:rPr>
          <w:rFonts w:hint="eastAsia" w:ascii="Times New Roman" w:hAnsi="Times New Roman" w:eastAsia="仿宋_GB2312" w:cs="仿宋_GB2312"/>
          <w:color w:val="auto"/>
          <w:kern w:val="0"/>
          <w:sz w:val="32"/>
          <w:szCs w:val="32"/>
        </w:rPr>
        <w:t>等。</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lang w:eastAsia="zh-CN"/>
        </w:rPr>
        <w:t>区工业和信息化局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4.推进工业信息化健康企业建设，建设健康企业占工业信息化企业总数的30%以上。</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rPr>
      </w:pPr>
      <w:r>
        <w:rPr>
          <w:rFonts w:hint="default" w:ascii="Times New Roman" w:hAnsi="Times New Roman" w:eastAsia="楷体_GB2312" w:cs="Times New Roman"/>
          <w:bCs/>
          <w:color w:val="000000"/>
          <w:kern w:val="0"/>
          <w:sz w:val="32"/>
          <w:szCs w:val="32"/>
        </w:rPr>
        <w:t>区民政局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落实因病（高血压、糖尿病、肿瘤等慢性病）致贫困难家庭</w:t>
      </w:r>
      <w:r>
        <w:rPr>
          <w:rFonts w:hint="default" w:ascii="Times New Roman" w:hAnsi="Times New Roman" w:eastAsia="仿宋_GB2312" w:cs="Times New Roman"/>
          <w:kern w:val="0"/>
          <w:sz w:val="32"/>
          <w:szCs w:val="32"/>
          <w:lang w:eastAsia="zh-CN"/>
        </w:rPr>
        <w:t>相关</w:t>
      </w:r>
      <w:r>
        <w:rPr>
          <w:rFonts w:hint="default" w:ascii="Times New Roman" w:hAnsi="Times New Roman" w:eastAsia="仿宋_GB2312" w:cs="Times New Roman"/>
          <w:kern w:val="0"/>
          <w:sz w:val="32"/>
          <w:szCs w:val="32"/>
        </w:rPr>
        <w:t>救助政策</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rPr>
        <w:t>做好死亡人员殡葬服务环节《死亡医学证明书》查验管理和登记</w:t>
      </w:r>
      <w:r>
        <w:rPr>
          <w:rFonts w:hint="default"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eastAsia="zh-CN"/>
        </w:rPr>
        <w:t>配合医疗机构</w:t>
      </w:r>
      <w:r>
        <w:rPr>
          <w:rFonts w:hint="default" w:ascii="Times New Roman" w:hAnsi="Times New Roman" w:eastAsia="仿宋_GB2312" w:cs="Times New Roman"/>
          <w:kern w:val="0"/>
          <w:sz w:val="32"/>
          <w:szCs w:val="32"/>
        </w:rPr>
        <w:t>通过居家养老、社区养老与机构养老促进慢性病全程防控管理服务。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区财政局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将慢性病综合防制经费纳入政府预算、决算管理，提供慢性病综合防控示范区建设专项工作经费，经费预算执行率100%，疾控机构有专项慢性病防制业务经费，慢性病防控工作经费占疾控机构业务总经费的比例＞10%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w:t>
      </w:r>
      <w:r>
        <w:rPr>
          <w:rFonts w:hint="default" w:ascii="Times New Roman" w:hAnsi="Times New Roman" w:eastAsia="楷体_GB2312" w:cs="Times New Roman"/>
          <w:bCs/>
          <w:color w:val="000000"/>
          <w:kern w:val="0"/>
          <w:sz w:val="32"/>
          <w:szCs w:val="32"/>
          <w:lang w:eastAsia="zh-CN"/>
        </w:rPr>
        <w:t>人力资源和社会保障局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引进慢性病防控高学历、高层次专业人才。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w:t>
      </w:r>
      <w:r>
        <w:rPr>
          <w:rFonts w:hint="default" w:ascii="Times New Roman" w:hAnsi="Times New Roman" w:eastAsia="楷体_GB2312" w:cs="Times New Roman"/>
          <w:bCs/>
          <w:color w:val="000000"/>
          <w:kern w:val="0"/>
          <w:sz w:val="32"/>
          <w:szCs w:val="32"/>
          <w:lang w:eastAsia="zh-CN"/>
        </w:rPr>
        <w:t>住房和城乡建设</w:t>
      </w:r>
      <w:r>
        <w:rPr>
          <w:rFonts w:hint="default" w:ascii="Times New Roman" w:hAnsi="Times New Roman" w:eastAsia="楷体_GB2312" w:cs="Times New Roman"/>
          <w:bCs/>
          <w:color w:val="000000"/>
          <w:kern w:val="0"/>
          <w:sz w:val="32"/>
          <w:szCs w:val="32"/>
        </w:rPr>
        <w:t>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lang w:eastAsia="zh-CN"/>
        </w:rPr>
        <w:t>区商务局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spacing w:val="-6"/>
          <w:kern w:val="0"/>
          <w:sz w:val="32"/>
          <w:szCs w:val="32"/>
          <w:lang w:val="en-US"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eastAsia="zh-CN"/>
        </w:rPr>
        <w:t>负责辖区商场（</w:t>
      </w:r>
      <w:r>
        <w:rPr>
          <w:rFonts w:hint="default" w:ascii="Times New Roman" w:hAnsi="Times New Roman" w:eastAsia="仿宋_GB2312" w:cs="Times New Roman"/>
          <w:kern w:val="0"/>
          <w:sz w:val="32"/>
          <w:szCs w:val="32"/>
          <w:lang w:val="en-US" w:eastAsia="zh-CN"/>
        </w:rPr>
        <w:t>超市</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慢性病宣传阵地建设，抓好慢性病防制知识进超市宣传活动，引导超市采购食品时登记食品有无营养标签；引导超市（商场）设立低盐食品专柜2处；引导消费者使用碘盐及低钠盐，室内公共场所设置禁止吸烟警语标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5.推进健康市场（超市、商场）建设，创建健康市场数量占市场总数的30%。</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rPr>
      </w:pPr>
      <w:r>
        <w:rPr>
          <w:rFonts w:hint="default" w:ascii="Times New Roman" w:hAnsi="Times New Roman" w:eastAsia="楷体_GB2312" w:cs="Times New Roman"/>
          <w:bCs/>
          <w:color w:val="000000"/>
          <w:kern w:val="0"/>
          <w:sz w:val="32"/>
          <w:szCs w:val="32"/>
        </w:rPr>
        <w:t>区</w:t>
      </w:r>
      <w:r>
        <w:rPr>
          <w:rFonts w:hint="default" w:ascii="Times New Roman" w:hAnsi="Times New Roman" w:eastAsia="楷体_GB2312" w:cs="Times New Roman"/>
          <w:bCs/>
          <w:color w:val="000000"/>
          <w:kern w:val="0"/>
          <w:sz w:val="32"/>
          <w:szCs w:val="32"/>
          <w:lang w:eastAsia="zh-CN"/>
        </w:rPr>
        <w:t>文化和旅游</w:t>
      </w:r>
      <w:r>
        <w:rPr>
          <w:rFonts w:hint="default" w:ascii="Times New Roman" w:hAnsi="Times New Roman" w:eastAsia="楷体_GB2312" w:cs="Times New Roman"/>
          <w:bCs/>
          <w:color w:val="000000"/>
          <w:kern w:val="0"/>
          <w:sz w:val="32"/>
          <w:szCs w:val="32"/>
        </w:rPr>
        <w:t>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区卫生</w:t>
      </w:r>
      <w:r>
        <w:rPr>
          <w:rFonts w:hint="default" w:ascii="Times New Roman" w:hAnsi="Times New Roman" w:eastAsia="楷体_GB2312" w:cs="Times New Roman"/>
          <w:bCs/>
          <w:color w:val="000000"/>
          <w:kern w:val="0"/>
          <w:sz w:val="32"/>
          <w:szCs w:val="32"/>
          <w:lang w:eastAsia="zh-CN"/>
        </w:rPr>
        <w:t>健康</w:t>
      </w:r>
      <w:r>
        <w:rPr>
          <w:rFonts w:hint="default" w:ascii="Times New Roman" w:hAnsi="Times New Roman" w:eastAsia="楷体_GB2312" w:cs="Times New Roman"/>
          <w:bCs/>
          <w:color w:val="000000"/>
          <w:kern w:val="0"/>
          <w:sz w:val="32"/>
          <w:szCs w:val="32"/>
        </w:rPr>
        <w:t>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spacing w:val="-6"/>
          <w:kern w:val="0"/>
          <w:sz w:val="32"/>
          <w:szCs w:val="32"/>
          <w:lang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调整技术指导专家组，加强慢性病防制队伍建设和培训，对创建工作进行整体指导考核，为其他成员部门参与创建活动提供技术支持；承担慢性病综合防控工作领导小组办公室日常性工作，每年组织召开领导小组成员部门工作会议1次以上，根据需要召开部门联络员会议；根据人员变动情况调整成员单位慢性病防控工作分管领导及联络员名单；每年组织2次</w:t>
      </w:r>
      <w:r>
        <w:rPr>
          <w:rFonts w:hint="default" w:ascii="Times New Roman" w:hAnsi="Times New Roman" w:eastAsia="仿宋_GB2312" w:cs="Times New Roman"/>
          <w:kern w:val="0"/>
          <w:sz w:val="32"/>
          <w:szCs w:val="32"/>
          <w:lang w:eastAsia="zh-CN"/>
        </w:rPr>
        <w:t>多部门参与的</w:t>
      </w:r>
      <w:r>
        <w:rPr>
          <w:rFonts w:hint="default" w:ascii="Times New Roman" w:hAnsi="Times New Roman" w:eastAsia="仿宋_GB2312" w:cs="Times New Roman"/>
          <w:kern w:val="0"/>
          <w:sz w:val="32"/>
          <w:szCs w:val="32"/>
        </w:rPr>
        <w:t>联合</w:t>
      </w:r>
      <w:r>
        <w:rPr>
          <w:rFonts w:hint="default" w:ascii="Times New Roman" w:hAnsi="Times New Roman" w:eastAsia="仿宋_GB2312" w:cs="Times New Roman"/>
          <w:kern w:val="0"/>
          <w:sz w:val="32"/>
          <w:szCs w:val="32"/>
          <w:lang w:eastAsia="zh-CN"/>
        </w:rPr>
        <w:t>调</w:t>
      </w:r>
      <w:r>
        <w:rPr>
          <w:rFonts w:hint="default" w:ascii="Times New Roman" w:hAnsi="Times New Roman" w:eastAsia="仿宋_GB2312" w:cs="Times New Roman"/>
          <w:spacing w:val="-6"/>
          <w:kern w:val="0"/>
          <w:sz w:val="32"/>
          <w:szCs w:val="32"/>
          <w:lang w:eastAsia="zh-CN"/>
        </w:rPr>
        <w:t>研或</w:t>
      </w:r>
      <w:r>
        <w:rPr>
          <w:rFonts w:hint="default" w:ascii="Times New Roman" w:hAnsi="Times New Roman" w:eastAsia="仿宋_GB2312" w:cs="Times New Roman"/>
          <w:spacing w:val="-6"/>
          <w:kern w:val="0"/>
          <w:sz w:val="32"/>
          <w:szCs w:val="32"/>
        </w:rPr>
        <w:t>督导，并对部门融入慢性病防控政策落实情况进行督导</w:t>
      </w:r>
      <w:r>
        <w:rPr>
          <w:rFonts w:hint="default" w:ascii="Times New Roman" w:hAnsi="Times New Roman" w:eastAsia="仿宋_GB2312" w:cs="Times New Roman"/>
          <w:spacing w:val="-6"/>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健全疾病监测网络和系统，开展全人群居民死</w:t>
      </w:r>
      <w:r>
        <w:rPr>
          <w:rFonts w:hint="default" w:ascii="Times New Roman" w:hAnsi="Times New Roman" w:eastAsia="仿宋_GB2312" w:cs="Times New Roman"/>
          <w:kern w:val="0"/>
          <w:sz w:val="32"/>
          <w:szCs w:val="32"/>
          <w:lang w:eastAsia="zh-CN"/>
        </w:rPr>
        <w:t>因</w:t>
      </w:r>
      <w:r>
        <w:rPr>
          <w:rFonts w:hint="default" w:ascii="Times New Roman" w:hAnsi="Times New Roman" w:eastAsia="仿宋_GB2312" w:cs="Times New Roman"/>
          <w:kern w:val="0"/>
          <w:sz w:val="32"/>
          <w:szCs w:val="32"/>
        </w:rPr>
        <w:t>监测及脑卒中、冠心病和肿瘤发病登记报告工作，监测、报告技术指标符合国家要求；开展全人群慢性病及危险因素抽样调查，掌握人群慢性病及危险因素流行特征</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联合</w:t>
      </w:r>
      <w:r>
        <w:rPr>
          <w:rFonts w:hint="default" w:ascii="Times New Roman" w:hAnsi="Times New Roman" w:eastAsia="仿宋_GB2312" w:cs="Times New Roman"/>
          <w:kern w:val="0"/>
          <w:sz w:val="32"/>
          <w:szCs w:val="32"/>
          <w:lang w:eastAsia="zh-CN"/>
        </w:rPr>
        <w:t>教育</w:t>
      </w:r>
      <w:r>
        <w:rPr>
          <w:rFonts w:hint="default" w:ascii="Times New Roman" w:hAnsi="Times New Roman" w:eastAsia="仿宋_GB2312" w:cs="Times New Roman"/>
          <w:kern w:val="0"/>
          <w:sz w:val="32"/>
          <w:szCs w:val="32"/>
        </w:rPr>
        <w:t>体育、文化</w:t>
      </w:r>
      <w:r>
        <w:rPr>
          <w:rFonts w:hint="default" w:ascii="Times New Roman" w:hAnsi="Times New Roman" w:eastAsia="仿宋_GB2312" w:cs="Times New Roman"/>
          <w:kern w:val="0"/>
          <w:sz w:val="32"/>
          <w:szCs w:val="32"/>
          <w:lang w:eastAsia="zh-CN"/>
        </w:rPr>
        <w:t>和旅游</w:t>
      </w:r>
      <w:r>
        <w:rPr>
          <w:rFonts w:hint="default" w:ascii="Times New Roman" w:hAnsi="Times New Roman" w:eastAsia="仿宋_GB2312" w:cs="Times New Roman"/>
          <w:kern w:val="0"/>
          <w:sz w:val="32"/>
          <w:szCs w:val="32"/>
        </w:rPr>
        <w:t>等部门启动全民健康生活方式行动，每年围绕健康主题宣传日开展4次大型宣传活动；发挥示范引领，以</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健康加油站</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形式在社区、医疗卫生机构建立健康指标自助检测点，并提供个体化健康指导</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rPr>
        <w:t>各级医疗卫生机构积极开展健康医院建设，加强烟草控制，各级医疗卫生机构全面实行禁烟，现场抽查无烟</w:t>
      </w:r>
      <w:r>
        <w:rPr>
          <w:rFonts w:hint="default" w:ascii="Times New Roman" w:hAnsi="Times New Roman" w:eastAsia="仿宋_GB2312" w:cs="Times New Roman"/>
          <w:kern w:val="0"/>
          <w:sz w:val="32"/>
          <w:szCs w:val="32"/>
          <w:lang w:eastAsia="zh-CN"/>
        </w:rPr>
        <w:t>医疗卫生</w:t>
      </w:r>
      <w:r>
        <w:rPr>
          <w:rFonts w:hint="default" w:ascii="Times New Roman" w:hAnsi="Times New Roman" w:eastAsia="仿宋_GB2312" w:cs="Times New Roman"/>
          <w:kern w:val="0"/>
          <w:sz w:val="32"/>
          <w:szCs w:val="32"/>
        </w:rPr>
        <w:t>机构，1个单位不合格不得分；各级医疗机构需要有简短戒烟培训，二级及以上医疗机构设置戒烟门诊，积极指导卫生</w:t>
      </w:r>
      <w:r>
        <w:rPr>
          <w:rFonts w:hint="default" w:ascii="Times New Roman" w:hAnsi="Times New Roman" w:eastAsia="仿宋_GB2312" w:cs="Times New Roman"/>
          <w:kern w:val="0"/>
          <w:sz w:val="32"/>
          <w:szCs w:val="32"/>
          <w:lang w:eastAsia="zh-CN"/>
        </w:rPr>
        <w:t>健康</w:t>
      </w:r>
      <w:r>
        <w:rPr>
          <w:rFonts w:hint="default" w:ascii="Times New Roman" w:hAnsi="Times New Roman" w:eastAsia="仿宋_GB2312" w:cs="Times New Roman"/>
          <w:kern w:val="0"/>
          <w:sz w:val="32"/>
          <w:szCs w:val="32"/>
        </w:rPr>
        <w:t>系统以外的无烟单位创建工作</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rPr>
        <w:t>加强高血压、糖尿病患者规范化管理，管理评价指标达到国家要求；创新慢性病患者自我管理模式，提高患者自我管理积极性和主动性，逐步扩大自我管理人员队伍与覆盖面；加强对高危人群发现和干预，各级医疗机构实行</w:t>
      </w:r>
      <w:r>
        <w:rPr>
          <w:rFonts w:hint="default" w:ascii="Times New Roman" w:hAnsi="Times New Roman" w:eastAsia="仿宋_GB2312" w:cs="Times New Roman"/>
          <w:kern w:val="0"/>
          <w:sz w:val="32"/>
          <w:szCs w:val="32"/>
          <w:lang w:val="en-US" w:eastAsia="zh-CN"/>
        </w:rPr>
        <w:t>18</w:t>
      </w:r>
      <w:r>
        <w:rPr>
          <w:rFonts w:hint="default" w:ascii="Times New Roman" w:hAnsi="Times New Roman" w:eastAsia="仿宋_GB2312" w:cs="Times New Roman"/>
          <w:kern w:val="0"/>
          <w:sz w:val="32"/>
          <w:szCs w:val="32"/>
        </w:rPr>
        <w:t>岁以上人群首诊测血压制度，加强高血压、糖尿病高危人群干预管理，干预效果评价指标达到国家要求</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建立完善慢性病防控服务体系和分工明确、上下联动的工作机制，制定慢性病防控服务体系建设的方案，明确专业公共卫生机构、医院和基层医疗卫生机构职责；建立完善信息共享、互联互通的工作机制，推进慢性病防、治、管的整合；</w:t>
      </w:r>
      <w:r>
        <w:rPr>
          <w:rFonts w:hint="default" w:ascii="Times New Roman" w:hAnsi="Times New Roman" w:eastAsia="仿宋_GB2312" w:cs="Times New Roman"/>
          <w:kern w:val="0"/>
          <w:sz w:val="32"/>
          <w:szCs w:val="32"/>
          <w:lang w:eastAsia="zh-CN"/>
        </w:rPr>
        <w:t>开展医联体、医共体等建设，将慢性病防控作为县域医联体、医共体的重点内容。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10.</w:t>
      </w:r>
      <w:r>
        <w:rPr>
          <w:rFonts w:hint="default" w:ascii="Times New Roman" w:hAnsi="Times New Roman" w:eastAsia="仿宋_GB2312" w:cs="Times New Roman"/>
          <w:kern w:val="0"/>
          <w:sz w:val="32"/>
          <w:szCs w:val="32"/>
        </w:rPr>
        <w:t>加强慢性病防控队伍建设，辖区疾控机构有独立的慢性病防制科，配备专职人员，每年接受上级培训≥2次；二级以上医院有承担疾病预防控制工作的部门，有专职公共卫生人员承担慢性病防控工作，每年对辖区医疗机构的慢性病培训≥2次；基层医疗机构有单独科室、专职公共卫生人员承担慢性病防控工作，每年接受上级培训不少于4次，每年对村医或社区卫生服务站医护人员培训不少于2次</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11.</w:t>
      </w:r>
      <w:r>
        <w:rPr>
          <w:rFonts w:hint="default" w:ascii="Times New Roman" w:hAnsi="Times New Roman" w:eastAsia="仿宋_GB2312" w:cs="Times New Roman"/>
          <w:kern w:val="0"/>
          <w:sz w:val="32"/>
          <w:szCs w:val="32"/>
        </w:rPr>
        <w:t>建立区域卫生信息平台，依托信息平台落实并开展高血压与糖尿病基层首诊、双向转诊、急慢分治、上下联动的分级诊疗制度，积极推进家庭医生签约服务；</w:t>
      </w:r>
      <w:r>
        <w:rPr>
          <w:rFonts w:hint="default" w:ascii="Times New Roman" w:hAnsi="Times New Roman" w:eastAsia="仿宋_GB2312" w:cs="Times New Roman"/>
          <w:kern w:val="0"/>
          <w:sz w:val="32"/>
          <w:szCs w:val="32"/>
          <w:lang w:eastAsia="zh-CN"/>
        </w:rPr>
        <w:t>建立全民健康信息平台和建设全区统一的基层健康信息综合管理系统实现医疗卫生机构间公共卫生服务、诊疗信息互联互通、协同应用。全区普遍应用电子健康卡，应用互联网</w:t>
      </w:r>
      <w:r>
        <w:rPr>
          <w:rFonts w:hint="default" w:ascii="Times New Roman" w:hAnsi="Times New Roman" w:eastAsia="仿宋_GB2312" w:cs="Times New Roman"/>
          <w:kern w:val="0"/>
          <w:sz w:val="32"/>
          <w:szCs w:val="32"/>
          <w:lang w:val="en-US" w:eastAsia="zh-CN"/>
        </w:rPr>
        <w:t>+、健康大数据技术为签约服务的患者提供健康管理和诊疗服务。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中西医并重，发挥中医药在慢性病预防、保健、诊疗、康复中的作用，宣传中医药养生保健知识、推广中医适宜技术</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提高居民重点慢性病核心知识知晓率和居民健康素养水平，提高18岁以上人群高血压和糖尿病知晓率，降低15岁以上成人吸烟率</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医疗机构向居家养老、社区养老与机构养老的老年人提供医养结合的健康养老服务覆盖比例≥80%</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eastAsia="zh-CN"/>
        </w:rPr>
        <w:t>制定慢性病防控社会因素调查方案，</w:t>
      </w:r>
      <w:r>
        <w:rPr>
          <w:rFonts w:hint="default" w:ascii="Times New Roman" w:hAnsi="Times New Roman" w:eastAsia="仿宋_GB2312" w:cs="Times New Roman"/>
          <w:kern w:val="0"/>
          <w:sz w:val="32"/>
          <w:szCs w:val="32"/>
        </w:rPr>
        <w:t>辖区每5年开展一次慢性病防控社会因素调查，综合运用社会学、流行病学等方法开展社会调查，报告信息来源权威准确，报告结果用于</w:t>
      </w:r>
      <w:r>
        <w:rPr>
          <w:rFonts w:hint="default" w:ascii="Times New Roman" w:hAnsi="Times New Roman" w:eastAsia="仿宋_GB2312" w:cs="Times New Roman"/>
          <w:kern w:val="0"/>
          <w:sz w:val="32"/>
          <w:szCs w:val="32"/>
          <w:lang w:eastAsia="zh-CN"/>
        </w:rPr>
        <w:t>反馈</w:t>
      </w:r>
      <w:r>
        <w:rPr>
          <w:rFonts w:hint="default" w:ascii="Times New Roman" w:hAnsi="Times New Roman" w:eastAsia="仿宋_GB2312" w:cs="Times New Roman"/>
          <w:kern w:val="0"/>
          <w:sz w:val="32"/>
          <w:szCs w:val="32"/>
        </w:rPr>
        <w:t>示范区建设及慢性病综合防控工作计划；辖区政府每5年发布人群慢性病防控有关健康信息</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辖区实施儿童窝沟封闭，社区协同开展健康口腔活动，开展窝沟封闭学校覆盖率≥60%，辖区12岁儿童患龋率低于2</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rPr>
        <w:t>慢性病综合防控工作有特色、可复制、可推广，撰写有创新、有特色的案例，推广示范区成功经验</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18.建立口腔疾病防治指导中心，完善口腔健康服务体系。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19.基层医疗卫生机构配备国家或省相关指南、推荐方案建议的高血压、糖尿病等重点慢性病治疗药品，优先使用基本药物。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000000"/>
          <w:kern w:val="0"/>
          <w:sz w:val="32"/>
          <w:szCs w:val="32"/>
          <w:highlight w:val="none"/>
          <w:lang w:eastAsia="zh-CN"/>
        </w:rPr>
      </w:pPr>
      <w:r>
        <w:rPr>
          <w:rFonts w:hint="default" w:ascii="Times New Roman" w:hAnsi="Times New Roman" w:eastAsia="仿宋_GB2312" w:cs="Times New Roman"/>
          <w:kern w:val="0"/>
          <w:sz w:val="32"/>
          <w:szCs w:val="32"/>
          <w:highlight w:val="none"/>
          <w:lang w:val="en-US" w:eastAsia="zh-CN"/>
        </w:rPr>
        <w:t>20.</w:t>
      </w:r>
      <w:r>
        <w:rPr>
          <w:rFonts w:hint="default" w:ascii="Times New Roman" w:hAnsi="Times New Roman" w:eastAsia="仿宋_GB2312" w:cs="Times New Roman"/>
          <w:color w:val="000000"/>
          <w:kern w:val="0"/>
          <w:sz w:val="32"/>
          <w:szCs w:val="32"/>
          <w:highlight w:val="none"/>
          <w:lang w:val="en-US" w:eastAsia="zh-CN"/>
        </w:rPr>
        <w:t>开展</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一评二控</w:t>
      </w:r>
      <w:r>
        <w:rPr>
          <w:rFonts w:hint="default" w:ascii="Times New Roman" w:hAnsi="Times New Roman" w:eastAsia="仿宋_GB2312" w:cs="Times New Roman"/>
          <w:color w:val="000000"/>
          <w:kern w:val="0"/>
          <w:sz w:val="32"/>
          <w:szCs w:val="32"/>
          <w:highlight w:val="none"/>
        </w:rPr>
        <w:t>三减四健</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（健康评估、控烟、控酒、减盐、减油、减糖、健康口腔、健康体重、健康骨骼、健康心理）</w:t>
      </w:r>
      <w:r>
        <w:rPr>
          <w:rFonts w:hint="default" w:ascii="Times New Roman" w:hAnsi="Times New Roman" w:eastAsia="仿宋_GB2312" w:cs="Times New Roman"/>
          <w:color w:val="000000"/>
          <w:kern w:val="0"/>
          <w:sz w:val="32"/>
          <w:szCs w:val="32"/>
          <w:highlight w:val="none"/>
        </w:rPr>
        <w:t>相关</w:t>
      </w:r>
      <w:r>
        <w:rPr>
          <w:rFonts w:hint="default" w:ascii="Times New Roman" w:hAnsi="Times New Roman" w:eastAsia="仿宋_GB2312" w:cs="Times New Roman"/>
          <w:color w:val="000000"/>
          <w:kern w:val="0"/>
          <w:sz w:val="32"/>
          <w:szCs w:val="32"/>
          <w:highlight w:val="none"/>
          <w:lang w:eastAsia="zh-CN"/>
        </w:rPr>
        <w:t>行动</w:t>
      </w:r>
      <w:r>
        <w:rPr>
          <w:rFonts w:hint="default" w:ascii="Times New Roman" w:hAnsi="Times New Roman" w:eastAsia="仿宋_GB2312" w:cs="Times New Roman"/>
          <w:color w:val="000000"/>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eastAsia" w:ascii="Times New Roman" w:hAnsi="Times New Roman" w:eastAsia="楷体_GB2312" w:cs="Times New Roman"/>
          <w:bCs/>
          <w:color w:val="000000"/>
          <w:kern w:val="0"/>
          <w:sz w:val="32"/>
          <w:szCs w:val="32"/>
          <w:lang w:eastAsia="zh-CN"/>
        </w:rPr>
      </w:pPr>
      <w:r>
        <w:rPr>
          <w:rFonts w:hint="eastAsia" w:ascii="Times New Roman" w:hAnsi="Times New Roman" w:eastAsia="楷体_GB2312" w:cs="Times New Roman"/>
          <w:bCs/>
          <w:color w:val="000000"/>
          <w:kern w:val="0"/>
          <w:sz w:val="32"/>
          <w:szCs w:val="32"/>
          <w:lang w:eastAsia="zh-CN"/>
        </w:rPr>
        <w:t>区市场监督管理局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4.</w:t>
      </w:r>
      <w:r>
        <w:rPr>
          <w:rFonts w:hint="eastAsia" w:ascii="Times New Roman" w:hAnsi="Times New Roman" w:eastAsia="仿宋_GB2312" w:cs="Times New Roman"/>
          <w:kern w:val="0"/>
          <w:sz w:val="32"/>
          <w:szCs w:val="32"/>
          <w:lang w:val="en-US" w:eastAsia="zh-CN"/>
        </w:rPr>
        <w:t>加强</w:t>
      </w:r>
      <w:r>
        <w:rPr>
          <w:rFonts w:hint="default" w:ascii="Times New Roman" w:hAnsi="Times New Roman" w:eastAsia="仿宋_GB2312" w:cs="Times New Roman"/>
          <w:kern w:val="0"/>
          <w:sz w:val="32"/>
          <w:szCs w:val="32"/>
        </w:rPr>
        <w:t>烟草广告</w:t>
      </w:r>
      <w:r>
        <w:rPr>
          <w:rFonts w:hint="eastAsia" w:ascii="Times New Roman" w:hAnsi="Times New Roman" w:eastAsia="仿宋_GB2312" w:cs="Times New Roman"/>
          <w:kern w:val="0"/>
          <w:sz w:val="32"/>
          <w:szCs w:val="32"/>
          <w:lang w:eastAsia="zh-CN"/>
        </w:rPr>
        <w:t>发布监测和检查，依法查处发布</w:t>
      </w:r>
      <w:r>
        <w:rPr>
          <w:rFonts w:hint="default" w:ascii="Times New Roman" w:hAnsi="Times New Roman" w:eastAsia="仿宋_GB2312" w:cs="Times New Roman"/>
          <w:kern w:val="0"/>
          <w:sz w:val="32"/>
          <w:szCs w:val="32"/>
        </w:rPr>
        <w:t>烟草广告</w:t>
      </w:r>
      <w:r>
        <w:rPr>
          <w:rFonts w:hint="eastAsia" w:ascii="Times New Roman" w:hAnsi="Times New Roman" w:eastAsia="仿宋_GB2312" w:cs="Times New Roman"/>
          <w:kern w:val="0"/>
          <w:sz w:val="32"/>
          <w:szCs w:val="32"/>
          <w:lang w:eastAsia="zh-CN"/>
        </w:rPr>
        <w:t>违法行为</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color w:val="auto"/>
          <w:kern w:val="0"/>
          <w:sz w:val="32"/>
          <w:szCs w:val="32"/>
          <w:lang w:val="en-US" w:eastAsia="zh-CN"/>
        </w:rPr>
        <w:t>5.</w:t>
      </w:r>
      <w:r>
        <w:rPr>
          <w:rFonts w:hint="eastAsia" w:ascii="Times New Roman" w:hAnsi="Times New Roman" w:eastAsia="仿宋_GB2312" w:cs="Times New Roman"/>
          <w:color w:val="auto"/>
          <w:kern w:val="0"/>
          <w:sz w:val="32"/>
          <w:szCs w:val="32"/>
          <w:lang w:val="en-US" w:eastAsia="zh-CN"/>
        </w:rPr>
        <w:t>协助卫健部门</w:t>
      </w:r>
      <w:r>
        <w:rPr>
          <w:rFonts w:hint="default" w:ascii="Times New Roman" w:hAnsi="Times New Roman" w:eastAsia="仿宋_GB2312" w:cs="Times New Roman"/>
          <w:color w:val="auto"/>
          <w:kern w:val="0"/>
          <w:sz w:val="32"/>
          <w:szCs w:val="32"/>
          <w:lang w:val="en-US" w:eastAsia="zh-CN"/>
        </w:rPr>
        <w:t>推进健康餐厅（</w:t>
      </w:r>
      <w:r>
        <w:rPr>
          <w:rFonts w:hint="default" w:ascii="Times New Roman" w:hAnsi="Times New Roman" w:eastAsia="仿宋_GB2312" w:cs="Times New Roman"/>
          <w:kern w:val="0"/>
          <w:sz w:val="32"/>
          <w:szCs w:val="32"/>
          <w:lang w:val="en-US" w:eastAsia="zh-CN"/>
        </w:rPr>
        <w:t>食堂）建设，健康餐厅（食堂）数量占餐厅（食堂）总数的30%以上。</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6.引导食品生产企业开发和生产低糖、低脂、低盐等有利于健康的食品，加强食品生产质量安全监管，推广食品营养标签。</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rPr>
      </w:pPr>
      <w:r>
        <w:rPr>
          <w:rFonts w:hint="default" w:ascii="Times New Roman" w:hAnsi="Times New Roman" w:eastAsia="楷体_GB2312" w:cs="Times New Roman"/>
          <w:bCs/>
          <w:color w:val="000000"/>
          <w:kern w:val="0"/>
          <w:sz w:val="32"/>
          <w:szCs w:val="32"/>
        </w:rPr>
        <w:t>区综合行政执法局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4.</w:t>
      </w:r>
      <w:r>
        <w:rPr>
          <w:rFonts w:hint="default" w:ascii="Times New Roman" w:hAnsi="Times New Roman" w:eastAsia="仿宋_GB2312" w:cs="Times New Roman"/>
          <w:color w:val="auto"/>
          <w:kern w:val="0"/>
          <w:sz w:val="32"/>
          <w:szCs w:val="32"/>
          <w:lang w:eastAsia="zh-CN"/>
        </w:rPr>
        <w:t>协调</w:t>
      </w:r>
      <w:r>
        <w:rPr>
          <w:rFonts w:hint="eastAsia" w:ascii="Times New Roman" w:hAnsi="Times New Roman" w:eastAsia="仿宋_GB2312" w:cs="Times New Roman"/>
          <w:color w:val="auto"/>
          <w:kern w:val="0"/>
          <w:sz w:val="32"/>
          <w:szCs w:val="32"/>
          <w:lang w:eastAsia="zh-CN"/>
        </w:rPr>
        <w:t>上级单位</w:t>
      </w:r>
      <w:r>
        <w:rPr>
          <w:rFonts w:hint="default" w:ascii="Times New Roman" w:hAnsi="Times New Roman" w:eastAsia="仿宋_GB2312" w:cs="Times New Roman"/>
          <w:color w:val="auto"/>
          <w:kern w:val="0"/>
          <w:sz w:val="32"/>
          <w:szCs w:val="32"/>
          <w:lang w:eastAsia="zh-CN"/>
        </w:rPr>
        <w:t>，配合部门或各镇（街）在公共场所开展户外慢性病防制知识宣传。</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lang w:eastAsia="zh-CN"/>
        </w:rPr>
        <w:t>区</w:t>
      </w:r>
      <w:r>
        <w:rPr>
          <w:rFonts w:hint="eastAsia" w:ascii="Times New Roman" w:hAnsi="Times New Roman" w:eastAsia="楷体_GB2312" w:cs="Times New Roman"/>
          <w:bCs/>
          <w:color w:val="000000"/>
          <w:kern w:val="0"/>
          <w:sz w:val="32"/>
          <w:szCs w:val="32"/>
          <w:lang w:eastAsia="zh-CN"/>
        </w:rPr>
        <w:t>医疗保障</w:t>
      </w:r>
      <w:r>
        <w:rPr>
          <w:rFonts w:hint="default" w:ascii="Times New Roman" w:hAnsi="Times New Roman" w:eastAsia="楷体_GB2312" w:cs="Times New Roman"/>
          <w:bCs/>
          <w:color w:val="000000"/>
          <w:kern w:val="0"/>
          <w:sz w:val="32"/>
          <w:szCs w:val="32"/>
          <w:lang w:eastAsia="zh-CN"/>
        </w:rPr>
        <w:t>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4.落实城镇职工和居民慢性病医疗保障政策，做好参保人员</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的医疗保障工作；提高签约患者的医疗保障水平和困难人群医疗救助水平的具体措施。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5.落实基本医疗保险、大病保险和医疗救助重大疾病保障等相关政策。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6.提供居民保险慢性病报销数据资料。</w:t>
      </w:r>
    </w:p>
    <w:p>
      <w:pPr>
        <w:keepNext w:val="0"/>
        <w:keepLines w:val="0"/>
        <w:pageBreakBefore w:val="0"/>
        <w:widowControl w:val="0"/>
        <w:tabs>
          <w:tab w:val="left" w:pos="734"/>
        </w:tabs>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rPr>
        <w:t>区</w:t>
      </w:r>
      <w:r>
        <w:rPr>
          <w:rFonts w:hint="default" w:ascii="Times New Roman" w:hAnsi="Times New Roman" w:eastAsia="楷体_GB2312" w:cs="Times New Roman"/>
          <w:bCs/>
          <w:color w:val="000000"/>
          <w:kern w:val="0"/>
          <w:sz w:val="32"/>
          <w:szCs w:val="32"/>
          <w:lang w:eastAsia="zh-CN"/>
        </w:rPr>
        <w:t>市政园林服务中心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按时报送慢性病综合防控示范区建设工作开展情况及总结</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bidi="hi-IN"/>
        </w:rPr>
      </w:pPr>
      <w:r>
        <w:rPr>
          <w:rFonts w:hint="default" w:ascii="Times New Roman" w:hAnsi="Times New Roman" w:eastAsia="仿宋_GB2312" w:cs="Times New Roman"/>
          <w:kern w:val="0"/>
          <w:sz w:val="32"/>
          <w:szCs w:val="32"/>
          <w:lang w:val="en-US" w:eastAsia="zh-CN" w:bidi="hi-IN"/>
        </w:rPr>
        <w:t>2.</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，并开展干预措施。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bidi="hi-IN"/>
        </w:rPr>
        <w:t>3.</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eastAsia="zh-CN"/>
        </w:rPr>
        <w:t>建设健康主题广场（公园）、健康步道</w:t>
      </w:r>
      <w:r>
        <w:rPr>
          <w:rFonts w:hint="default" w:ascii="Times New Roman" w:hAnsi="Times New Roman" w:eastAsia="仿宋_GB2312" w:cs="Times New Roman"/>
          <w:kern w:val="0"/>
          <w:sz w:val="32"/>
          <w:szCs w:val="32"/>
          <w:highlight w:val="none"/>
          <w:lang w:eastAsia="zh-CN"/>
        </w:rPr>
        <w:t>工程各</w:t>
      </w:r>
      <w:r>
        <w:rPr>
          <w:rFonts w:hint="default" w:ascii="Times New Roman" w:hAnsi="Times New Roman" w:eastAsia="仿宋_GB2312" w:cs="Times New Roman"/>
          <w:kern w:val="0"/>
          <w:sz w:val="32"/>
          <w:szCs w:val="32"/>
          <w:highlight w:val="none"/>
          <w:lang w:val="en-US" w:eastAsia="zh-CN"/>
        </w:rPr>
        <w:t>3处</w:t>
      </w:r>
      <w:r>
        <w:rPr>
          <w:rFonts w:hint="default" w:ascii="Times New Roman" w:hAnsi="Times New Roman" w:eastAsia="仿宋_GB2312" w:cs="Times New Roman"/>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lang w:eastAsia="zh-CN"/>
        </w:rPr>
      </w:pPr>
      <w:r>
        <w:rPr>
          <w:rFonts w:hint="default" w:ascii="Times New Roman" w:hAnsi="Times New Roman" w:eastAsia="楷体_GB2312" w:cs="Times New Roman"/>
          <w:bCs/>
          <w:color w:val="000000"/>
          <w:kern w:val="0"/>
          <w:sz w:val="32"/>
          <w:szCs w:val="32"/>
          <w:lang w:eastAsia="zh-CN"/>
        </w:rPr>
        <w:t>公安环翠分局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制定本部门的慢性病综合防控示范区建设实施方案，成立领导小组，按时报送慢性病综合防控示范区建设工作开展情况及总结，</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和干预措施</w:t>
      </w:r>
      <w:r>
        <w:rPr>
          <w:rFonts w:hint="default" w:ascii="Times New Roman" w:hAnsi="Times New Roman" w:eastAsia="仿宋_GB2312" w:cs="Times New Roman"/>
          <w:kern w:val="0"/>
          <w:sz w:val="32"/>
          <w:szCs w:val="32"/>
        </w:rPr>
        <w:t>；单位内要开展健康知识宣传，悬挂健康知识宣传看板，室内公共场所和工作场所设置禁止吸烟警语和标识</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每年为卫生健康部门提供分性别、分年龄组的人口学资料，抓好死因监测工作中户口注销环节《死亡医学证明书》查验管理，做好居民死亡登记报告工作。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楷体_GB2312" w:cs="Times New Roman"/>
          <w:bCs/>
          <w:color w:val="000000"/>
          <w:kern w:val="0"/>
          <w:sz w:val="32"/>
          <w:szCs w:val="32"/>
          <w:highlight w:val="none"/>
          <w:lang w:eastAsia="zh-CN"/>
        </w:rPr>
      </w:pPr>
      <w:r>
        <w:rPr>
          <w:rFonts w:hint="default" w:ascii="Times New Roman" w:hAnsi="Times New Roman" w:eastAsia="楷体_GB2312" w:cs="Times New Roman"/>
          <w:bCs/>
          <w:color w:val="000000"/>
          <w:kern w:val="0"/>
          <w:sz w:val="32"/>
          <w:szCs w:val="32"/>
        </w:rPr>
        <w:t>各镇</w:t>
      </w:r>
      <w:r>
        <w:rPr>
          <w:rFonts w:hint="default" w:ascii="Times New Roman" w:hAnsi="Times New Roman" w:eastAsia="楷体_GB2312" w:cs="Times New Roman"/>
          <w:bCs/>
          <w:color w:val="000000"/>
          <w:kern w:val="0"/>
          <w:sz w:val="32"/>
          <w:szCs w:val="32"/>
          <w:lang w:eastAsia="zh-CN"/>
        </w:rPr>
        <w:t>政府（</w:t>
      </w:r>
      <w:r>
        <w:rPr>
          <w:rFonts w:hint="default" w:ascii="Times New Roman" w:hAnsi="Times New Roman" w:eastAsia="楷体_GB2312" w:cs="Times New Roman"/>
          <w:bCs/>
          <w:color w:val="000000"/>
          <w:kern w:val="0"/>
          <w:sz w:val="32"/>
          <w:szCs w:val="32"/>
        </w:rPr>
        <w:t>街道办事处</w:t>
      </w:r>
      <w:r>
        <w:rPr>
          <w:rFonts w:hint="default" w:ascii="Times New Roman" w:hAnsi="Times New Roman" w:eastAsia="楷体_GB2312" w:cs="Times New Roman"/>
          <w:bCs/>
          <w:color w:val="000000"/>
          <w:kern w:val="0"/>
          <w:sz w:val="32"/>
          <w:szCs w:val="32"/>
          <w:lang w:eastAsia="zh-CN"/>
        </w:rPr>
        <w:t>）</w:t>
      </w:r>
      <w:r>
        <w:rPr>
          <w:rFonts w:hint="default" w:ascii="Times New Roman" w:hAnsi="Times New Roman" w:eastAsia="楷体_GB2312" w:cs="Times New Roman"/>
          <w:bCs/>
          <w:color w:val="000000"/>
          <w:kern w:val="0"/>
          <w:sz w:val="32"/>
          <w:szCs w:val="32"/>
          <w:highlight w:val="none"/>
          <w:lang w:eastAsia="zh-CN"/>
        </w:rPr>
        <w:t>、里口山管理服务中心</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制定本辖区的慢性病综合防控示范区建设实施方案，成立领导小组，按时报送慢性病综合防控示范区建设工作开展情况及总结，</w:t>
      </w:r>
      <w:r>
        <w:rPr>
          <w:rFonts w:hint="default" w:ascii="Times New Roman" w:hAnsi="Times New Roman" w:eastAsia="仿宋_GB2312" w:cs="Times New Roman"/>
          <w:kern w:val="0"/>
          <w:sz w:val="32"/>
          <w:szCs w:val="32"/>
          <w:lang w:bidi="hi-IN"/>
        </w:rPr>
        <w:t>将慢性病防控工作融入本部门</w:t>
      </w:r>
      <w:r>
        <w:rPr>
          <w:rFonts w:hint="default" w:ascii="Times New Roman" w:hAnsi="Times New Roman" w:eastAsia="仿宋_GB2312" w:cs="Times New Roman"/>
          <w:kern w:val="0"/>
          <w:sz w:val="32"/>
          <w:szCs w:val="32"/>
          <w:lang w:eastAsia="zh-CN" w:bidi="hi-IN"/>
        </w:rPr>
        <w:t>慢性病危险因素干预、疾病管理相关</w:t>
      </w:r>
      <w:r>
        <w:rPr>
          <w:rFonts w:hint="default" w:ascii="Times New Roman" w:hAnsi="Times New Roman" w:eastAsia="仿宋_GB2312" w:cs="Times New Roman"/>
          <w:kern w:val="0"/>
          <w:sz w:val="32"/>
          <w:szCs w:val="32"/>
          <w:lang w:bidi="hi-IN"/>
        </w:rPr>
        <w:t>政策</w:t>
      </w:r>
      <w:r>
        <w:rPr>
          <w:rFonts w:hint="default" w:ascii="Times New Roman" w:hAnsi="Times New Roman" w:eastAsia="仿宋_GB2312" w:cs="Times New Roman"/>
          <w:kern w:val="0"/>
          <w:sz w:val="32"/>
          <w:szCs w:val="32"/>
          <w:lang w:eastAsia="zh-CN" w:bidi="hi-IN"/>
        </w:rPr>
        <w:t>和干预措施</w:t>
      </w:r>
      <w:r>
        <w:rPr>
          <w:rFonts w:hint="default" w:ascii="Times New Roman" w:hAnsi="Times New Roman" w:eastAsia="仿宋_GB2312" w:cs="Times New Roman"/>
          <w:kern w:val="0"/>
          <w:sz w:val="32"/>
          <w:szCs w:val="32"/>
        </w:rPr>
        <w:t>；机关内要开展控烟及健康知识宣传，张贴健康知识宣传看板，设置室外吸烟区</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开展全民健康生活方式行动，实施健康细胞工程建设，各镇（街）积极开展健康社区（村）、健康机关、健康家庭的创建工作</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开展</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eastAsia="zh-CN"/>
        </w:rPr>
        <w:t>一评二控</w:t>
      </w:r>
      <w:r>
        <w:rPr>
          <w:rFonts w:hint="default" w:ascii="Times New Roman" w:hAnsi="Times New Roman" w:eastAsia="仿宋_GB2312" w:cs="Times New Roman"/>
          <w:color w:val="000000"/>
          <w:kern w:val="0"/>
          <w:sz w:val="32"/>
          <w:szCs w:val="32"/>
        </w:rPr>
        <w:t>三减四健</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eastAsia="zh-CN"/>
        </w:rPr>
        <w:t>（健康评估、控烟、控酒、减盐、减油、减糖、健康口腔、健康体重、健康骨骼、健康心理）</w:t>
      </w:r>
      <w:r>
        <w:rPr>
          <w:rFonts w:hint="default" w:ascii="Times New Roman" w:hAnsi="Times New Roman" w:eastAsia="仿宋_GB2312" w:cs="Times New Roman"/>
          <w:color w:val="000000"/>
          <w:kern w:val="0"/>
          <w:sz w:val="32"/>
          <w:szCs w:val="32"/>
        </w:rPr>
        <w:t>相关</w:t>
      </w:r>
      <w:r>
        <w:rPr>
          <w:rFonts w:hint="default" w:ascii="Times New Roman" w:hAnsi="Times New Roman" w:eastAsia="仿宋_GB2312" w:cs="Times New Roman"/>
          <w:color w:val="000000"/>
          <w:kern w:val="0"/>
          <w:sz w:val="32"/>
          <w:szCs w:val="32"/>
          <w:lang w:eastAsia="zh-CN"/>
        </w:rPr>
        <w:t>行动；</w:t>
      </w:r>
      <w:r>
        <w:rPr>
          <w:rFonts w:hint="default" w:ascii="Times New Roman" w:hAnsi="Times New Roman" w:eastAsia="仿宋_GB2312" w:cs="Times New Roman"/>
          <w:kern w:val="0"/>
          <w:sz w:val="32"/>
          <w:szCs w:val="32"/>
        </w:rPr>
        <w:t>创建健康社区（村）占社区（村）总数的30%以上</w:t>
      </w:r>
      <w:r>
        <w:rPr>
          <w:rFonts w:hint="default" w:ascii="Times New Roman" w:hAnsi="Times New Roman" w:eastAsia="仿宋_GB2312" w:cs="Times New Roman"/>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各社区（村）设有健康教育宣传阵地，向居民普及慢性病防控的知识与技能，健康教育活动室覆盖率85%，健康教育宣传栏覆盖率达90%，内容至少2个月更新1次，社区健康讲座每年≥4次，每次不少于50人</w:t>
      </w:r>
      <w:r>
        <w:rPr>
          <w:rFonts w:hint="default" w:ascii="Times New Roman" w:hAnsi="Times New Roman" w:eastAsia="仿宋_GB2312" w:cs="Times New Roman"/>
          <w:kern w:val="0"/>
          <w:sz w:val="32"/>
          <w:szCs w:val="32"/>
          <w:lang w:eastAsia="zh-CN"/>
        </w:rPr>
        <w:t>。</w:t>
      </w:r>
    </w:p>
    <w:p>
      <w:pPr>
        <w:pStyle w:val="5"/>
        <w:keepNext w:val="0"/>
        <w:keepLines w:val="0"/>
        <w:pageBreakBefore w:val="0"/>
        <w:widowControl w:val="0"/>
        <w:kinsoku/>
        <w:wordWrap/>
        <w:overflowPunct/>
        <w:topLinePunct w:val="0"/>
        <w:autoSpaceDE/>
        <w:autoSpaceDN/>
        <w:bidi w:val="0"/>
        <w:adjustRightInd/>
        <w:spacing w:line="600" w:lineRule="exact"/>
        <w:ind w:firstLine="64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培养基层</w:t>
      </w:r>
      <w:r>
        <w:rPr>
          <w:rFonts w:hint="default" w:ascii="Times New Roman" w:hAnsi="Times New Roman" w:eastAsia="仿宋_GB2312" w:cs="Times New Roman"/>
          <w:sz w:val="32"/>
          <w:szCs w:val="32"/>
        </w:rPr>
        <w:t>健康指导员</w:t>
      </w:r>
      <w:r>
        <w:rPr>
          <w:rFonts w:hint="default" w:ascii="Times New Roman" w:hAnsi="Times New Roman" w:eastAsia="仿宋_GB2312" w:cs="Times New Roman"/>
          <w:sz w:val="32"/>
          <w:szCs w:val="32"/>
          <w:lang w:eastAsia="zh-CN"/>
        </w:rPr>
        <w:t>，配备健康指导员的村（社区）比例达到</w:t>
      </w:r>
      <w:r>
        <w:rPr>
          <w:rFonts w:hint="default" w:ascii="Times New Roman" w:hAnsi="Times New Roman" w:eastAsia="仿宋_GB2312" w:cs="Times New Roman"/>
          <w:sz w:val="32"/>
          <w:szCs w:val="32"/>
          <w:lang w:val="en-US" w:eastAsia="zh-CN"/>
        </w:rPr>
        <w:t>90%以上。</w:t>
      </w:r>
    </w:p>
    <w:p>
      <w:pPr>
        <w:pStyle w:val="5"/>
        <w:keepNext w:val="0"/>
        <w:keepLines w:val="0"/>
        <w:pageBreakBefore w:val="0"/>
        <w:widowControl w:val="0"/>
        <w:kinsoku/>
        <w:wordWrap/>
        <w:overflowPunct/>
        <w:topLinePunct w:val="0"/>
        <w:autoSpaceDE/>
        <w:autoSpaceDN/>
        <w:bidi w:val="0"/>
        <w:adjustRightInd/>
        <w:spacing w:line="600" w:lineRule="exact"/>
        <w:ind w:firstLine="64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5.社区设立自助式健康检测点，设置比例达到40%。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eastAsia" w:ascii="Times New Roman" w:hAnsi="Times New Roman" w:eastAsia="仿宋_GB2312" w:cs="Times New Roman"/>
          <w:kern w:val="0"/>
          <w:sz w:val="32"/>
          <w:szCs w:val="32"/>
          <w:lang w:val="en-US" w:eastAsia="zh-CN" w:bidi="hi-I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eastAsia" w:ascii="Times New Roman" w:hAnsi="Times New Roman"/>
          <w:lang w:eastAsia="zh-CN"/>
        </w:rPr>
      </w:pPr>
      <w:r>
        <w:rPr>
          <w:rFonts w:hint="eastAsia" w:ascii="Times New Roman" w:hAnsi="Times New Roman" w:eastAsia="仿宋_GB2312" w:cs="Times New Roman"/>
          <w:kern w:val="0"/>
          <w:sz w:val="32"/>
          <w:szCs w:val="32"/>
          <w:lang w:val="en-US" w:eastAsia="zh-CN" w:bidi="hi-IN"/>
        </w:rPr>
        <w:t>备注：各单位档案资料准备的起止时间从2019年1月至2024年5月。</w:t>
      </w:r>
    </w:p>
    <w:sectPr>
      <w:headerReference r:id="rId3" w:type="default"/>
      <w:footerReference r:id="rId4" w:type="default"/>
      <w:pgSz w:w="11905" w:h="16838"/>
      <w:pgMar w:top="1701" w:right="1417" w:bottom="1701" w:left="1417" w:header="851" w:footer="1474" w:gutter="0"/>
      <w:pgNumType w:fmt="decimal"/>
      <w:cols w:space="0" w:num="1"/>
      <w:rtlGutter w:val="0"/>
      <w:docGrid w:type="linesAndChars" w:linePitch="593" w:charSpace="3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ngLiU_HKSCS">
    <w:altName w:val="PMingLiU-ExtB"/>
    <w:panose1 w:val="02020500000000000000"/>
    <w:charset w:val="88"/>
    <w:family w:val="roman"/>
    <w:pitch w:val="default"/>
    <w:sig w:usb0="00000000" w:usb1="00000000" w:usb2="00000016" w:usb3="00000000" w:csb0="00100001" w:csb1="00000000"/>
  </w:font>
  <w:font w:name="OIOLDC+CTBiaoSongSJ">
    <w:altName w:val="仿宋_GB2312"/>
    <w:panose1 w:val="00000000000000000000"/>
    <w:charset w:val="86"/>
    <w:family w:val="swiss"/>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0" w:leftChars="0" w:firstLine="0" w:firstLineChars="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00172A27"/>
    <w:rsid w:val="00233B68"/>
    <w:rsid w:val="003D4D11"/>
    <w:rsid w:val="003F5463"/>
    <w:rsid w:val="004F3CB4"/>
    <w:rsid w:val="004F724C"/>
    <w:rsid w:val="00577841"/>
    <w:rsid w:val="006012E4"/>
    <w:rsid w:val="00632478"/>
    <w:rsid w:val="007666C3"/>
    <w:rsid w:val="008757C1"/>
    <w:rsid w:val="00951B68"/>
    <w:rsid w:val="00A505E5"/>
    <w:rsid w:val="00AD63E7"/>
    <w:rsid w:val="00B72545"/>
    <w:rsid w:val="00B82DC9"/>
    <w:rsid w:val="00B95583"/>
    <w:rsid w:val="00CC6F58"/>
    <w:rsid w:val="00D2364F"/>
    <w:rsid w:val="00DD3B83"/>
    <w:rsid w:val="00E073A6"/>
    <w:rsid w:val="00F55187"/>
    <w:rsid w:val="013776AF"/>
    <w:rsid w:val="022906A2"/>
    <w:rsid w:val="02413F62"/>
    <w:rsid w:val="0289047E"/>
    <w:rsid w:val="02D97794"/>
    <w:rsid w:val="03031140"/>
    <w:rsid w:val="03193871"/>
    <w:rsid w:val="036E18F9"/>
    <w:rsid w:val="03967037"/>
    <w:rsid w:val="03997930"/>
    <w:rsid w:val="03ED2496"/>
    <w:rsid w:val="042B4763"/>
    <w:rsid w:val="05777089"/>
    <w:rsid w:val="059C04D5"/>
    <w:rsid w:val="066A68EC"/>
    <w:rsid w:val="078C09CB"/>
    <w:rsid w:val="079926C3"/>
    <w:rsid w:val="08274D4F"/>
    <w:rsid w:val="083B011E"/>
    <w:rsid w:val="08B84C27"/>
    <w:rsid w:val="08C4360A"/>
    <w:rsid w:val="093D7627"/>
    <w:rsid w:val="09D36B5B"/>
    <w:rsid w:val="0A550843"/>
    <w:rsid w:val="0AB81F06"/>
    <w:rsid w:val="0AC242C6"/>
    <w:rsid w:val="0AE05CA9"/>
    <w:rsid w:val="0B0929E9"/>
    <w:rsid w:val="0B6A5BF9"/>
    <w:rsid w:val="0BBC7957"/>
    <w:rsid w:val="0CDD71F7"/>
    <w:rsid w:val="0D034501"/>
    <w:rsid w:val="0D2072F9"/>
    <w:rsid w:val="0D7F2722"/>
    <w:rsid w:val="0DBD43FB"/>
    <w:rsid w:val="0E955921"/>
    <w:rsid w:val="0F9D4B89"/>
    <w:rsid w:val="114F6231"/>
    <w:rsid w:val="11F21B77"/>
    <w:rsid w:val="12066EB8"/>
    <w:rsid w:val="12E27A7B"/>
    <w:rsid w:val="132654D8"/>
    <w:rsid w:val="1396571C"/>
    <w:rsid w:val="139965D9"/>
    <w:rsid w:val="140B5B8E"/>
    <w:rsid w:val="14CE7BF2"/>
    <w:rsid w:val="15421BEA"/>
    <w:rsid w:val="169321C3"/>
    <w:rsid w:val="16A27AC2"/>
    <w:rsid w:val="16CD4A67"/>
    <w:rsid w:val="16F474FB"/>
    <w:rsid w:val="1711634F"/>
    <w:rsid w:val="17337DBB"/>
    <w:rsid w:val="17B33D70"/>
    <w:rsid w:val="18C7664D"/>
    <w:rsid w:val="193D1A70"/>
    <w:rsid w:val="19B845DE"/>
    <w:rsid w:val="1A00554E"/>
    <w:rsid w:val="1A9F5AEC"/>
    <w:rsid w:val="1AAB6344"/>
    <w:rsid w:val="1AB740F8"/>
    <w:rsid w:val="1AF32E2E"/>
    <w:rsid w:val="1B3E7D0A"/>
    <w:rsid w:val="1B482C39"/>
    <w:rsid w:val="1B7350F0"/>
    <w:rsid w:val="1BB67128"/>
    <w:rsid w:val="1C333A94"/>
    <w:rsid w:val="1C7E45DE"/>
    <w:rsid w:val="1D3B118D"/>
    <w:rsid w:val="1D4213BE"/>
    <w:rsid w:val="1E7441C8"/>
    <w:rsid w:val="1F1D46B8"/>
    <w:rsid w:val="1FB84926"/>
    <w:rsid w:val="210E5FEF"/>
    <w:rsid w:val="223F684C"/>
    <w:rsid w:val="229A12D7"/>
    <w:rsid w:val="22E72BEF"/>
    <w:rsid w:val="238A7A57"/>
    <w:rsid w:val="23AA02B1"/>
    <w:rsid w:val="23E7987C"/>
    <w:rsid w:val="24333BE3"/>
    <w:rsid w:val="24574F20"/>
    <w:rsid w:val="24D57D3F"/>
    <w:rsid w:val="25226E76"/>
    <w:rsid w:val="253267C5"/>
    <w:rsid w:val="257D111F"/>
    <w:rsid w:val="25F175E1"/>
    <w:rsid w:val="2675794F"/>
    <w:rsid w:val="26EE25E2"/>
    <w:rsid w:val="288434E9"/>
    <w:rsid w:val="298D65E8"/>
    <w:rsid w:val="29A9236C"/>
    <w:rsid w:val="2AD74A1D"/>
    <w:rsid w:val="2B316FFC"/>
    <w:rsid w:val="2B612BE5"/>
    <w:rsid w:val="2BAA5FEA"/>
    <w:rsid w:val="2C1D6369"/>
    <w:rsid w:val="2C2108A6"/>
    <w:rsid w:val="2C64204C"/>
    <w:rsid w:val="2CA17A1C"/>
    <w:rsid w:val="2CD71897"/>
    <w:rsid w:val="2D1D6F61"/>
    <w:rsid w:val="2D3C3206"/>
    <w:rsid w:val="2D541B80"/>
    <w:rsid w:val="2DCB2BAE"/>
    <w:rsid w:val="2E896335"/>
    <w:rsid w:val="2E9C14D0"/>
    <w:rsid w:val="2EC067D1"/>
    <w:rsid w:val="2EEE4EF1"/>
    <w:rsid w:val="2EFB2CBE"/>
    <w:rsid w:val="2FA0653C"/>
    <w:rsid w:val="312C3C16"/>
    <w:rsid w:val="31B26554"/>
    <w:rsid w:val="32E33370"/>
    <w:rsid w:val="3314276E"/>
    <w:rsid w:val="334515C0"/>
    <w:rsid w:val="33893EE8"/>
    <w:rsid w:val="33AEC8D2"/>
    <w:rsid w:val="33C7128E"/>
    <w:rsid w:val="343F46BF"/>
    <w:rsid w:val="34A428C6"/>
    <w:rsid w:val="354B6B44"/>
    <w:rsid w:val="356D6406"/>
    <w:rsid w:val="364137D4"/>
    <w:rsid w:val="3717254E"/>
    <w:rsid w:val="37381243"/>
    <w:rsid w:val="373C4D83"/>
    <w:rsid w:val="375861B8"/>
    <w:rsid w:val="37924EE9"/>
    <w:rsid w:val="37927B74"/>
    <w:rsid w:val="381B5827"/>
    <w:rsid w:val="385450BA"/>
    <w:rsid w:val="38F577B9"/>
    <w:rsid w:val="38FB45D2"/>
    <w:rsid w:val="39641499"/>
    <w:rsid w:val="39ED0981"/>
    <w:rsid w:val="3A3E3BE2"/>
    <w:rsid w:val="3A4A1178"/>
    <w:rsid w:val="3B667D9A"/>
    <w:rsid w:val="3B8160D1"/>
    <w:rsid w:val="3B9D615B"/>
    <w:rsid w:val="3BDF1C46"/>
    <w:rsid w:val="3C104E5C"/>
    <w:rsid w:val="3C284AD6"/>
    <w:rsid w:val="3D1C0EE3"/>
    <w:rsid w:val="3D32682C"/>
    <w:rsid w:val="3D590965"/>
    <w:rsid w:val="3DDA7EFB"/>
    <w:rsid w:val="3EA2BEA6"/>
    <w:rsid w:val="3F43395D"/>
    <w:rsid w:val="3F4F8BB2"/>
    <w:rsid w:val="3F7F93C0"/>
    <w:rsid w:val="3FF8DBFC"/>
    <w:rsid w:val="400C7DCB"/>
    <w:rsid w:val="405E0A1C"/>
    <w:rsid w:val="40FC121F"/>
    <w:rsid w:val="410D76C4"/>
    <w:rsid w:val="41177685"/>
    <w:rsid w:val="413B3EB7"/>
    <w:rsid w:val="41E80EEB"/>
    <w:rsid w:val="41F955F2"/>
    <w:rsid w:val="425E0227"/>
    <w:rsid w:val="42731488"/>
    <w:rsid w:val="43072BE0"/>
    <w:rsid w:val="439050B2"/>
    <w:rsid w:val="43BB6C18"/>
    <w:rsid w:val="43CE327F"/>
    <w:rsid w:val="44045C58"/>
    <w:rsid w:val="442C7784"/>
    <w:rsid w:val="44787C08"/>
    <w:rsid w:val="451D4D14"/>
    <w:rsid w:val="459221D4"/>
    <w:rsid w:val="45DF2BC4"/>
    <w:rsid w:val="47351E32"/>
    <w:rsid w:val="4737043E"/>
    <w:rsid w:val="477F0EF6"/>
    <w:rsid w:val="48A66C47"/>
    <w:rsid w:val="49121BEA"/>
    <w:rsid w:val="4A0803E8"/>
    <w:rsid w:val="4A6E0A90"/>
    <w:rsid w:val="4B803268"/>
    <w:rsid w:val="4B9C40E9"/>
    <w:rsid w:val="4C5E165F"/>
    <w:rsid w:val="4CD358F8"/>
    <w:rsid w:val="4CD41374"/>
    <w:rsid w:val="4E1C2208"/>
    <w:rsid w:val="4E58507B"/>
    <w:rsid w:val="4E821E26"/>
    <w:rsid w:val="505A492D"/>
    <w:rsid w:val="50F70033"/>
    <w:rsid w:val="50FC1F67"/>
    <w:rsid w:val="522F2FB9"/>
    <w:rsid w:val="52A427E2"/>
    <w:rsid w:val="52C7288B"/>
    <w:rsid w:val="53DD2EB9"/>
    <w:rsid w:val="5416418B"/>
    <w:rsid w:val="54166BB5"/>
    <w:rsid w:val="545E4250"/>
    <w:rsid w:val="54F3210E"/>
    <w:rsid w:val="55A416BE"/>
    <w:rsid w:val="55A61D12"/>
    <w:rsid w:val="55F16CD8"/>
    <w:rsid w:val="56ED4332"/>
    <w:rsid w:val="57156EB3"/>
    <w:rsid w:val="57AA7529"/>
    <w:rsid w:val="583E48B3"/>
    <w:rsid w:val="586C4150"/>
    <w:rsid w:val="58D9434C"/>
    <w:rsid w:val="596F0287"/>
    <w:rsid w:val="59D750A1"/>
    <w:rsid w:val="59EE16C8"/>
    <w:rsid w:val="5A1770F7"/>
    <w:rsid w:val="5A78654C"/>
    <w:rsid w:val="5AC02705"/>
    <w:rsid w:val="5B1A4CC2"/>
    <w:rsid w:val="5B3B1357"/>
    <w:rsid w:val="5B66703D"/>
    <w:rsid w:val="5BD02261"/>
    <w:rsid w:val="5C0B4BC1"/>
    <w:rsid w:val="5CF101B8"/>
    <w:rsid w:val="5D0E5A0C"/>
    <w:rsid w:val="5D4A39DC"/>
    <w:rsid w:val="5D573A29"/>
    <w:rsid w:val="5D7D06A3"/>
    <w:rsid w:val="5DC245A3"/>
    <w:rsid w:val="5DC472D4"/>
    <w:rsid w:val="5DEA1324"/>
    <w:rsid w:val="5E9B6246"/>
    <w:rsid w:val="5EDD629F"/>
    <w:rsid w:val="5F4F6455"/>
    <w:rsid w:val="5F7A4513"/>
    <w:rsid w:val="5F7F1523"/>
    <w:rsid w:val="5FBB005F"/>
    <w:rsid w:val="5FE37844"/>
    <w:rsid w:val="605F7014"/>
    <w:rsid w:val="60785826"/>
    <w:rsid w:val="60796BB6"/>
    <w:rsid w:val="608024D7"/>
    <w:rsid w:val="60E06F84"/>
    <w:rsid w:val="60ED0B3D"/>
    <w:rsid w:val="61276B99"/>
    <w:rsid w:val="61290528"/>
    <w:rsid w:val="617C6AB5"/>
    <w:rsid w:val="64315E00"/>
    <w:rsid w:val="645B761E"/>
    <w:rsid w:val="646648CF"/>
    <w:rsid w:val="648314A6"/>
    <w:rsid w:val="648760D1"/>
    <w:rsid w:val="652C4E61"/>
    <w:rsid w:val="65740BE9"/>
    <w:rsid w:val="660A76A1"/>
    <w:rsid w:val="66287A2C"/>
    <w:rsid w:val="667B05EC"/>
    <w:rsid w:val="668272AC"/>
    <w:rsid w:val="676C7EEF"/>
    <w:rsid w:val="677B7B7E"/>
    <w:rsid w:val="67C31210"/>
    <w:rsid w:val="67FE4A7B"/>
    <w:rsid w:val="685850C1"/>
    <w:rsid w:val="69590884"/>
    <w:rsid w:val="69D3057F"/>
    <w:rsid w:val="69EB3097"/>
    <w:rsid w:val="6A9722FA"/>
    <w:rsid w:val="6AD86129"/>
    <w:rsid w:val="6B5116CA"/>
    <w:rsid w:val="6C130903"/>
    <w:rsid w:val="6C2770A3"/>
    <w:rsid w:val="6C55711F"/>
    <w:rsid w:val="6C9C1458"/>
    <w:rsid w:val="6CC0342E"/>
    <w:rsid w:val="6CE225E8"/>
    <w:rsid w:val="6CFF5203"/>
    <w:rsid w:val="6DAE6A8D"/>
    <w:rsid w:val="6E1E77C1"/>
    <w:rsid w:val="6E7B5FB6"/>
    <w:rsid w:val="6EA1749B"/>
    <w:rsid w:val="6F5D7D06"/>
    <w:rsid w:val="6FE054DB"/>
    <w:rsid w:val="6FF46241"/>
    <w:rsid w:val="70F64F3A"/>
    <w:rsid w:val="71662239"/>
    <w:rsid w:val="72284A16"/>
    <w:rsid w:val="727644F9"/>
    <w:rsid w:val="72F050AE"/>
    <w:rsid w:val="73C70E62"/>
    <w:rsid w:val="73CD639B"/>
    <w:rsid w:val="73F749B8"/>
    <w:rsid w:val="74801D65"/>
    <w:rsid w:val="75247DE5"/>
    <w:rsid w:val="75CA4EDF"/>
    <w:rsid w:val="75D22825"/>
    <w:rsid w:val="75E06DCF"/>
    <w:rsid w:val="76377F56"/>
    <w:rsid w:val="76382839"/>
    <w:rsid w:val="76805859"/>
    <w:rsid w:val="768D7752"/>
    <w:rsid w:val="76E00AC0"/>
    <w:rsid w:val="77095839"/>
    <w:rsid w:val="77175B2A"/>
    <w:rsid w:val="771D4C1B"/>
    <w:rsid w:val="7791039B"/>
    <w:rsid w:val="784F5CA5"/>
    <w:rsid w:val="792533AB"/>
    <w:rsid w:val="795921B0"/>
    <w:rsid w:val="796D0F54"/>
    <w:rsid w:val="796E5028"/>
    <w:rsid w:val="7A893684"/>
    <w:rsid w:val="7AD47D06"/>
    <w:rsid w:val="7AD54F0A"/>
    <w:rsid w:val="7AEFEEEA"/>
    <w:rsid w:val="7B7FA688"/>
    <w:rsid w:val="7C311F0E"/>
    <w:rsid w:val="7C9A4E31"/>
    <w:rsid w:val="7CD15B69"/>
    <w:rsid w:val="7CFC4F6C"/>
    <w:rsid w:val="7CFE15DD"/>
    <w:rsid w:val="7DF0445A"/>
    <w:rsid w:val="7EBD81E3"/>
    <w:rsid w:val="7EDE1EB3"/>
    <w:rsid w:val="7F30508C"/>
    <w:rsid w:val="7FB82880"/>
    <w:rsid w:val="7FBE5377"/>
    <w:rsid w:val="A7FF5AA0"/>
    <w:rsid w:val="AFF7AD0E"/>
    <w:rsid w:val="CD579761"/>
    <w:rsid w:val="D4FA8213"/>
    <w:rsid w:val="DE7FA4CE"/>
    <w:rsid w:val="DF6F9DB4"/>
    <w:rsid w:val="DFC66FC8"/>
    <w:rsid w:val="E37D5C9C"/>
    <w:rsid w:val="E3FBCAA1"/>
    <w:rsid w:val="E5FF5D23"/>
    <w:rsid w:val="EBE7C5D0"/>
    <w:rsid w:val="EDCE8C2D"/>
    <w:rsid w:val="EEF668AF"/>
    <w:rsid w:val="EF228CDD"/>
    <w:rsid w:val="EFE7FC13"/>
    <w:rsid w:val="F6F9D727"/>
    <w:rsid w:val="FD2722FF"/>
    <w:rsid w:val="FFE4A6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link w:val="18"/>
    <w:unhideWhenUsed/>
    <w:qFormat/>
    <w:uiPriority w:val="0"/>
    <w:pPr>
      <w:tabs>
        <w:tab w:val="center" w:pos="4153"/>
        <w:tab w:val="right" w:pos="8306"/>
      </w:tabs>
      <w:snapToGrid w:val="0"/>
      <w:jc w:val="left"/>
    </w:pPr>
    <w:rPr>
      <w:sz w:val="18"/>
      <w:szCs w:val="18"/>
    </w:rPr>
  </w:style>
  <w:style w:type="paragraph" w:styleId="6">
    <w:name w:val="Normal Indent"/>
    <w:basedOn w:val="1"/>
    <w:unhideWhenUsed/>
    <w:qFormat/>
    <w:uiPriority w:val="99"/>
    <w:pPr>
      <w:spacing w:line="240" w:lineRule="atLeast"/>
      <w:ind w:firstLine="420" w:firstLineChars="200"/>
    </w:pPr>
    <w:rPr>
      <w:rFonts w:ascii="仿宋_GB2312" w:hAnsi="仿宋_GB2312" w:eastAsia="仿宋_GB2312" w:cs="Times New Roman"/>
      <w:sz w:val="32"/>
      <w:szCs w:val="20"/>
    </w:rPr>
  </w:style>
  <w:style w:type="paragraph" w:styleId="7">
    <w:name w:val="Body Text"/>
    <w:basedOn w:val="1"/>
    <w:next w:val="1"/>
    <w:unhideWhenUsed/>
    <w:qFormat/>
    <w:uiPriority w:val="1"/>
    <w:pPr>
      <w:spacing w:before="31"/>
      <w:ind w:left="108" w:firstLine="638"/>
    </w:pPr>
    <w:rPr>
      <w:rFonts w:hint="eastAsia" w:ascii="宋体" w:hAnsi="宋体"/>
      <w:sz w:val="32"/>
      <w:szCs w:val="24"/>
    </w:rPr>
  </w:style>
  <w:style w:type="paragraph" w:styleId="8">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9">
    <w:name w:val="Plain Text"/>
    <w:basedOn w:val="1"/>
    <w:unhideWhenUsed/>
    <w:qFormat/>
    <w:uiPriority w:val="99"/>
    <w:pPr>
      <w:spacing w:beforeLines="0" w:afterLines="0"/>
    </w:pPr>
    <w:rPr>
      <w:rFonts w:hint="eastAsia" w:ascii="宋体" w:hAnsi="Courier New"/>
      <w:sz w:val="21"/>
      <w:szCs w:val="21"/>
    </w:rPr>
  </w:style>
  <w:style w:type="paragraph" w:styleId="10">
    <w:name w:val="Balloon Text"/>
    <w:basedOn w:val="1"/>
    <w:link w:val="21"/>
    <w:qFormat/>
    <w:uiPriority w:val="0"/>
    <w:rPr>
      <w:rFonts w:ascii="仿宋_GB2312" w:hAnsi="仿宋_GB2312" w:eastAsia="仿宋_GB2312" w:cs="Times New Roman"/>
      <w:sz w:val="18"/>
      <w:szCs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Body Text First Indent"/>
    <w:basedOn w:val="7"/>
    <w:qFormat/>
    <w:uiPriority w:val="0"/>
    <w:pPr>
      <w:ind w:firstLine="420" w:firstLineChars="100"/>
    </w:pPr>
    <w:rPr>
      <w:rFonts w:eastAsia="楷体"/>
      <w:sz w:val="28"/>
      <w:szCs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页眉 Char"/>
    <w:basedOn w:val="15"/>
    <w:link w:val="4"/>
    <w:qFormat/>
    <w:uiPriority w:val="99"/>
    <w:rPr>
      <w:sz w:val="18"/>
      <w:szCs w:val="18"/>
    </w:rPr>
  </w:style>
  <w:style w:type="character" w:customStyle="1" w:styleId="18">
    <w:name w:val="页脚 Char"/>
    <w:basedOn w:val="15"/>
    <w:link w:val="5"/>
    <w:qFormat/>
    <w:uiPriority w:val="0"/>
    <w:rPr>
      <w:sz w:val="18"/>
      <w:szCs w:val="18"/>
    </w:rPr>
  </w:style>
  <w:style w:type="paragraph" w:styleId="19">
    <w:name w:val="List Paragraph"/>
    <w:basedOn w:val="1"/>
    <w:qFormat/>
    <w:uiPriority w:val="34"/>
    <w:pPr>
      <w:spacing w:line="240" w:lineRule="atLeast"/>
      <w:ind w:firstLine="420" w:firstLineChars="200"/>
    </w:pPr>
    <w:rPr>
      <w:rFonts w:ascii="仿宋_GB2312" w:hAnsi="仿宋_GB2312" w:eastAsia="仿宋_GB2312" w:cs="Times New Roman"/>
      <w:sz w:val="32"/>
      <w:szCs w:val="20"/>
    </w:rPr>
  </w:style>
  <w:style w:type="paragraph" w:customStyle="1" w:styleId="20">
    <w:name w:val="无间隔1"/>
    <w:qFormat/>
    <w:uiPriority w:val="99"/>
    <w:pPr>
      <w:widowControl w:val="0"/>
    </w:pPr>
    <w:rPr>
      <w:rFonts w:ascii="MingLiU_HKSCS" w:hAnsi="MingLiU_HKSCS" w:eastAsia="MingLiU_HKSCS" w:cs="MingLiU_HKSCS"/>
      <w:color w:val="000000"/>
      <w:sz w:val="24"/>
      <w:szCs w:val="24"/>
      <w:lang w:val="zh-TW" w:eastAsia="zh-TW" w:bidi="ar-SA"/>
    </w:rPr>
  </w:style>
  <w:style w:type="character" w:customStyle="1" w:styleId="21">
    <w:name w:val="批注框文本 Char"/>
    <w:basedOn w:val="15"/>
    <w:link w:val="10"/>
    <w:qFormat/>
    <w:uiPriority w:val="0"/>
    <w:rPr>
      <w:rFonts w:ascii="仿宋_GB2312" w:hAnsi="仿宋_GB2312" w:eastAsia="仿宋_GB2312" w:cs="Times New Roman"/>
      <w:sz w:val="18"/>
      <w:szCs w:val="18"/>
    </w:rPr>
  </w:style>
  <w:style w:type="paragraph" w:customStyle="1" w:styleId="2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18</Pages>
  <Words>30537</Words>
  <Characters>31469</Characters>
  <Lines>167</Lines>
  <Paragraphs>47</Paragraphs>
  <TotalTime>22</TotalTime>
  <ScaleCrop>false</ScaleCrop>
  <LinksUpToDate>false</LinksUpToDate>
  <CharactersWithSpaces>31666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2022-10-21T22:33:00Z</dcterms:created>
  <dc:creator>微软用户</dc:creator>
  <cp:lastModifiedBy>huawei</cp:lastModifiedBy>
  <cp:lastPrinted>2024-05-06T17:21:00Z</cp:lastPrinted>
  <dcterms:modified xsi:type="dcterms:W3CDTF">2024-06-07T07:43:49Z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61865DF8FF924CA38A7EF31578697950_13</vt:lpwstr>
  </property>
</Properties>
</file>