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AB3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威海市环翠区医疗保障局2025年政府信息公开工作年度报告</w:t>
      </w:r>
    </w:p>
    <w:p w14:paraId="64A4243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</w:p>
    <w:p w14:paraId="150BF4F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微软雅黑"/>
          <w:i w:val="0"/>
          <w:iCs w:val="0"/>
          <w:caps w:val="0"/>
          <w:color w:val="333333"/>
          <w:spacing w:val="0"/>
          <w:kern w:val="0"/>
          <w:sz w:val="24"/>
          <w:szCs w:val="24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根据《中华人民共和国政府信息公开条例》（国务院令第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711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2021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30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号）要求，结合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威海市环翠区医疗保障局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政府信息公开工作实际，编制发布本报告。</w:t>
      </w:r>
    </w:p>
    <w:p w14:paraId="077E00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及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</w:t>
      </w:r>
      <w:bookmarkStart w:id="0" w:name="_GoBack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日到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12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31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日止。报告电子版可从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威海市环翠区人民政府网站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（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网址：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http://www.huancui.gov.cn/col/col57875/index.html?vc_xxgkarea=11371002MB2857788E&amp;fbtime=2024&amp;jh=264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）查阅或下载。</w:t>
      </w:r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公众如需进一步咨询了解相关信息，请与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威海市环翠区医疗保障局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联系（地址：文化中路59号政务服务中心3楼，电话：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0631-5230919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）。</w:t>
      </w:r>
    </w:p>
    <w:p w14:paraId="357EEEFD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总体情况</w:t>
      </w:r>
    </w:p>
    <w:p w14:paraId="01EB4D2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2025年，环翠区医疗保障局在区委、区政府的领导下，深入贯彻落实国家、省、市医保领域政务公开工作部署，严格规范医保信息公开程序，丰富医保信息公开形式，持续提升医保信息公开的质量与实效。</w:t>
      </w:r>
    </w:p>
    <w:p w14:paraId="0CAC353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1.主动公开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环翠区医保局始终将主动公开作为政府信息公开的主渠道，聚焦群众关切和重点工作，不断拓展公开的广度和深度。深化重点领域信息公开，围绕全民参保、待遇保障、基金监管、医药改革等核心工作，通过区政府门户网站、政企号等平台，及时发布并解读医保政策。全年主动公开各类信息，涵盖政策文件、工作动态、通知公告、统计数据等多个方面。2025年威海市环翠区医疗保障局通过门户网站、最威海是环翠政企号发布政务信息115条。</w:t>
      </w:r>
    </w:p>
    <w:p w14:paraId="3E902B3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2.依申请公开工作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。本年度，本单位未收到政府信息公开申请。</w:t>
      </w:r>
    </w:p>
    <w:p w14:paraId="2202991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3.政府信息管理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环翠区医保局高度重视政府信息资源的规范化、标准化管理，确保信息准确、完整、安全。按照年度重点工作动态调整本单位主动公开目录，做好相关栏目更新管理。严格落实“三审三校”制度，坚持“先审查、后公开”，对拟公开的政府信息依法依规做好保密审查，确保国家秘密信息安全。</w:t>
      </w:r>
    </w:p>
    <w:p w14:paraId="62E61D0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4.政府信息公开平台建设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环翠区医保局着力构建功能互补、便捷高效的多元化公开平台，提升信息公开和政务服务的可及性。优化网站与新媒体平台，持续维护区政府门户网站医保局板块，将其打造为政策发布、办事查询、互动交流的核心移动平台。拓展基层公开服务渠道，深入推进医保经办服务下沉，依托全区14家标准化医保工作站（点）及镇（街）、村（社区）便民服务中心，将高频事项办事指南、政策明白纸等公开服务延伸至群众“家门口”，打造“15分钟医保服务圈”。</w:t>
      </w:r>
    </w:p>
    <w:p w14:paraId="1220F58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5.监督保障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。环翠区医保局将监督保障贯穿于政府信息公开工作全过程，确保各项要求落到实处。一是强化组织领导，将政务公开工作纳入局年度重点工作任务和绩效考核体系，明确分管领导和责任科室，定期召开专题会议研究部署，形成了主要领导亲自抓、分管领导具体抓、办公室牵头协调、各科室密切配合的工作格局。二是完善社会评议与反馈，主动接受社会监督，通过设置意见箱、公开监督电话等方式，广泛收集公众对医保政务公开工作的意见和建议。对收到的问题和建议，建立台账，及时研究改进。三是加强教育培训，组织全局干部职工开展《政府信息公开条例》及配套制度专题学习，将政务公开理念和要求融入日常业务培训，有效提升了工作人员的公开意识和业务能力。</w:t>
      </w:r>
    </w:p>
    <w:p w14:paraId="58547D7E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主动公开政府信息情况</w:t>
      </w:r>
    </w:p>
    <w:tbl>
      <w:tblPr>
        <w:tblStyle w:val="7"/>
        <w:tblW w:w="8820" w:type="dxa"/>
        <w:tblInd w:w="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2205"/>
        <w:gridCol w:w="2205"/>
        <w:gridCol w:w="2205"/>
      </w:tblGrid>
      <w:tr w14:paraId="65B71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74DC81E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 w14:paraId="3A44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54FD8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FF74B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本年制发件数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B6CDC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FD9A1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现行有效件数</w:t>
            </w:r>
          </w:p>
        </w:tc>
      </w:tr>
      <w:tr w14:paraId="4D3F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FC953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93F73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BE0EB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FA557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5EBF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31C2C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2BD7B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AB544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129F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A3E8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7353694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 w14:paraId="08D71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377BC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66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C6A6D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 w14:paraId="4B40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71649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F66E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8DD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7DBD1AF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 w14:paraId="45C9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4FFAA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66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C777A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 w14:paraId="7967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C9A33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C0794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woUserID w:val="1"/>
              </w:rPr>
              <w:t>10</w:t>
            </w:r>
          </w:p>
        </w:tc>
      </w:tr>
      <w:tr w14:paraId="79B9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5CAB4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3D0DF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098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8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0274F6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 w14:paraId="3E4B0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8A267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66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FB1ED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 w14:paraId="0304F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47EB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47BD7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0052835E">
      <w:pPr>
        <w:pStyle w:val="6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200" w:right="0" w:rightChars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p w14:paraId="323327B1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收到和处理政府信息公开申请情况</w:t>
      </w:r>
    </w:p>
    <w:tbl>
      <w:tblPr>
        <w:tblStyle w:val="7"/>
        <w:tblW w:w="9540" w:type="dxa"/>
        <w:tblInd w:w="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649"/>
        <w:gridCol w:w="2859"/>
        <w:gridCol w:w="718"/>
        <w:gridCol w:w="534"/>
        <w:gridCol w:w="548"/>
        <w:gridCol w:w="704"/>
        <w:gridCol w:w="661"/>
        <w:gridCol w:w="519"/>
        <w:gridCol w:w="718"/>
      </w:tblGrid>
      <w:tr w14:paraId="417ADC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10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6B9E8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楷体_GB2312" w:hAnsi="微软雅黑" w:eastAsia="楷体_GB2312" w:cs="楷体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（本列数据的勾稽关系为：第一项加第二项之和，</w:t>
            </w:r>
          </w:p>
          <w:p w14:paraId="14DDF93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楷体_GB2312" w:hAnsi="微软雅黑" w:eastAsia="楷体_GB2312" w:cs="楷体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等于第三项加第四项之和）</w:t>
            </w:r>
          </w:p>
        </w:tc>
        <w:tc>
          <w:tcPr>
            <w:tcW w:w="445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D85F1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 w14:paraId="3C4167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10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E689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8F22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9646F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2FF2E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 w14:paraId="4ED49D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10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BCB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C47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2DD6C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商业企业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38617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科研机构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EB2CD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92452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9D97B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70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ACB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A16E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51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56B00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F22FB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A681F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FF5DB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A9686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B2477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82650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EF3753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9EC3C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51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FB38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69D98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D7935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61252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29543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87B15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3EFD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9E6E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FDBFD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5335B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46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4D9CB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00D53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CC53D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A1B72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D3943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654C5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BC37A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3C555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D9FC4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4AAA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73186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DB549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FDE22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D4C1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977DD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58AE9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2C7D4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FA607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C436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64E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1181B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（三）不予公开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E49CA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2FA91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830AE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0CDCE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28948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45822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702A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ADCC2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8AA02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986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E4D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F3099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0CC89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D352F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39B3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D182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61BC5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21BBC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D2E74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8065C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225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AB6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5DAA1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A468C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375F0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9DD95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53EA6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DEA02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4AF69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43D1D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71376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DBF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54E4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CAF95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4C1AC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AA919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7C149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8582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0AA2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50AE6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7B070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F96F3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987F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358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F6D87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9223E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950B3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2BC03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C036F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EE1F1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84A02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BADD9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F7D5C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FEC7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837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3DF8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82EF2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71ED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E7CD9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D4D46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CDC0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59E6F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C439A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8ADCF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6AA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51E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D4281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1211C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F4996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A3683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CBD8D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5F3B1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C3E86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31A25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955D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D1B2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AE8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DE2FC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B5E25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AD35F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1E82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2092B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FCC1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BF7B9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CEC5F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D9A2D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AC666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18FDD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（四）无法提供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E26CB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86843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B312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90374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30CBB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96DE0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BE0D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EE339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9C23B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D6A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204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044E2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F7A46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EA30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7286D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EE475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80FC3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74DCC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05F10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75962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676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B57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C6653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4CB8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E0B79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050BE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842E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9A29D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89A9F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F5586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ECCAF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8952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E25F9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（五）不予处理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D9791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459A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C3880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B4270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2192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0D24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221B2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1F00A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FD229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3D7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B0B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E69B2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56470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3544A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2610F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73908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9EBEC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25CF6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B4CDF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7D5C0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5EB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3C6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12700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B0F57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C622C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3C2A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C8C86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D89DA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32983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32C46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0BA9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BAE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BEE4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B6094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6403A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23ABD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8C814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CE5A4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A7590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B50C8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588AD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1F5B8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734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1CE5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B7A06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5.要求行政机关确认或重新</w:t>
            </w:r>
          </w:p>
          <w:p w14:paraId="4FE6B13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21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出具已获取信息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3585B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35EC2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4DF6E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9741E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C26DD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AD9DA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C14C5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ACAAA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601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354A4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（六）其他处理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D3A05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1507F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BBA59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23420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E1DD2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6FA7A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2FE4A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AAF99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E73B1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C7A8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F5C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DD3C5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033FD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E2C11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AAE4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73397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439B5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CF1D4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6BA76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3D813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9538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1A0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2FFFD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C5230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F7988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557F3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EBDCE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EB99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0A159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4CA5B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51F4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344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CBD2D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867EA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EA903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CADF1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A3734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A1C2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435AB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9156B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6711F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76138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05B9F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9AA81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989C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02380E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A43A3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A852F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1EF1B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7304ED62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政府信息公开行政复议、行政诉讼情况</w:t>
      </w:r>
    </w:p>
    <w:tbl>
      <w:tblPr>
        <w:tblStyle w:val="7"/>
        <w:tblW w:w="9075" w:type="dxa"/>
        <w:tblInd w:w="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14:paraId="0E7D9E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1A2A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E4B55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行政诉讼</w:t>
            </w:r>
          </w:p>
        </w:tc>
      </w:tr>
      <w:tr w14:paraId="362C2E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90D33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4736CB5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96EA1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DF33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828C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尚未</w:t>
            </w:r>
          </w:p>
          <w:p w14:paraId="61664BF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59564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总</w:t>
            </w:r>
          </w:p>
          <w:p w14:paraId="0CAC836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7654F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D0445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复议后起诉</w:t>
            </w:r>
          </w:p>
        </w:tc>
      </w:tr>
      <w:tr w14:paraId="2096ED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3999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A865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5A4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642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C3CD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486FC0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708A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B7FB2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其他</w:t>
            </w:r>
          </w:p>
          <w:p w14:paraId="751A852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3AF18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尚未</w:t>
            </w:r>
          </w:p>
          <w:p w14:paraId="2CB0D5F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4EF0D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B534B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DD669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3940104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399B2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其他</w:t>
            </w:r>
          </w:p>
          <w:p w14:paraId="7A657A7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662FD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27014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default" w:ascii="Calibri" w:hAnsi="Calibri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总计</w:t>
            </w:r>
          </w:p>
        </w:tc>
      </w:tr>
      <w:tr w14:paraId="2E81CF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92DAF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D3A0F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F3BA1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D121F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31DC0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2045C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52B9DB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43D6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82E9A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9DE012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2645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357C7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7021D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B7D3D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4CE2A6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180" w:afterAutospacing="0" w:line="45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07856A5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存在的主要问题及改进情况</w:t>
      </w:r>
    </w:p>
    <w:p w14:paraId="5722846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存在问题：在政府信息主动公开上有所不足，同时在政策解读场景化、公开平台适老化及基层公开标准化方面仍有提升空间。</w:t>
      </w:r>
    </w:p>
    <w:p w14:paraId="41C1171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改进措施：在本年度环翠区医疗保障局将以创新政策解读形式，针对老年人、慢性病患者等特定群体，制作等更直观易懂的解读产品。同时优化平台无障碍服务，对政府网站和政务新媒体进行适老化与无障碍改造，提升特殊群体获取信息的便捷性。其次深化基层公开标准化建设，统一规范各医保工作站（点）的公开事项、流程与展示形式，推动服务下沉与信息下沉深度融合。最后推进政务公开标准化建设，进一步优化政务标准目录，让政府信息贴合民生需求，更能服务企业发展。</w:t>
      </w:r>
    </w:p>
    <w:p w14:paraId="0F9857A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其他需要报告的事项</w:t>
      </w:r>
    </w:p>
    <w:p w14:paraId="4C38E95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1.</w:t>
      </w: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政府信息公开收费方面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：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年，环翠区医保局未收取政府信息公开信息处理费。</w:t>
      </w:r>
    </w:p>
    <w:p w14:paraId="6ED60C5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2.</w:t>
      </w: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人大代表、政协委员提案办理方面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：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年，环翠区医保局牵头承办政协提案2件，未牵头承办人大代表建议。</w:t>
      </w:r>
    </w:p>
    <w:p w14:paraId="3651C57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3.</w:t>
      </w: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落实上级年度政务公开工作要点情况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：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年，环翠区医保局不断加强组织领导，明确工作职责，根据环翠区政务公开工作要点要求，围绕民生保障、工作动态等方面发布政务信息，使政务信息公开更加及时、准确。</w:t>
      </w:r>
    </w:p>
    <w:p w14:paraId="05B8D84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4.</w:t>
      </w:r>
      <w:r>
        <w:rPr>
          <w:rFonts w:hint="eastAsia" w:ascii="Times New Roman" w:hAnsi="Times New Roman" w:eastAsia="楷体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其他方面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>：“以双重守护 健康无忧”为精准扩面专项行动主题，通过举办全市参保扩面启动仪式、医疗保障专题文艺汇演、“五进”等活动，拓宽宣传覆盖面。探索融合服务新模式，积极推广医保电子凭证全流程应用，全区定点医药机构医保码结算率显著提升。配合上级部门探索推进医保移动支付、电子处方流转等服务，让数据多跑路、群众少跑腿。</w:t>
      </w:r>
    </w:p>
    <w:p w14:paraId="5E86337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</w:p>
    <w:p w14:paraId="15794C4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CD1320"/>
    <w:multiLevelType w:val="singleLevel"/>
    <w:tmpl w:val="82CD13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D6E26"/>
    <w:rsid w:val="20BD4227"/>
    <w:rsid w:val="21876FE0"/>
    <w:rsid w:val="3BDA4F1A"/>
    <w:rsid w:val="4F7B4232"/>
    <w:rsid w:val="51532A9D"/>
    <w:rsid w:val="5A7FC61E"/>
    <w:rsid w:val="5AD239CF"/>
    <w:rsid w:val="5AF642AE"/>
    <w:rsid w:val="5EFA3993"/>
    <w:rsid w:val="6AEC69F3"/>
    <w:rsid w:val="6B4B21DB"/>
    <w:rsid w:val="776FD110"/>
    <w:rsid w:val="7B372DE4"/>
    <w:rsid w:val="7DB7A99D"/>
    <w:rsid w:val="7FFE7A7D"/>
    <w:rsid w:val="AF6E7998"/>
    <w:rsid w:val="E2F16FF5"/>
    <w:rsid w:val="F2F5A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2715</Words>
  <Characters>2834</Characters>
  <Lines>0</Lines>
  <Paragraphs>0</Paragraphs>
  <TotalTime>84</TotalTime>
  <ScaleCrop>false</ScaleCrop>
  <LinksUpToDate>false</LinksUpToDate>
  <CharactersWithSpaces>2837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2026-01-13T21:59:00Z</dcterms:created>
  <dc:creator>Administrator</dc:creator>
  <cp:lastModifiedBy>user</cp:lastModifiedBy>
  <dcterms:modified xsi:type="dcterms:W3CDTF">2026-01-19T13:46:10Z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eyJoZGlkIjoiNGVmNDE1MjVmY2FkNTYwOWM1YTFhMWEwNzg0NWE4MDEiLCJ1c2VySWQiOiIyODk0NjQ4MTQifQ==</vt:lpwstr>
  </property>
  <property fmtid="{D5CDD505-2E9C-101B-9397-08002B2CF9AE}" pid="4" name="ICV">
    <vt:lpwstr>4C6E6E0D6C68403EAD7AAF13EE7FBB0C_13</vt:lpwstr>
  </property>
</Properties>
</file>