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72AB31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kern w:val="0"/>
          <w:sz w:val="44"/>
          <w:szCs w:val="44"/>
          <w:lang w:val="en-US" w:eastAsia="zh-CN" w:bidi="ar"/>
        </w:rPr>
        <w:t>威海市环翠区医疗保障局2025年政府信息公开工作年度报告</w:t>
      </w:r>
    </w:p>
    <w:p w14:paraId="64A4243E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</w:p>
    <w:p w14:paraId="150BF4FB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微软雅黑"/>
          <w:i w:val="0"/>
          <w:iCs w:val="0"/>
          <w:caps w:val="0"/>
          <w:color w:val="333333"/>
          <w:spacing w:val="0"/>
          <w:kern w:val="0"/>
          <w:sz w:val="24"/>
          <w:szCs w:val="24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根据《中华人民共和国政府信息公开条例》（国务院令第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711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2021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〕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30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号）要求，结合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2025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年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威海市环翠区医疗保障局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政府信息公开工作实际，编制发布本报告。</w:t>
      </w:r>
    </w:p>
    <w:p w14:paraId="077E0022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及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2025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1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1</w:t>
      </w:r>
      <w:bookmarkStart w:id="0" w:name="_GoBack"/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日到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12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31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日止。报告电子版可从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威海市环翠区人民政府网站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（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网址：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http://www.huancui.gov.cn/col/col57875/index.html?vc_xxgkarea=11371002MB2857788E&amp;fbtime=2024&amp;jh=264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）查阅或下载。</w:t>
      </w:r>
      <w:bookmarkEnd w:id="0"/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公众如需进一步咨询了解相关信息，请与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威海市环翠区医疗保障局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联系（地址：文化中路59号政务服务中心3楼，电话：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0631-5230919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）。</w:t>
      </w:r>
    </w:p>
    <w:p w14:paraId="357EEEFD"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总体情况</w:t>
      </w:r>
    </w:p>
    <w:p w14:paraId="01EB4D2D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2025年，环翠区医疗保障局在区委、区政府的领导下，深入贯彻落实国家、省、市医保领域政务公开工作部署，严格规范医保信息公开程序，丰富医保信息公开形式，持续提升医保信息公开的质量与实效。</w:t>
      </w:r>
    </w:p>
    <w:p w14:paraId="0CAC353F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default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eastAsia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1.主动公开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。环翠区医保局始终将主动公开作为政府信息公开的主渠道，聚焦群众关切和重点工作，不断拓展公开的广度和深度。深化重点领域信息公开，围绕全民参保、待遇保障、基金监管、医药改革等核心工作，通过区政府门户网站、政企号等平台，及时发布并解读医保政策。全年主动公开各类信息，涵盖政策文件、工作动态、通知公告、统计数据等多个方面。2025年威海市环翠区医疗保障局通过门户网站、最威海是环翠政企号发布政务信息115条。</w:t>
      </w:r>
    </w:p>
    <w:p w14:paraId="3E902B3D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eastAsia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2.依申请公开工作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。本年度，本单位未收到政府信息公开申请。</w:t>
      </w:r>
    </w:p>
    <w:p w14:paraId="2202991D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eastAsia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3.政府信息管理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。环翠区医保局高度重视政府信息资源的规范化、标准化管理，确保信息准确、完整、安全。按照年度重点工作动态调整本单位主动公开目录，做好相关栏目更新管理。严格落实“三审三校”制度，坚持“先审查、后公开”，对拟公开的政府信息依法依规做好保密审查，确保国家秘密信息安全。</w:t>
      </w:r>
    </w:p>
    <w:p w14:paraId="62E61D05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eastAsia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4.政府信息公开平台建设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。环翠区医保局着力构建功能互补、便捷高效的多元化公开平台，提升信息公开和政务服务的可及性。优化网站与新媒体平台，持续维护区政府门户网站医保局板块，将其打造为政策发布、办事查询、互动交流的核心移动平台。拓展基层公开服务渠道，深入推进医保经办服务下沉，依托全区14家标准化医保工作站（点）及镇（街）、村（社区）便民服务中心，将高频事项办事指南、政策明白纸等公开服务延伸至群众“家门口”，打造“15分钟医保服务圈”。</w:t>
      </w:r>
    </w:p>
    <w:p w14:paraId="1220F580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eastAsia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5.监督保障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。环翠区医保局将监督保障贯穿于政府信息公开工作全过程，确保各项要求落到实处。一是强化组织领导，将政务公开工作纳入局年度重点工作任务和绩效考核体系，明确分管领导和责任科室，定期召开专题会议研究部署，形成了主要领导亲自抓、分管领导具体抓、办公室牵头协调、各科室密切配合的工作格局。二是完善社会评议与反馈，主动接受社会监督，通过设置意见箱、公开监督电话等方式，广泛收集公众对医保政务公开工作的意见和建议。对收到的问题和建议，建立台账，及时研究改进。三是加强教育培训，组织全局干部职工开展《政府信息公开条例》及配套制度专题学习，将政务公开理念和要求融入日常业务培训，有效提升了工作人员的公开意识和业务能力。</w:t>
      </w:r>
    </w:p>
    <w:p w14:paraId="58547D7E"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主动公开政府信息情况</w:t>
      </w:r>
    </w:p>
    <w:tbl>
      <w:tblPr>
        <w:tblStyle w:val="7"/>
        <w:tblW w:w="8820" w:type="dxa"/>
        <w:tblInd w:w="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205"/>
        <w:gridCol w:w="2205"/>
        <w:gridCol w:w="2205"/>
        <w:gridCol w:w="2205"/>
      </w:tblGrid>
      <w:tr w14:paraId="65B718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8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C6D9F1"/>
            <w:tcMar>
              <w:left w:w="105" w:type="dxa"/>
              <w:right w:w="105" w:type="dxa"/>
            </w:tcMar>
            <w:vAlign w:val="center"/>
          </w:tcPr>
          <w:p w14:paraId="74DC81E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第二十条第（一）项</w:t>
            </w:r>
          </w:p>
        </w:tc>
      </w:tr>
      <w:tr w14:paraId="3A4476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B54FD8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信息内容</w:t>
            </w:r>
          </w:p>
        </w:tc>
        <w:tc>
          <w:tcPr>
            <w:tcW w:w="22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8FF74B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本年制发件数</w:t>
            </w:r>
          </w:p>
        </w:tc>
        <w:tc>
          <w:tcPr>
            <w:tcW w:w="22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BB6CDC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本年废止件数</w:t>
            </w:r>
          </w:p>
        </w:tc>
        <w:tc>
          <w:tcPr>
            <w:tcW w:w="22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3FD9A1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现行有效件数</w:t>
            </w:r>
          </w:p>
        </w:tc>
      </w:tr>
      <w:tr w14:paraId="4D3F6A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DFC953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规章</w:t>
            </w:r>
          </w:p>
        </w:tc>
        <w:tc>
          <w:tcPr>
            <w:tcW w:w="22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293F73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8BE0EB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0FA557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5EBF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531C2C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行政规范性文件</w:t>
            </w:r>
          </w:p>
        </w:tc>
        <w:tc>
          <w:tcPr>
            <w:tcW w:w="22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32BD7B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FAB544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1129F7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A3E8C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8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C6D9F1"/>
            <w:tcMar>
              <w:left w:w="105" w:type="dxa"/>
              <w:right w:w="105" w:type="dxa"/>
            </w:tcMar>
            <w:vAlign w:val="center"/>
          </w:tcPr>
          <w:p w14:paraId="7353694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第二十条第（五）项</w:t>
            </w:r>
          </w:p>
        </w:tc>
      </w:tr>
      <w:tr w14:paraId="08D71A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E377BC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信息内容</w:t>
            </w:r>
          </w:p>
        </w:tc>
        <w:tc>
          <w:tcPr>
            <w:tcW w:w="661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1C6A6D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本年处理决定数量</w:t>
            </w:r>
          </w:p>
        </w:tc>
      </w:tr>
      <w:tr w14:paraId="4B40F5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A71649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行政许可</w:t>
            </w:r>
          </w:p>
        </w:tc>
        <w:tc>
          <w:tcPr>
            <w:tcW w:w="661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AF66EE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8DD0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8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C6D9F1"/>
            <w:tcMar>
              <w:left w:w="105" w:type="dxa"/>
              <w:right w:w="105" w:type="dxa"/>
            </w:tcMar>
            <w:vAlign w:val="center"/>
          </w:tcPr>
          <w:p w14:paraId="7DBD1AF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第二十条第（六）项</w:t>
            </w:r>
          </w:p>
        </w:tc>
      </w:tr>
      <w:tr w14:paraId="45C939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54FFAA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信息内容</w:t>
            </w:r>
          </w:p>
        </w:tc>
        <w:tc>
          <w:tcPr>
            <w:tcW w:w="661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9C777A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本年处理决定数量</w:t>
            </w:r>
          </w:p>
        </w:tc>
      </w:tr>
      <w:tr w14:paraId="7967C7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7C9A33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行政处罚</w:t>
            </w:r>
          </w:p>
        </w:tc>
        <w:tc>
          <w:tcPr>
            <w:tcW w:w="661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EC0794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  <w:woUserID w:val="1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  <w:woUserID w:val="1"/>
              </w:rPr>
              <w:t>10</w:t>
            </w:r>
          </w:p>
        </w:tc>
      </w:tr>
      <w:tr w14:paraId="79B96F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A5CAB4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行政强制</w:t>
            </w:r>
          </w:p>
        </w:tc>
        <w:tc>
          <w:tcPr>
            <w:tcW w:w="661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E3D0DF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4098B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8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C6D9F1"/>
            <w:tcMar>
              <w:left w:w="105" w:type="dxa"/>
              <w:right w:w="105" w:type="dxa"/>
            </w:tcMar>
            <w:vAlign w:val="center"/>
          </w:tcPr>
          <w:p w14:paraId="0274F68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第二十条第（八）项</w:t>
            </w:r>
          </w:p>
        </w:tc>
      </w:tr>
      <w:tr w14:paraId="3E4B0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D8A267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信息内容</w:t>
            </w:r>
          </w:p>
        </w:tc>
        <w:tc>
          <w:tcPr>
            <w:tcW w:w="661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4FB1ED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本年收费金额（单位：万元）</w:t>
            </w:r>
          </w:p>
        </w:tc>
      </w:tr>
      <w:tr w14:paraId="0304FE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347EBC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行政事业性收费</w:t>
            </w:r>
          </w:p>
        </w:tc>
        <w:tc>
          <w:tcPr>
            <w:tcW w:w="661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B47BD7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</w:tbl>
    <w:p w14:paraId="0052835E">
      <w:pPr>
        <w:pStyle w:val="6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Chars="200" w:right="0" w:rightChars="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</w:p>
    <w:p w14:paraId="323327B1"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收到和处理政府信息公开申请情况</w:t>
      </w:r>
    </w:p>
    <w:tbl>
      <w:tblPr>
        <w:tblStyle w:val="7"/>
        <w:tblW w:w="9540" w:type="dxa"/>
        <w:tblInd w:w="3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30"/>
        <w:gridCol w:w="1649"/>
        <w:gridCol w:w="2859"/>
        <w:gridCol w:w="718"/>
        <w:gridCol w:w="534"/>
        <w:gridCol w:w="548"/>
        <w:gridCol w:w="704"/>
        <w:gridCol w:w="661"/>
        <w:gridCol w:w="519"/>
        <w:gridCol w:w="718"/>
      </w:tblGrid>
      <w:tr w14:paraId="417ADCD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100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76B9E8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楷体_GB2312" w:hAnsi="微软雅黑" w:eastAsia="楷体_GB2312" w:cs="楷体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（本列数据的勾稽关系为：第一项加第二项之和，</w:t>
            </w:r>
          </w:p>
          <w:p w14:paraId="14DDF93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楷体_GB2312" w:hAnsi="微软雅黑" w:eastAsia="楷体_GB2312" w:cs="楷体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等于第三项加第四项之和）</w:t>
            </w:r>
          </w:p>
        </w:tc>
        <w:tc>
          <w:tcPr>
            <w:tcW w:w="445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5D85F1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申请人情况</w:t>
            </w:r>
          </w:p>
        </w:tc>
      </w:tr>
      <w:tr w14:paraId="3C4167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100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8E6890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88F226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自然人</w:t>
            </w:r>
          </w:p>
        </w:tc>
        <w:tc>
          <w:tcPr>
            <w:tcW w:w="30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69646F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法人或其他组织</w:t>
            </w:r>
          </w:p>
        </w:tc>
        <w:tc>
          <w:tcPr>
            <w:tcW w:w="70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62FF2E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总计</w:t>
            </w:r>
          </w:p>
        </w:tc>
      </w:tr>
      <w:tr w14:paraId="4ED49D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5100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4BCB93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6C47A6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02DD6C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商业企业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438617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科研机构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FEB2CD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社会公益组织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192452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法律服务机构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69D97B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其他</w:t>
            </w:r>
          </w:p>
        </w:tc>
        <w:tc>
          <w:tcPr>
            <w:tcW w:w="70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DACBDD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 w14:paraId="2DA16E1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" w:hRule="atLeast"/>
        </w:trPr>
        <w:tc>
          <w:tcPr>
            <w:tcW w:w="510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656B00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5F22FB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FA681F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0FF5DB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7A9686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7B2477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882650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EF3753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9EC3CA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" w:hRule="atLeast"/>
        </w:trPr>
        <w:tc>
          <w:tcPr>
            <w:tcW w:w="510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8FB38A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E69D98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1D7935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961252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E29543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787B15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C3EFD7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59E6EA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7FDBFD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2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75335B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三、本年度办理结果</w:t>
            </w:r>
          </w:p>
        </w:tc>
        <w:tc>
          <w:tcPr>
            <w:tcW w:w="468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B4D9CB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（一）予以公开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400D53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ECC53D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8A1B72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DD3943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9654C5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DBC37A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53C555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D9FC46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34AAAD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973186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4DB549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2FDE22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7D4C1F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E977DD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C58AE9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E2C7D4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9FA607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5C436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664EE7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E1181B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（三）不予公开</w:t>
            </w: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8E49CA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1.属于国家秘密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32FA91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1830AE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00CDCE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C28948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D45822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D702AE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8ADCC2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8AA02A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C9862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2E4D07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6F3099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2.其他法律行政法规禁止公开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10CC89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7D352F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B39B3B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4D182A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661BC5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321BBC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CD2E74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8065CC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E225BD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0AB64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65DAA1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3.危及“三安全一稳定”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7A468C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0375F0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89DD95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653EA6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5DEA02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24AF69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643D1D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71376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0DBFEE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354E49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8CAF95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4.保护第三方合法权益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04C1AC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2AA919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97C149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C85829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20AA25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A50AE6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37B070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3F96F3C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4987F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D358C5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EF6D87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5.属于三类内部事务信息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29223E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9950B3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92BC03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1C036F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DEE1F1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F84A02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EBADD9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5F7D5C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DFEC7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C8371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13DF8B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6.属于四类过程性信息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C82EF2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C71EDB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FE7CD9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7D4D46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DCDC0B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859E6F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0C439A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8ADCF7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D6AA1A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651EF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DD4281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7.属于行政执法案卷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A1211C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1F4996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5A3683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4CBD8D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75F3B1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BC3E86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431A25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9955D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3D1B2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0AE8D0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CDE2FC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8.属于行政查询事项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CB5E25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3AD35F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71E828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42092B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EFCC1E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CBF7B9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FCEC5F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3D9A2D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AC666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D18FDD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（四）无法提供</w:t>
            </w: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9E26CB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1.本机关不掌握相关政府信息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886843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3B3121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490374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F30CBB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496DE0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BBE0D9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2EE339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9C23B3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0D6A45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F20407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E044E2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2.没有现成信息需要另行制作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8F7A46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EEA30E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D7286D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AEE475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880FC3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274DCC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C05F10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75962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A67675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4B5729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4C6653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3.补正后申请内容仍不明确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C4CB8A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6E0B79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C050BE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0842E8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A9A29D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689A9F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7F5586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7ECCAFC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18952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CE25F9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（五）不予处理</w:t>
            </w: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4D9791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1.信访举报投诉类申请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D459A8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1C3880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8B4270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721926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30D24F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E221B2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21F00A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FD229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13D78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7B0B17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2E69B2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2.重复申请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256470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53544A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72610F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B73908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89EBEC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D25CF6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3B4CDF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57D5C0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C5EB5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D3C659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E12700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3.要求提供公开出版物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5B0F57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CC622C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93C2A8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0C8C86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AD89DA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F32983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632C46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00BA9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6BAE8B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3BEE43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4B6094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4.无正当理由大量反复申请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56403A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023ABD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98C814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8CE5A4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7A7590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7B50C8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4588AD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1F5B8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17345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B1CE5D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EB7A06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5.要求行政机关确认或重新</w:t>
            </w:r>
          </w:p>
          <w:p w14:paraId="4FE6B13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 w:firstLine="21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出具已获取信息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43585B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D35EC2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A4DF6E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D9741E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BC26DD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0AD9DA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5C14C5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ACAAA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66013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E354A4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（六）其他处理</w:t>
            </w: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6D3A05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81507F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6BBA59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123420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9E1DD2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A6FA7A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82FE4A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6AAF99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E73B17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7C7A84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1F5C74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6DD3C5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B033FD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3E2C11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DAAE49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773397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F439B5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5CF1D4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46BA76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3D8138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79538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B1A06B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2FFFD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3.其他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CC5230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4F7988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A557F3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BEBDCE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0EB998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50A159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D4CA5B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3051F48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2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934459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8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1CBD2D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（七）总计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A867EA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DEA903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0CADF1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6A3734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6A1C27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9435AB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09156B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6711F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10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176138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四、结转下年度继续办理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405B9F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09AA81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0989C8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502380E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DA43A3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FA852F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61EF1B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</w:tbl>
    <w:p w14:paraId="7304ED62"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政府信息公开行政复议、行政诉讼情况</w:t>
      </w:r>
    </w:p>
    <w:tbl>
      <w:tblPr>
        <w:tblStyle w:val="7"/>
        <w:tblW w:w="9075" w:type="dxa"/>
        <w:tblInd w:w="3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5"/>
        <w:gridCol w:w="600"/>
        <w:gridCol w:w="600"/>
        <w:gridCol w:w="600"/>
        <w:gridCol w:w="600"/>
        <w:gridCol w:w="630"/>
      </w:tblGrid>
      <w:tr w14:paraId="0E7D9E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307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81A2A1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7E4B55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行政诉讼</w:t>
            </w:r>
          </w:p>
        </w:tc>
      </w:tr>
      <w:tr w14:paraId="362C2EC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60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D90D33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结果</w:t>
            </w:r>
          </w:p>
          <w:p w14:paraId="4736CB5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696EA1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ADF33E9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1828C8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尚未</w:t>
            </w:r>
          </w:p>
          <w:p w14:paraId="61664BF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审结</w:t>
            </w:r>
          </w:p>
        </w:tc>
        <w:tc>
          <w:tcPr>
            <w:tcW w:w="66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D59564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总</w:t>
            </w:r>
          </w:p>
          <w:p w14:paraId="0CAC836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F7654F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未经复议直接起诉</w:t>
            </w:r>
          </w:p>
        </w:tc>
        <w:tc>
          <w:tcPr>
            <w:tcW w:w="303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0D0445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复议后起诉</w:t>
            </w:r>
          </w:p>
        </w:tc>
      </w:tr>
      <w:tr w14:paraId="2096ED8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60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83999A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5A8656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55A4C2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7642EA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5C3CDE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5486FC0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7708A7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DB7FB2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其他</w:t>
            </w:r>
          </w:p>
          <w:p w14:paraId="751A852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43AF18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尚未</w:t>
            </w:r>
          </w:p>
          <w:p w14:paraId="2CB0D5F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审结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E4EF0D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总计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DB534B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结果维持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CDD6691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结果</w:t>
            </w:r>
          </w:p>
          <w:p w14:paraId="3940104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1399B23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其他</w:t>
            </w:r>
          </w:p>
          <w:p w14:paraId="7A657A7F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C662FD8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尚未审结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227014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caps w:val="0"/>
                <w:color w:val="333333"/>
                <w:spacing w:val="0"/>
                <w:kern w:val="0"/>
                <w:sz w:val="19"/>
                <w:szCs w:val="19"/>
                <w:lang w:val="en-US" w:eastAsia="zh-CN" w:bidi="ar"/>
              </w:rPr>
              <w:t>总计</w:t>
            </w:r>
          </w:p>
        </w:tc>
      </w:tr>
      <w:tr w14:paraId="2E81CF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E92DAFC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3D3A0F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6F3BA15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3D121F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131DC0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C2045C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652B9DB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A43D69D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282E9A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59DE012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02645B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4357C7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87021D7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DB7D3D4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F4CE2A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180" w:afterAutospacing="0" w:line="45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333333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</w:tbl>
    <w:p w14:paraId="07856A50"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存在的主要问题及改进情况</w:t>
      </w:r>
    </w:p>
    <w:p w14:paraId="5722846B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存在问题：在政府信息主动公开上有所不足，同时在政策解读场景化、公开平台适老化及基层公开标准化方面仍有提升空间。</w:t>
      </w:r>
    </w:p>
    <w:p w14:paraId="41C11714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改进措施：在本年度环翠区医疗保障局将以创新政策解读形式，针对老年人、慢性病患者等特定群体，制作等更直观易懂的解读产品。同时优化平台无障碍服务，对政府网站和政务新媒体进行适老化与无障碍改造，提升特殊群体获取信息的便捷性。其次深化基层公开标准化建设，统一规范各医保工作站（点）的公开事项、流程与展示形式，推动服务下沉与信息下沉深度融合。最后推进政务公开标准化建设，进一步优化政务标准目录，让政府信息贴合民生需求，更能服务企业发展。</w:t>
      </w:r>
    </w:p>
    <w:p w14:paraId="0F9857A0"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其他需要报告的事项</w:t>
      </w:r>
    </w:p>
    <w:p w14:paraId="4C38E956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1.</w:t>
      </w:r>
      <w:r>
        <w:rPr>
          <w:rFonts w:hint="eastAsia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政府信息公开收费方面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：</w:t>
      </w:r>
      <w:r>
        <w:rPr>
          <w:rFonts w:hint="default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2025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年，环翠区医保局未收取政府信息公开信息处理费。</w:t>
      </w:r>
    </w:p>
    <w:p w14:paraId="6ED60C52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2.</w:t>
      </w:r>
      <w:r>
        <w:rPr>
          <w:rFonts w:hint="eastAsia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人大代表、政协委员提案办理方面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：</w:t>
      </w:r>
      <w:r>
        <w:rPr>
          <w:rFonts w:hint="default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2025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年，环翠区医保局牵头承办政协提案2件，未牵头承办人大代表建议。</w:t>
      </w:r>
    </w:p>
    <w:p w14:paraId="3651C57D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3.</w:t>
      </w:r>
      <w:r>
        <w:rPr>
          <w:rFonts w:hint="eastAsia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落实上级年度政务公开工作要点情况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：</w:t>
      </w:r>
      <w:r>
        <w:rPr>
          <w:rFonts w:hint="default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2025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年，环翠区医保局不断加强组织领导，明确工作职责，根据环翠区政务公开工作要点要求，围绕民生保障、工作动态等方面发布政务信息，使政务信息公开更加及时、准确。</w:t>
      </w:r>
    </w:p>
    <w:p w14:paraId="05B8D840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4.</w:t>
      </w:r>
      <w:r>
        <w:rPr>
          <w:rFonts w:hint="eastAsia" w:ascii="Times New Roman" w:hAnsi="Times New Roman" w:eastAsia="楷体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其他方面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>：“以双重守护 健康无忧”为精准扩面专项行动主题，通过举办全市参保扩面启动仪式、医疗保障专题文艺汇演、“五进”等活动，拓宽宣传覆盖面。探索融合服务新模式，积极推广医保电子凭证全流程应用，全区定点医药机构医保码结算率显著提升。配合上级部门探索推进医保移动支付、电子处方流转等服务，让数据多跑路、群众少跑腿。</w:t>
      </w:r>
    </w:p>
    <w:p w14:paraId="5E86337E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</w:p>
    <w:p w14:paraId="15794C40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kern w:val="0"/>
          <w:sz w:val="31"/>
          <w:szCs w:val="31"/>
          <w:lang w:val="en-US" w:eastAsia="zh-CN" w:bidi="ar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altName w:val="黑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CD1320"/>
    <w:multiLevelType w:val="singleLevel"/>
    <w:tmpl w:val="82CD132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7D6E26"/>
    <w:rsid w:val="20BD4227"/>
    <w:rsid w:val="21876FE0"/>
    <w:rsid w:val="3BDA4F1A"/>
    <w:rsid w:val="4F7B4232"/>
    <w:rsid w:val="51532A9D"/>
    <w:rsid w:val="5A7FC61E"/>
    <w:rsid w:val="5AD239CF"/>
    <w:rsid w:val="5AF642AE"/>
    <w:rsid w:val="5EFA3993"/>
    <w:rsid w:val="6AEC69F3"/>
    <w:rsid w:val="6B4B21DB"/>
    <w:rsid w:val="776FD110"/>
    <w:rsid w:val="7B372DE4"/>
    <w:rsid w:val="7DB7A99D"/>
    <w:rsid w:val="7FFE7A7D"/>
    <w:rsid w:val="AF6E7998"/>
    <w:rsid w:val="E2F16FF5"/>
    <w:rsid w:val="F2F5A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2715</Words>
  <Characters>2834</Characters>
  <Lines>0</Lines>
  <Paragraphs>0</Paragraphs>
  <TotalTime>84</TotalTime>
  <ScaleCrop>false</ScaleCrop>
  <LinksUpToDate>false</LinksUpToDate>
  <CharactersWithSpaces>2837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2026-01-13T21:59:00Z</dcterms:created>
  <dc:creator>Administrator</dc:creator>
  <cp:lastModifiedBy>user</cp:lastModifiedBy>
  <dcterms:modified xsi:type="dcterms:W3CDTF">2026-01-19T13:46:10Z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KSOTemplateDocerSaveRecord">
    <vt:lpwstr>eyJoZGlkIjoiNGVmNDE1MjVmY2FkNTYwOWM1YTFhMWEwNzg0NWE4MDEiLCJ1c2VySWQiOiIyODk0NjQ4MTQifQ==</vt:lpwstr>
  </property>
  <property fmtid="{D5CDD505-2E9C-101B-9397-08002B2CF9AE}" pid="4" name="ICV">
    <vt:lpwstr>4C6E6E0D6C68403EAD7AAF13EE7FBB0C_13</vt:lpwstr>
  </property>
</Properties>
</file>