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  <w:t>威海市环翠区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  <w:lang w:val="en-US" w:eastAsia="zh-CN"/>
        </w:rPr>
        <w:t>温泉镇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  <w:t>20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  <w:lang w:val="en-US" w:eastAsia="zh-CN"/>
        </w:rPr>
        <w:t>23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  <w:t>年政府信息公开工作年度报告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880" w:firstLineChars="200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711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年威海市环翠区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温泉镇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政府信息公开工作实际，编制发布本报告。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日止。报告电子版可从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网址：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</w:rPr>
        <w:t>http://www.huancui.gov.cn/col/col82465/index.html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）查阅或下载。公众如需进一步咨询了解相关信息，请与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威海市环翠区温泉镇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人民政府宣传办公室联系（地址：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  <w:lang w:eastAsia="zh-CN"/>
        </w:rPr>
        <w:t>威海市环翠区温泉镇青岛路南首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；电话：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  <w:lang w:eastAsia="zh-CN"/>
        </w:rPr>
        <w:t>0631—53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  <w:lang w:val="en-US" w:eastAsia="zh-CN"/>
        </w:rPr>
        <w:t>66756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 xml:space="preserve">。 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default" w:ascii="Times New Roman" w:hAnsi="Times New Roman" w:eastAsia="黑体" w:cs="Times New Roman"/>
          <w:b w:val="0"/>
          <w:bCs w:val="0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黑体" w:cs="Times New Roman"/>
          <w:b w:val="0"/>
          <w:bCs w:val="0"/>
          <w:color w:val="auto"/>
          <w:sz w:val="32"/>
          <w:szCs w:val="32"/>
          <w:highlight w:val="none"/>
        </w:rPr>
        <w:t xml:space="preserve">总体情况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ind w:lef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20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23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年，温泉镇坚持以人民为中心，不断深化政务公开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,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严格按照《中华人民共和国政府信息公开条例》及区政府的相关规定、有关文件精神，不断规范政府信息公开内容，创新政府信息公开形式，突出政府信息公开重点，提高政府信息公开水平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,不断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推动政府信息公开工作走深走实。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auto"/>
          <w:sz w:val="32"/>
          <w:szCs w:val="32"/>
          <w:highlight w:val="none"/>
        </w:rPr>
        <w:t>主动公开政府信息情况</w:t>
      </w:r>
      <w:r>
        <w:rPr>
          <w:rFonts w:hint="default" w:ascii="Times New Roman" w:hAnsi="Times New Roman" w:eastAsia="楷体_GB2312" w:cs="Times New Roman"/>
          <w:b w:val="0"/>
          <w:bCs w:val="0"/>
          <w:color w:val="auto"/>
          <w:sz w:val="32"/>
          <w:szCs w:val="32"/>
          <w:highlight w:val="none"/>
          <w:lang w:eastAsia="zh-CN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2023年温泉镇门户网站公开信息180条。主要是业务动态50条，部门会议23条，部门文件17条，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规划计划12条、重要部署执行10条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。与去年相比增加16条，增加比率为9.75%，主要体现在部门会议和部门文件的公开。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另外，针对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民生实事、重点项目、社会事务、司法综治、社区建设等领域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的公开，温泉镇利用“自在温泉”微信公众号发布动态1300条，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“康养圣地温泉镇”政务微博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发布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400余条，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向区融媒体中心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环翠新闻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、最威海是环翠栏目投递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发布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视频稿件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15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条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2023年累计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主动公开政府信息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2037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条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，较去年增加46条，增加比率为2.3%。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auto"/>
          <w:sz w:val="32"/>
          <w:szCs w:val="32"/>
          <w:highlight w:val="none"/>
          <w:lang w:eastAsia="zh-CN"/>
        </w:rPr>
        <w:t>依申请公开政府信息</w:t>
      </w:r>
      <w:r>
        <w:rPr>
          <w:rFonts w:hint="default" w:ascii="Times New Roman" w:hAnsi="Times New Roman" w:eastAsia="楷体_GB2312" w:cs="Times New Roman"/>
          <w:b w:val="0"/>
          <w:bCs w:val="0"/>
          <w:color w:val="auto"/>
          <w:sz w:val="32"/>
          <w:szCs w:val="32"/>
          <w:highlight w:val="none"/>
        </w:rPr>
        <w:t>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2023年度，我镇按照政府信息公开申请办理答复规范要求，进一步规范依申请公开工作，畅通受理渠道，健全完善工作规范，切实保障社会公众知情权。2023年度以来，本单位共收到3条政府信息公开申请，已全部按时完成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auto"/>
          <w:sz w:val="32"/>
          <w:szCs w:val="32"/>
          <w:highlight w:val="none"/>
        </w:rPr>
        <w:t>政府信息管理情况。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一是按照要求，建立健全政府信息管理机制，准确把握政府信息公开的范围，定期对公开和不予公开的政府信息进行评估，对失效、废止的政府信息定期清理。二是严格落实政府信息发布审核制度，先审后发、授权发布，确保内容准确、表述规范。三是加强信息公开便民服务，主动公开行政审批流程、收费事项标准、联系及举报电话等信息，使群众办事更加方便快捷、公开透明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政府信息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highlight w:val="none"/>
        </w:rPr>
        <w:t>公开平台建设情况。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ind w:leftChars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一是完善政务公开网站温泉镇窗口各板块内容，提高了政务公开的便民性，及时发布政务信息。二是多形式公开宣传我区、镇重点工作，充分利用温泉镇政务新媒体和村居公开栏、电子屏、应急广播等及时发布相关信息及动态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监督保障情况。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ind w:leftChars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温泉镇由宣传办具体负责政府信息公开工作。2023年结合实际，完善并执行政务公开制度，使政务信息发布工作更加规范、高效。对涉及民生的重大决策，除涉及保密事项外，严格落实公众参与、风险评估和集体讨论决定等程序，使决策更加科学合理，监督保障更加完善。2023年温泉镇未收到政府信息公开有关的投诉、举报，也无其他责任追究的情形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rPr>
          <w:rFonts w:hint="default" w:ascii="Times New Roman" w:hAnsi="Times New Roman" w:cs="Times New Roman"/>
          <w:color w:val="auto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2023年，温泉镇共参加区政务公开科组织的线上政务公开工作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培训会2次，线下政务公开工作专题培训会1次，做好与上级主管部门的沟通和联系，当好“执行者”；召开村（居）务公开工作推进会1次，传达工作要求，并从村（居）务公开的重要性、内容、形式、程序、时间等方面，对我镇村（居）务工作进行安排部署。</w:t>
      </w:r>
    </w:p>
    <w:p>
      <w:pPr>
        <w:pStyle w:val="11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overflowPunct/>
        <w:topLinePunct w:val="0"/>
        <w:autoSpaceDE/>
        <w:bidi w:val="0"/>
        <w:adjustRightInd/>
        <w:snapToGrid/>
        <w:spacing w:before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color w:val="auto"/>
          <w:spacing w:val="0"/>
          <w:w w:val="100"/>
          <w:position w:val="0"/>
          <w:sz w:val="32"/>
          <w:szCs w:val="32"/>
          <w:highlight w:val="none"/>
        </w:rPr>
      </w:pPr>
      <w:r>
        <w:rPr>
          <w:rFonts w:hint="default" w:ascii="Times New Roman" w:hAnsi="Times New Roman" w:eastAsia="黑体" w:cs="Times New Roman"/>
          <w:color w:val="auto"/>
          <w:spacing w:val="0"/>
          <w:w w:val="100"/>
          <w:position w:val="0"/>
          <w:sz w:val="32"/>
          <w:szCs w:val="32"/>
          <w:highlight w:val="none"/>
        </w:rPr>
        <w:t>主动公开政府信息情况</w:t>
      </w:r>
    </w:p>
    <w:tbl>
      <w:tblPr>
        <w:tblStyle w:val="6"/>
        <w:tblW w:w="882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　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　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　0</w:t>
            </w:r>
          </w:p>
        </w:tc>
      </w:tr>
    </w:tbl>
    <w:p>
      <w:pPr>
        <w:pStyle w:val="11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leftChars="0" w:right="0" w:rightChars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color w:val="auto"/>
          <w:spacing w:val="0"/>
          <w:w w:val="100"/>
          <w:position w:val="0"/>
          <w:sz w:val="32"/>
          <w:szCs w:val="32"/>
          <w:highlight w:val="none"/>
        </w:rPr>
      </w:pPr>
      <w:r>
        <w:rPr>
          <w:rFonts w:hint="default" w:ascii="Times New Roman" w:hAnsi="Times New Roman" w:eastAsia="黑体" w:cs="Times New Roman"/>
          <w:color w:val="auto"/>
          <w:spacing w:val="0"/>
          <w:w w:val="100"/>
          <w:position w:val="0"/>
          <w:sz w:val="32"/>
          <w:szCs w:val="32"/>
          <w:highlight w:val="none"/>
        </w:rPr>
        <w:t>收到和处理政府信息公开申请情况</w:t>
      </w:r>
    </w:p>
    <w:tbl>
      <w:tblPr>
        <w:tblStyle w:val="6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518"/>
        <w:gridCol w:w="1531"/>
        <w:gridCol w:w="2592"/>
        <w:gridCol w:w="624"/>
        <w:gridCol w:w="562"/>
        <w:gridCol w:w="562"/>
        <w:gridCol w:w="566"/>
        <w:gridCol w:w="566"/>
        <w:gridCol w:w="566"/>
        <w:gridCol w:w="634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6" w:hRule="exact"/>
          <w:jc w:val="center"/>
        </w:trPr>
        <w:tc>
          <w:tcPr>
            <w:gridSpan w:val="3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（本列数据的勾稽关系为：第一项加第二项之和， 等于第三项加第四项之和）</w:t>
            </w:r>
          </w:p>
        </w:tc>
        <w:tc>
          <w:tcPr>
            <w:tcW w:w="4080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申请人情况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自然人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法人或其他组织</w:t>
            </w:r>
          </w:p>
        </w:tc>
        <w:tc>
          <w:tcPr>
            <w:tcW w:w="63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34" w:hRule="atLeast"/>
          <w:jc w:val="center"/>
        </w:trPr>
        <w:tc>
          <w:tcPr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商业 企业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科研 机构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ind w:firstLine="0"/>
              <w:rPr>
                <w:rFonts w:hint="default" w:ascii="Times New Roman" w:hAnsi="Times New Roman" w:eastAsia="宋体" w:cs="Times New Roman"/>
                <w:color w:val="auto"/>
                <w:spacing w:val="0"/>
                <w:w w:val="100"/>
                <w:position w:val="0"/>
                <w:sz w:val="15"/>
                <w:szCs w:val="15"/>
                <w:highlight w:val="none"/>
                <w:u w:val="none"/>
                <w:shd w:val="clear" w:color="auto" w:fill="auto"/>
                <w:lang w:val="en-US" w:eastAsia="zh-CN" w:bidi="zh-TW"/>
              </w:rPr>
            </w:pPr>
          </w:p>
          <w:p>
            <w:pPr>
              <w:widowControl w:val="0"/>
              <w:ind w:firstLine="0"/>
              <w:rPr>
                <w:rFonts w:hint="default" w:ascii="Times New Roman" w:hAnsi="Times New Roman" w:eastAsia="宋体" w:cs="Times New Roman"/>
                <w:color w:val="auto"/>
                <w:sz w:val="10"/>
                <w:szCs w:val="1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  <w:u w:val="none"/>
                <w:shd w:val="clear" w:color="auto" w:fill="auto"/>
                <w:lang w:val="en-US" w:eastAsia="zh-CN" w:bidi="zh-TW"/>
              </w:rPr>
              <w:t>社会公益组织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法律 服务 机构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其他</w:t>
            </w:r>
          </w:p>
        </w:tc>
        <w:tc>
          <w:tcPr>
            <w:tcW w:w="634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一、本年新收政府信息公开申请数量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3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二、上年结转政府信息公开申请数量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13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highlight w:val="none"/>
              </w:rPr>
              <w:t>三、本年度办理结果</w:t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  <w:highlight w:val="none"/>
              </w:rPr>
              <w:t>（一）予以公开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2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2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82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color w:val="auto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  <w:highlight w:val="none"/>
              </w:rPr>
              <w:t>（二）部分公开（区分处理的，只计这一情形，不计其他情形）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  <w:highlight w:val="none"/>
              </w:rPr>
              <w:t>（三）不予公开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  <w:highlight w:val="none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  <w:highlight w:val="none"/>
              </w:rPr>
              <w:t>属于国家秘密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color w:val="auto"/>
                <w:sz w:val="18"/>
                <w:szCs w:val="18"/>
                <w:highlight w:val="none"/>
                <w:lang w:val="en-US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  <w:lang w:val="en-US" w:eastAsia="zh-CN" w:bidi="en-US"/>
              </w:rPr>
              <w:t>其他法律行政法规禁止公开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  <w:highlight w:val="none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  <w:highlight w:val="none"/>
              </w:rPr>
              <w:t>危及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  <w:highlight w:val="none"/>
                <w:lang w:val="zh-CN" w:eastAsia="zh-CN" w:bidi="zh-CN"/>
              </w:rPr>
              <w:t>“三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  <w:highlight w:val="none"/>
              </w:rPr>
              <w:t>安全一稳定”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  <w:highlight w:val="none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  <w:highlight w:val="none"/>
              </w:rPr>
              <w:t>保护第三方合法权益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  <w:highlight w:val="none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  <w:lang w:val="en-US" w:eastAsia="en-US" w:bidi="en-US"/>
              </w:rPr>
              <w:t>5.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  <w:highlight w:val="none"/>
              </w:rPr>
              <w:t>属于三类内部事务信息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9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  <w:highlight w:val="none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  <w:lang w:val="en-US" w:eastAsia="en-US" w:bidi="en-US"/>
              </w:rPr>
              <w:t>6.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  <w:highlight w:val="none"/>
              </w:rPr>
              <w:t>属于四类过程性信息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3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  <w:highlight w:val="none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  <w:lang w:val="en-US" w:eastAsia="en-US" w:bidi="en-US"/>
              </w:rPr>
              <w:t>7.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  <w:highlight w:val="none"/>
              </w:rPr>
              <w:t>属于行政执法案卷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  <w:highlight w:val="none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  <w:lang w:val="en-US" w:eastAsia="en-US" w:bidi="en-US"/>
              </w:rPr>
              <w:t>8.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  <w:highlight w:val="none"/>
              </w:rPr>
              <w:t>属于行政查询事项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  <w:highlight w:val="none"/>
              </w:rPr>
              <w:t>（四）无法提供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color w:val="auto"/>
                <w:sz w:val="18"/>
                <w:szCs w:val="18"/>
                <w:highlight w:val="none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  <w:highlight w:val="none"/>
              </w:rPr>
              <w:t>本机关不掌握相关政府信息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color w:val="auto"/>
                <w:sz w:val="18"/>
                <w:szCs w:val="18"/>
                <w:highlight w:val="none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  <w:highlight w:val="none"/>
              </w:rPr>
              <w:t>没有现成信息需要另行制作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color w:val="auto"/>
                <w:sz w:val="18"/>
                <w:szCs w:val="18"/>
                <w:highlight w:val="none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  <w:highlight w:val="none"/>
              </w:rPr>
              <w:t>补正后申请内容仍不明确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  <w:highlight w:val="none"/>
              </w:rPr>
              <w:t>（五）不予处理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  <w:highlight w:val="none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  <w:highlight w:val="none"/>
              </w:rPr>
              <w:t>信访举报投诉类申请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  <w:highlight w:val="none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  <w:highlight w:val="none"/>
              </w:rPr>
              <w:t>重复申请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36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color w:val="auto"/>
                <w:sz w:val="18"/>
                <w:szCs w:val="18"/>
                <w:highlight w:val="none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  <w:highlight w:val="none"/>
              </w:rPr>
              <w:t>要求提供公开出版物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400" w:right="0" w:hanging="40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  <w:highlight w:val="none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  <w:highlight w:val="none"/>
              </w:rPr>
              <w:t>无正当理由大量反复申请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78" w:lineRule="exact"/>
              <w:ind w:left="340" w:right="0" w:hanging="340"/>
              <w:jc w:val="left"/>
              <w:rPr>
                <w:rFonts w:hint="default" w:ascii="Times New Roman" w:hAnsi="Times New Roman" w:eastAsia="宋体" w:cs="Times New Roman"/>
                <w:color w:val="auto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  <w:lang w:val="en-US" w:eastAsia="en-US" w:bidi="en-US"/>
              </w:rPr>
              <w:t>5.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  <w:lang w:val="en-US" w:eastAsia="zh-CN" w:bidi="en-US"/>
              </w:rPr>
              <w:t>要求行政机关确认或重新出具已获取信息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  <w:highlight w:val="none"/>
              </w:rPr>
              <w:t>（六）其他处理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1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  <w:highlight w:val="none"/>
              </w:rPr>
              <w:t>（七）总计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3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四、结转下年度继续办理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</w:tr>
    </w:tbl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240" w:line="56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</w:pPr>
      <w:bookmarkStart w:id="0" w:name="bookmark21"/>
      <w:r>
        <w:rPr>
          <w:rFonts w:hint="default" w:ascii="Times New Roman" w:hAnsi="Times New Roman" w:eastAsia="黑体" w:cs="Times New Roman"/>
          <w:color w:val="auto"/>
          <w:spacing w:val="0"/>
          <w:w w:val="100"/>
          <w:position w:val="0"/>
          <w:sz w:val="32"/>
          <w:szCs w:val="32"/>
          <w:highlight w:val="none"/>
        </w:rPr>
        <w:t>四</w:t>
      </w:r>
      <w:bookmarkEnd w:id="0"/>
      <w:r>
        <w:rPr>
          <w:rFonts w:hint="default" w:ascii="Times New Roman" w:hAnsi="Times New Roman" w:eastAsia="黑体" w:cs="Times New Roman"/>
          <w:color w:val="auto"/>
          <w:spacing w:val="0"/>
          <w:w w:val="100"/>
          <w:position w:val="0"/>
          <w:sz w:val="32"/>
          <w:szCs w:val="32"/>
          <w:highlight w:val="none"/>
        </w:rPr>
        <w:t>、政府信息公开行政复议、行政诉讼情况</w:t>
      </w:r>
    </w:p>
    <w:tbl>
      <w:tblPr>
        <w:tblStyle w:val="6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629"/>
        <w:gridCol w:w="629"/>
        <w:gridCol w:w="624"/>
        <w:gridCol w:w="624"/>
        <w:gridCol w:w="562"/>
        <w:gridCol w:w="562"/>
        <w:gridCol w:w="571"/>
        <w:gridCol w:w="562"/>
        <w:gridCol w:w="566"/>
        <w:gridCol w:w="566"/>
        <w:gridCol w:w="562"/>
        <w:gridCol w:w="571"/>
        <w:gridCol w:w="562"/>
        <w:gridCol w:w="566"/>
        <w:gridCol w:w="581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行政复议</w:t>
            </w:r>
          </w:p>
        </w:tc>
        <w:tc>
          <w:tcPr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行政诉讼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结果 维持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结果 纠正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其他 结果</w:t>
            </w: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尚未 审结</w:t>
            </w:r>
          </w:p>
        </w:tc>
        <w:tc>
          <w:tcPr>
            <w:tcW w:w="562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13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highlight w:val="none"/>
              </w:rPr>
              <w:t>总计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未经复议直接起诉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复议后起诉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0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562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结果 维持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结果 纠正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其他 结果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尚未 审结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13"/>
              <w:keepNext w:val="0"/>
              <w:keepLines w:val="0"/>
              <w:widowControl w:val="0"/>
              <w:shd w:val="clear" w:color="auto" w:fill="auto"/>
              <w:bidi w:val="0"/>
              <w:spacing w:before="16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highlight w:val="none"/>
              </w:rPr>
              <w:t>总计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结果 维持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结果 纠正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其他 结果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highlight w:val="none"/>
              </w:rPr>
              <w:t>尚未 审结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13"/>
              <w:keepNext w:val="0"/>
              <w:keepLines w:val="0"/>
              <w:widowControl w:val="0"/>
              <w:shd w:val="clear" w:color="auto" w:fill="auto"/>
              <w:bidi w:val="0"/>
              <w:spacing w:before="18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highlight w:val="none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55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pacing w:val="0"/>
          <w:w w:val="100"/>
          <w:kern w:val="2"/>
          <w:position w:val="0"/>
          <w:sz w:val="32"/>
          <w:szCs w:val="32"/>
          <w:highlight w:val="none"/>
          <w:u w:val="none"/>
          <w:shd w:val="clear" w:color="auto" w:fill="auto"/>
          <w:lang w:val="en-US" w:eastAsia="zh-CN" w:bidi="zh-TW"/>
        </w:rPr>
      </w:pPr>
      <w:r>
        <w:rPr>
          <w:rFonts w:hint="default" w:ascii="Times New Roman" w:hAnsi="Times New Roman" w:eastAsia="黑体" w:cs="Times New Roman"/>
          <w:color w:val="auto"/>
          <w:spacing w:val="0"/>
          <w:w w:val="100"/>
          <w:kern w:val="2"/>
          <w:position w:val="0"/>
          <w:sz w:val="32"/>
          <w:szCs w:val="32"/>
          <w:highlight w:val="none"/>
          <w:u w:val="none"/>
          <w:shd w:val="clear" w:color="auto" w:fill="auto"/>
          <w:lang w:val="zh-TW" w:eastAsia="zh-CN" w:bidi="zh-TW"/>
        </w:rPr>
        <w:t xml:space="preserve">存在的主要问题及改进情况 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textAlignment w:val="auto"/>
        <w:rPr>
          <w:rFonts w:hint="default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在取得进步的同时，温泉镇政府信息公开工作也存在一些不足，主要是：一是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政府各部门之间信息共享不够顺畅，信息共享的效率低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。二是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群众参与信息公开的意识比较淡薄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。下一步，温泉镇将进一步深化政府信息公开工作。一是建立信息共享机制，加强政府各部门之间的信息共享，提高信息共享的效率。二是要宣传到位保证公众知晓。加强宣传，培养公民的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主动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意识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鼓励群众积极参与到信息公开中来，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让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群众与政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府之间沟通更方便快捷，共同为构建和谐的法治国家做出贡献。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pacing w:val="0"/>
          <w:w w:val="100"/>
          <w:kern w:val="2"/>
          <w:position w:val="0"/>
          <w:sz w:val="32"/>
          <w:szCs w:val="32"/>
          <w:highlight w:val="none"/>
          <w:u w:val="none"/>
          <w:shd w:val="clear" w:color="auto" w:fill="auto"/>
          <w:lang w:val="zh-TW" w:eastAsia="zh-CN" w:bidi="zh-TW"/>
        </w:rPr>
      </w:pPr>
      <w:r>
        <w:rPr>
          <w:rFonts w:hint="default" w:ascii="Times New Roman" w:hAnsi="Times New Roman" w:eastAsia="黑体" w:cs="Times New Roman"/>
          <w:color w:val="auto"/>
          <w:spacing w:val="0"/>
          <w:w w:val="100"/>
          <w:kern w:val="2"/>
          <w:position w:val="0"/>
          <w:sz w:val="32"/>
          <w:szCs w:val="32"/>
          <w:highlight w:val="none"/>
          <w:u w:val="none"/>
          <w:shd w:val="clear" w:color="auto" w:fill="auto"/>
          <w:lang w:val="zh-TW" w:eastAsia="zh-CN" w:bidi="zh-TW"/>
        </w:rPr>
        <w:t xml:space="preserve">其他需要报告的事项 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5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政府信息公开收费方面：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Chars="0"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威海市环翠区温泉镇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未收取政府信息公开信息处理费。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5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人大代表、政协委员提案办理方面：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Chars="0"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eastAsia="zh-CN"/>
        </w:rPr>
        <w:t>无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Times New Roman" w:hAnsi="Times New Roman" w:eastAsia="楷体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Times New Roman" w:hAnsi="Times New Roman" w:eastAsia="楷体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落实上级年度政务公开工作要点情况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温泉镇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紧紧围绕区委、区政府工作要求，聚焦企业和群众需求，将深化政务公开要求融入到作风革命、效能革命中，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明确责任分工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全面推进决策、执行、管理、服务、结果公开，扎实做好政务公开工作。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Times New Roman" w:hAnsi="Times New Roman" w:eastAsia="楷体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楷体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其他方面：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Chars="0"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2023年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6月2</w:t>
      </w:r>
      <w:bookmarkStart w:id="1" w:name="_GoBack"/>
      <w:bookmarkEnd w:id="1"/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日联合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温泉镇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亿和社区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温泉镇便民服务大厅举办202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年温泉镇政府开放日活动，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搭建政府与群众之间的沟通桥梁，使政府更加富有公信力、凝聚力和执行力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Chars="0"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组织各村居工作人员赴临港区草庙子镇西李家夼村观摩学习1次。详细听取负责人对清廉村居在线监督平台中“阳光公开”板块内容的讲解。温泉镇将学以致用，做好日常监督管理，防止搞假公开、半公开、选择性公开，确保村务公开不走过场、不流于形式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highlight w:val="none"/>
          <w:lang w:val="en-US" w:eastAsia="zh-CN"/>
        </w:rPr>
      </w:pPr>
    </w:p>
    <w:sectPr>
      <w:footerReference r:id="rId3" w:type="default"/>
      <w:pgSz w:w="11906" w:h="16838"/>
      <w:pgMar w:top="1701" w:right="1474" w:bottom="1701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37189E0-22D9-48F9-BFCB-AAD356505F65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90042808-2714-4A43-A8FC-EB95EA3ECD31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F441A74D-E75D-492B-994C-A1D07831B45E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9FF48C0C-3760-4A86-A0AB-D8E0A1BD6E40}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BAAFF5"/>
    <w:multiLevelType w:val="singleLevel"/>
    <w:tmpl w:val="89BAAFF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A8ABE86A"/>
    <w:multiLevelType w:val="singleLevel"/>
    <w:tmpl w:val="A8ABE86A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B70D6C2A"/>
    <w:multiLevelType w:val="singleLevel"/>
    <w:tmpl w:val="B70D6C2A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CB027680"/>
    <w:multiLevelType w:val="singleLevel"/>
    <w:tmpl w:val="CB027680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4">
    <w:nsid w:val="2C13B9A2"/>
    <w:multiLevelType w:val="singleLevel"/>
    <w:tmpl w:val="2C13B9A2"/>
    <w:lvl w:ilvl="0" w:tentative="0">
      <w:start w:val="4"/>
      <w:numFmt w:val="decimal"/>
      <w:lvlText w:val="%1."/>
      <w:lvlJc w:val="left"/>
      <w:pPr>
        <w:tabs>
          <w:tab w:val="left" w:pos="312"/>
        </w:tabs>
        <w:ind w:left="-13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I4ODQxNTdkZWVjZmQyOTU5NzU1YmEzZThkZTEwZDcifQ=="/>
  </w:docVars>
  <w:rsids>
    <w:rsidRoot w:val="00000000"/>
    <w:rsid w:val="0008361F"/>
    <w:rsid w:val="00D23242"/>
    <w:rsid w:val="00F0308A"/>
    <w:rsid w:val="013577AC"/>
    <w:rsid w:val="01C92466"/>
    <w:rsid w:val="03392D36"/>
    <w:rsid w:val="03561D64"/>
    <w:rsid w:val="0463118C"/>
    <w:rsid w:val="04C2468E"/>
    <w:rsid w:val="0501370E"/>
    <w:rsid w:val="05BC550E"/>
    <w:rsid w:val="062326B9"/>
    <w:rsid w:val="06B807E5"/>
    <w:rsid w:val="07413183"/>
    <w:rsid w:val="07B77D29"/>
    <w:rsid w:val="082E105B"/>
    <w:rsid w:val="09030A93"/>
    <w:rsid w:val="0A5E16A3"/>
    <w:rsid w:val="0B2E5519"/>
    <w:rsid w:val="0C636DD8"/>
    <w:rsid w:val="0D6E7E4F"/>
    <w:rsid w:val="0D981B99"/>
    <w:rsid w:val="0D9F5A17"/>
    <w:rsid w:val="10BC7123"/>
    <w:rsid w:val="10BE10ED"/>
    <w:rsid w:val="122338FE"/>
    <w:rsid w:val="142357A8"/>
    <w:rsid w:val="142D3CA5"/>
    <w:rsid w:val="15072425"/>
    <w:rsid w:val="169A6998"/>
    <w:rsid w:val="19334076"/>
    <w:rsid w:val="199D5F29"/>
    <w:rsid w:val="1A232291"/>
    <w:rsid w:val="1A4F211E"/>
    <w:rsid w:val="1A91517D"/>
    <w:rsid w:val="1ABC2A04"/>
    <w:rsid w:val="1BCE4B75"/>
    <w:rsid w:val="1D252538"/>
    <w:rsid w:val="1DAF0231"/>
    <w:rsid w:val="1EE135F3"/>
    <w:rsid w:val="1FC77D4B"/>
    <w:rsid w:val="204F3B10"/>
    <w:rsid w:val="21A50B34"/>
    <w:rsid w:val="22587648"/>
    <w:rsid w:val="236C49D9"/>
    <w:rsid w:val="23811A30"/>
    <w:rsid w:val="23966FA1"/>
    <w:rsid w:val="241D650E"/>
    <w:rsid w:val="242C1780"/>
    <w:rsid w:val="24A81A41"/>
    <w:rsid w:val="261D0FA9"/>
    <w:rsid w:val="26607974"/>
    <w:rsid w:val="26FF6A27"/>
    <w:rsid w:val="2784713D"/>
    <w:rsid w:val="278A3680"/>
    <w:rsid w:val="27AF470B"/>
    <w:rsid w:val="28FA4E86"/>
    <w:rsid w:val="295B49DC"/>
    <w:rsid w:val="295E4994"/>
    <w:rsid w:val="2A363A7A"/>
    <w:rsid w:val="2BB35523"/>
    <w:rsid w:val="2C844B41"/>
    <w:rsid w:val="2CB4622E"/>
    <w:rsid w:val="2CBE62A5"/>
    <w:rsid w:val="2E493C90"/>
    <w:rsid w:val="2E62595A"/>
    <w:rsid w:val="2ECC0BC0"/>
    <w:rsid w:val="2EFD5413"/>
    <w:rsid w:val="2FC02334"/>
    <w:rsid w:val="30416075"/>
    <w:rsid w:val="31254D9C"/>
    <w:rsid w:val="313229E8"/>
    <w:rsid w:val="318A4A26"/>
    <w:rsid w:val="324C7EAF"/>
    <w:rsid w:val="32F04CDF"/>
    <w:rsid w:val="340C28BB"/>
    <w:rsid w:val="346047D7"/>
    <w:rsid w:val="36772C3A"/>
    <w:rsid w:val="36835E6A"/>
    <w:rsid w:val="369616B9"/>
    <w:rsid w:val="37DD091B"/>
    <w:rsid w:val="38BD1B07"/>
    <w:rsid w:val="39383221"/>
    <w:rsid w:val="3A1157B7"/>
    <w:rsid w:val="3AD3302B"/>
    <w:rsid w:val="3B3C4D37"/>
    <w:rsid w:val="3BDB22D1"/>
    <w:rsid w:val="3C6B49FC"/>
    <w:rsid w:val="3DE02A80"/>
    <w:rsid w:val="3E907559"/>
    <w:rsid w:val="40C777EE"/>
    <w:rsid w:val="41195BFF"/>
    <w:rsid w:val="413279EE"/>
    <w:rsid w:val="42CA37F1"/>
    <w:rsid w:val="43FC3E73"/>
    <w:rsid w:val="454E44B9"/>
    <w:rsid w:val="45AE06B3"/>
    <w:rsid w:val="4623777F"/>
    <w:rsid w:val="489F1442"/>
    <w:rsid w:val="48AC385C"/>
    <w:rsid w:val="4A487FDE"/>
    <w:rsid w:val="4B456772"/>
    <w:rsid w:val="4B6650BF"/>
    <w:rsid w:val="4C246A68"/>
    <w:rsid w:val="4DC04BAC"/>
    <w:rsid w:val="4DC35707"/>
    <w:rsid w:val="4E4D546F"/>
    <w:rsid w:val="4F0B38DE"/>
    <w:rsid w:val="4FCE4806"/>
    <w:rsid w:val="4FFC0C41"/>
    <w:rsid w:val="500E459E"/>
    <w:rsid w:val="50191771"/>
    <w:rsid w:val="50AE6CAE"/>
    <w:rsid w:val="513444D8"/>
    <w:rsid w:val="515416D5"/>
    <w:rsid w:val="51C85A81"/>
    <w:rsid w:val="52065E75"/>
    <w:rsid w:val="52A97B3A"/>
    <w:rsid w:val="52D3187E"/>
    <w:rsid w:val="53220A8C"/>
    <w:rsid w:val="53815672"/>
    <w:rsid w:val="53D10A00"/>
    <w:rsid w:val="540957A8"/>
    <w:rsid w:val="54107BDD"/>
    <w:rsid w:val="557355CF"/>
    <w:rsid w:val="55DE6E82"/>
    <w:rsid w:val="55EC4398"/>
    <w:rsid w:val="55FD30EB"/>
    <w:rsid w:val="566456AA"/>
    <w:rsid w:val="56D138A5"/>
    <w:rsid w:val="57AA1F7E"/>
    <w:rsid w:val="58164938"/>
    <w:rsid w:val="58E92FBE"/>
    <w:rsid w:val="5A6266B0"/>
    <w:rsid w:val="5AC737B3"/>
    <w:rsid w:val="5B7C0F56"/>
    <w:rsid w:val="5B94486F"/>
    <w:rsid w:val="5BA529F7"/>
    <w:rsid w:val="5BFF8664"/>
    <w:rsid w:val="5C8000FD"/>
    <w:rsid w:val="5C964BFE"/>
    <w:rsid w:val="5D5812EC"/>
    <w:rsid w:val="5D962BBC"/>
    <w:rsid w:val="5E07266A"/>
    <w:rsid w:val="5E1E349F"/>
    <w:rsid w:val="5F2E1742"/>
    <w:rsid w:val="5F3376FB"/>
    <w:rsid w:val="5F6146EB"/>
    <w:rsid w:val="5FFC638B"/>
    <w:rsid w:val="60B511B4"/>
    <w:rsid w:val="620C0619"/>
    <w:rsid w:val="629616EA"/>
    <w:rsid w:val="63EF49BB"/>
    <w:rsid w:val="667C7D98"/>
    <w:rsid w:val="674B0E3B"/>
    <w:rsid w:val="68735867"/>
    <w:rsid w:val="68D26659"/>
    <w:rsid w:val="69C30CC3"/>
    <w:rsid w:val="6A8E549C"/>
    <w:rsid w:val="6AE56011"/>
    <w:rsid w:val="6B856C99"/>
    <w:rsid w:val="6BA86A50"/>
    <w:rsid w:val="6BF055A8"/>
    <w:rsid w:val="6CE66673"/>
    <w:rsid w:val="6EBB79A1"/>
    <w:rsid w:val="6F410B32"/>
    <w:rsid w:val="6F5D22F0"/>
    <w:rsid w:val="70330580"/>
    <w:rsid w:val="711B17F7"/>
    <w:rsid w:val="723A06E5"/>
    <w:rsid w:val="734D3842"/>
    <w:rsid w:val="73601B8E"/>
    <w:rsid w:val="74AD1868"/>
    <w:rsid w:val="75066E2C"/>
    <w:rsid w:val="7535557C"/>
    <w:rsid w:val="76982C90"/>
    <w:rsid w:val="76F708FA"/>
    <w:rsid w:val="770B35EA"/>
    <w:rsid w:val="77C22EDF"/>
    <w:rsid w:val="78066F6E"/>
    <w:rsid w:val="786477EF"/>
    <w:rsid w:val="78BC4EB5"/>
    <w:rsid w:val="7A4153ED"/>
    <w:rsid w:val="7A601A23"/>
    <w:rsid w:val="7ABE6A3D"/>
    <w:rsid w:val="7AEA69F0"/>
    <w:rsid w:val="7DC73E5B"/>
    <w:rsid w:val="7DDF73F6"/>
    <w:rsid w:val="7F625BE9"/>
    <w:rsid w:val="7FEF9C73"/>
    <w:rsid w:val="BF376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qFormat="1"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autoRedefine/>
    <w:unhideWhenUsed/>
    <w:qFormat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FollowedHyperlink"/>
    <w:basedOn w:val="7"/>
    <w:autoRedefine/>
    <w:qFormat/>
    <w:uiPriority w:val="0"/>
    <w:rPr>
      <w:color w:val="333333"/>
      <w:u w:val="none"/>
    </w:rPr>
  </w:style>
  <w:style w:type="character" w:styleId="9">
    <w:name w:val="Hyperlink"/>
    <w:basedOn w:val="7"/>
    <w:autoRedefine/>
    <w:qFormat/>
    <w:uiPriority w:val="0"/>
    <w:rPr>
      <w:color w:val="333333"/>
      <w:u w:val="none"/>
    </w:rPr>
  </w:style>
  <w:style w:type="character" w:styleId="10">
    <w:name w:val="HTML Code"/>
    <w:basedOn w:val="7"/>
    <w:autoRedefine/>
    <w:qFormat/>
    <w:uiPriority w:val="0"/>
    <w:rPr>
      <w:rFonts w:ascii="Courier New" w:hAnsi="Courier New"/>
      <w:sz w:val="20"/>
    </w:rPr>
  </w:style>
  <w:style w:type="paragraph" w:customStyle="1" w:styleId="11">
    <w:name w:val="Body text|1"/>
    <w:basedOn w:val="1"/>
    <w:autoRedefine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12">
    <w:name w:val="Other|1"/>
    <w:basedOn w:val="1"/>
    <w:autoRedefine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13">
    <w:name w:val="Other|2"/>
    <w:basedOn w:val="1"/>
    <w:qFormat/>
    <w:uiPriority w:val="0"/>
    <w:pPr>
      <w:widowControl w:val="0"/>
      <w:shd w:val="clear" w:color="auto" w:fill="auto"/>
      <w:spacing w:before="80"/>
      <w:ind w:firstLine="110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  <w:style w:type="character" w:customStyle="1" w:styleId="14">
    <w:name w:val="calendar-head__next-year-btn"/>
    <w:basedOn w:val="7"/>
    <w:autoRedefine/>
    <w:qFormat/>
    <w:uiPriority w:val="0"/>
  </w:style>
  <w:style w:type="character" w:customStyle="1" w:styleId="15">
    <w:name w:val="active2"/>
    <w:basedOn w:val="7"/>
    <w:autoRedefine/>
    <w:qFormat/>
    <w:uiPriority w:val="0"/>
    <w:rPr>
      <w:color w:val="333333"/>
    </w:rPr>
  </w:style>
  <w:style w:type="character" w:customStyle="1" w:styleId="16">
    <w:name w:val="calendar-head__year-range"/>
    <w:basedOn w:val="7"/>
    <w:qFormat/>
    <w:uiPriority w:val="0"/>
    <w:rPr>
      <w:vanish/>
    </w:rPr>
  </w:style>
  <w:style w:type="character" w:customStyle="1" w:styleId="17">
    <w:name w:val="calendar-head__prev-range-btn"/>
    <w:basedOn w:val="7"/>
    <w:autoRedefine/>
    <w:qFormat/>
    <w:uiPriority w:val="0"/>
    <w:rPr>
      <w:vanish/>
    </w:rPr>
  </w:style>
  <w:style w:type="character" w:customStyle="1" w:styleId="18">
    <w:name w:val="calendar-head__next-month-btn"/>
    <w:basedOn w:val="7"/>
    <w:qFormat/>
    <w:uiPriority w:val="0"/>
  </w:style>
  <w:style w:type="character" w:customStyle="1" w:styleId="19">
    <w:name w:val="hover"/>
    <w:basedOn w:val="7"/>
    <w:autoRedefine/>
    <w:qFormat/>
    <w:uiPriority w:val="0"/>
    <w:rPr>
      <w:color w:val="2F6EA2"/>
    </w:rPr>
  </w:style>
  <w:style w:type="character" w:customStyle="1" w:styleId="20">
    <w:name w:val="calendar-head__next-range-btn"/>
    <w:basedOn w:val="7"/>
    <w:autoRedefine/>
    <w:qFormat/>
    <w:uiPriority w:val="0"/>
    <w:rPr>
      <w:vanish/>
    </w:rPr>
  </w:style>
  <w:style w:type="character" w:customStyle="1" w:styleId="21">
    <w:name w:val="calendar-head__text-display"/>
    <w:basedOn w:val="7"/>
    <w:autoRedefine/>
    <w:qFormat/>
    <w:uiPriority w:val="0"/>
    <w:rPr>
      <w:vanish/>
    </w:rPr>
  </w:style>
  <w:style w:type="character" w:customStyle="1" w:styleId="22">
    <w:name w:val="active"/>
    <w:basedOn w:val="7"/>
    <w:autoRedefine/>
    <w:qFormat/>
    <w:uiPriority w:val="0"/>
    <w:rPr>
      <w:color w:val="333333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2882</Words>
  <Characters>3053</Characters>
  <Lines>0</Lines>
  <Paragraphs>0</Paragraphs>
  <TotalTime>2</TotalTime>
  <ScaleCrop>false</ScaleCrop>
  <LinksUpToDate>false</LinksUpToDate>
  <CharactersWithSpaces>3077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2014-10-30T04:08:00Z</dcterms:created>
  <dc:creator>Administrator</dc:creator>
  <cp:lastModifiedBy>～唐雨晴13616311665</cp:lastModifiedBy>
  <dcterms:modified xsi:type="dcterms:W3CDTF">2024-02-23T00:35:05Z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C572666A6F1B4635A951FB1178BB458E</vt:lpwstr>
  </property>
</Properties>
</file>