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auto"/>
          <w:spacing w:val="-17"/>
          <w:sz w:val="44"/>
          <w:szCs w:val="44"/>
          <w:shd w:val="clear" w:fill="FFFFFF"/>
          <w:lang w:val="en-US" w:eastAsia="zh-CN"/>
        </w:rPr>
        <w:t>威海市环翠区发展和改革局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-17"/>
          <w:sz w:val="44"/>
          <w:szCs w:val="44"/>
          <w:shd w:val="clear" w:fill="FFFFFF"/>
        </w:rPr>
        <w:t>政府信息公开工作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caps w:val="0"/>
          <w:color w:val="333333"/>
          <w:spacing w:val="0"/>
          <w:sz w:val="44"/>
          <w:szCs w:val="44"/>
          <w:shd w:val="clear" w:fill="FFFFFF"/>
        </w:rPr>
        <w:t>年度报告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default" w:ascii="Times New Roman" w:hAnsi="Times New Roman" w:eastAsia="仿宋_GB2312" w:cs="Times New Roman"/>
          <w:color w:val="000000"/>
          <w:sz w:val="32"/>
          <w:szCs w:val="32"/>
        </w:rPr>
      </w:pP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根据《中华人民共和国政府信息公开条例》（国务院令第</w:t>
      </w:r>
      <w:r>
        <w:rPr>
          <w:rFonts w:hint="default" w:ascii="Times New Roman" w:hAnsi="Times New Roman" w:cs="Times New Roman"/>
          <w:color w:val="000000"/>
          <w:sz w:val="32"/>
          <w:szCs w:val="32"/>
          <w:highlight w:val="none"/>
        </w:rPr>
        <w:t>711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号，以下简称《条例》）和《中华人民共和国政府信息公开工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作年度报告格式》（国办公开办函〔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2021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〕30号）要求，结合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bookmarkStart w:id="0" w:name="OLE_LINK1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威海市环翠区发展和改革局</w:t>
      </w:r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政府信息公开工作实际，编制发布本报告。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="0" w:beforeAutospacing="0" w:after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本报告内容包括：总体情况、主动公开政府信息情况、收到和处理政府信息公开申请情况、政府信息公开行政复议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行政诉讼情况、存在的主要问题及改进情况、其他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需要报告的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事项等。报告中所列数据统计期限从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年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日到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12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月</w:t>
      </w:r>
      <w:r>
        <w:rPr>
          <w:rFonts w:hint="default" w:ascii="Times New Roman" w:hAnsi="Times New Roman" w:cs="Times New Roman"/>
          <w:color w:val="auto"/>
          <w:sz w:val="32"/>
          <w:szCs w:val="32"/>
          <w:highlight w:val="none"/>
        </w:rPr>
        <w:t>31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日止。报告电子版可从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威海市环翠区发展和改革局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网站（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网址：</w:t>
      </w:r>
      <w:r>
        <w:rPr>
          <w:rFonts w:hint="eastAsia" w:ascii="Times New Roman" w:hAnsi="Times New Roman" w:cs="Times New Roman"/>
          <w:color w:val="auto"/>
          <w:sz w:val="32"/>
          <w:szCs w:val="32"/>
          <w:highlight w:val="none"/>
          <w:lang w:val="en-US" w:eastAsia="zh-CN"/>
        </w:rPr>
        <w:t>http://www.huancui.gov.cn/col/col57852/index.html#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）查阅或下载。公众如需进一步咨询了解相关信息，请与</w:t>
      </w:r>
      <w:bookmarkStart w:id="1" w:name="OLE_LINK2"/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lang w:val="en-US" w:eastAsia="zh-CN"/>
        </w:rPr>
        <w:t>威海市环翠区发展和改革局</w:t>
      </w:r>
      <w:bookmarkEnd w:id="1"/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联系（地址：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威海市环翠区文化中路59号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，电话：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val="en-US" w:eastAsia="zh-CN"/>
        </w:rPr>
        <w:t>0631-5223178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</w:rPr>
        <w:t>）。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highlight w:val="none"/>
          <w:shd w:val="clear" w:fill="FFFFFF"/>
        </w:rPr>
        <w:t>一、总体情况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2025年，</w:t>
      </w:r>
      <w:bookmarkStart w:id="2" w:name="OLE_LINK3"/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威海市环翠区发展和改革局</w:t>
      </w:r>
      <w:bookmarkEnd w:id="2"/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深入贯彻落实《条例》及上级关于政务公开工作的部署要求，结合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发展改革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部门统筹经济社会发展、落实民生政策等核心职能，明确政府信息公开工作的总体目标，保障公众知情权、参与权、监督权，提升发改工作的透明度和公信力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主动公开。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坚持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依法、审慎公开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以提升公开质效为目标，以服务企业群众需求为导向，持续强化组织保障，全面推进政府信息公开各项工作。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主动公开人事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任免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、政策文件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及解读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、部门办公会议、财政预决算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行政执法信息等部门信息，更新主动公开事项目录和人大代表建议、政协委员提案办理情况等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。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2025年，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威海市环翠区发展和改革局通过门户网站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最威海是环翠—政企号等发布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各类政务信息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185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</w:rPr>
        <w:t>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2.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依申请公开。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威海市环翠区发展和改革局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2025年共收到公民信息公开申请7件，线上提交2件，线下提交5件，涉及项目立项批复文件、物业收费政策等方面信息公开申请，比上年度减少1件，均按照法定时限和程序办结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3.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政府信息管理。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2025年，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我局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按照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政务公开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工作要求，制定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《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环翠区发展和改革局主动公开基本目录（2025年版）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》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，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明确各项信息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负责科室及更新时限，做好栏目更新管理。持续完善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政府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信息公开保密审查制度，安排专人负责政府信息公开工作，要求各科室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发布前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做好信息公开保密审查工作，努力提升信息发布质量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和时效性</w:t>
      </w: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，在公开</w:t>
      </w:r>
      <w:r>
        <w:rPr>
          <w:rFonts w:hint="eastAsia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政务</w:t>
      </w:r>
      <w:bookmarkStart w:id="14" w:name="_GoBack"/>
      <w:bookmarkEnd w:id="14"/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信息的同时确保信息安全。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4.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政府信息公开平台建设。</w:t>
      </w: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highlight w:val="none"/>
          <w:lang w:val="en-US" w:eastAsia="zh-CN"/>
        </w:rPr>
        <w:t>建立信息更新长效机制，明确各科室信息报送责任，确保政策文件、业务动态等内容及时上线。制定信息发布审核流程，对拟公开信息进行保密审查、合规性审查和内容校核，杜绝涉密信息、错误信息上网。同时，加强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</w:rPr>
        <w:t>最威海是环翠政企号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</w:rPr>
        <w:t>宣传水平，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让企业、群众实时了解发改动态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/>
          <w:color w:val="auto"/>
          <w:sz w:val="32"/>
          <w:szCs w:val="32"/>
          <w:highlight w:val="none"/>
          <w:lang w:val="en-US" w:eastAsia="zh-CN"/>
        </w:rPr>
        <w:t>5.</w:t>
      </w:r>
      <w:r>
        <w:rPr>
          <w:rFonts w:hint="default" w:ascii="楷体_GB2312" w:hAnsi="楷体_GB2312" w:eastAsia="楷体_GB2312" w:cs="楷体_GB2312"/>
          <w:b w:val="0"/>
          <w:bCs/>
          <w:color w:val="auto"/>
          <w:sz w:val="32"/>
          <w:szCs w:val="32"/>
          <w:highlight w:val="none"/>
          <w:lang w:val="en-US" w:eastAsia="zh-CN"/>
        </w:rPr>
        <w:t>监督保障。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</w:rPr>
        <w:t>健全制度体系，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完善组织保障，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</w:rPr>
        <w:t>将政务公开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工作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</w:rPr>
        <w:t>纳入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个人年度考核，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</w:rPr>
        <w:t>由局办公室牵头负责开展政务公开工作，对各科室的政务公开工作进行指导、监督、审核，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按时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</w:rPr>
        <w:t>参加各级培训，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并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</w:rPr>
        <w:t>将</w:t>
      </w:r>
      <w:r>
        <w:rPr>
          <w:rFonts w:hint="eastAsia" w:ascii="Times New Roman" w:hAnsi="Times New Roman" w:eastAsia="仿宋_GB2312" w:cs="Times New Roman"/>
          <w:b w:val="0"/>
          <w:bCs/>
          <w:sz w:val="32"/>
          <w:szCs w:val="32"/>
          <w:highlight w:val="none"/>
          <w:lang w:val="en-US" w:eastAsia="zh-CN"/>
        </w:rPr>
        <w:t>相关</w:t>
      </w:r>
      <w:r>
        <w:rPr>
          <w:rFonts w:hint="default" w:ascii="Times New Roman" w:hAnsi="Times New Roman" w:eastAsia="仿宋_GB2312" w:cs="Times New Roman"/>
          <w:b w:val="0"/>
          <w:bCs/>
          <w:sz w:val="32"/>
          <w:szCs w:val="32"/>
          <w:highlight w:val="none"/>
        </w:rPr>
        <w:t>工作要求传达到各科室。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sz w:val="32"/>
          <w:szCs w:val="32"/>
          <w:shd w:val="clear" w:fill="FFFFFF"/>
        </w:rPr>
        <w:t>二、主动公开政府信息情况</w:t>
      </w:r>
    </w:p>
    <w:tbl>
      <w:tblPr>
        <w:tblStyle w:val="7"/>
        <w:tblW w:w="792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6"/>
        <w:gridCol w:w="1875"/>
        <w:gridCol w:w="1890"/>
        <w:gridCol w:w="195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2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第二十条第（一）项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本年制发件数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本年废止件数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现行有效件数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规章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auto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行政规范性文件</w:t>
            </w:r>
          </w:p>
        </w:tc>
        <w:tc>
          <w:tcPr>
            <w:tcW w:w="18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19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FF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Cs w:val="21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2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第二十条第（五）项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571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行政许可</w:t>
            </w:r>
          </w:p>
        </w:tc>
        <w:tc>
          <w:tcPr>
            <w:tcW w:w="571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2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第二十条第（六）项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571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本年处理决定数量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行政处罚</w:t>
            </w:r>
          </w:p>
        </w:tc>
        <w:tc>
          <w:tcPr>
            <w:tcW w:w="571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行政强制</w:t>
            </w:r>
          </w:p>
        </w:tc>
        <w:tc>
          <w:tcPr>
            <w:tcW w:w="571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　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921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000000" w:sz="8" w:space="0"/>
            </w:tcBorders>
            <w:shd w:val="clear" w:color="000000" w:fill="C6D9F1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Cs w:val="21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Cs w:val="21"/>
              </w:rPr>
              <w:t>第二十条第（八）项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信息内容</w:t>
            </w:r>
          </w:p>
        </w:tc>
        <w:tc>
          <w:tcPr>
            <w:tcW w:w="571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20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行政事业性收费</w:t>
            </w:r>
          </w:p>
        </w:tc>
        <w:tc>
          <w:tcPr>
            <w:tcW w:w="571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default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color w:val="000000"/>
                <w:kern w:val="0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color w:val="FF000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三、收</w:t>
      </w: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到和处理政府信息公开申请情况</w:t>
      </w:r>
    </w:p>
    <w:tbl>
      <w:tblPr>
        <w:tblStyle w:val="7"/>
        <w:tblW w:w="873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6"/>
        <w:gridCol w:w="965"/>
        <w:gridCol w:w="2970"/>
        <w:gridCol w:w="720"/>
        <w:gridCol w:w="600"/>
        <w:gridCol w:w="630"/>
        <w:gridCol w:w="780"/>
        <w:gridCol w:w="705"/>
        <w:gridCol w:w="480"/>
        <w:gridCol w:w="46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4351" w:type="dxa"/>
            <w:gridSpan w:val="3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楷体_GB2312" w:hAnsi="黑体" w:eastAsia="楷体_GB2312"/>
                <w:kern w:val="0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楷体_GB2312" w:hAnsi="黑体" w:eastAsia="楷体_GB2312"/>
                <w:kern w:val="0"/>
                <w:szCs w:val="21"/>
              </w:rPr>
              <w:t>等于第三项加第四项之和）</w:t>
            </w:r>
          </w:p>
        </w:tc>
        <w:tc>
          <w:tcPr>
            <w:tcW w:w="4380" w:type="dxa"/>
            <w:gridSpan w:val="7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申请人情况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4351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20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自然人</w:t>
            </w:r>
          </w:p>
        </w:tc>
        <w:tc>
          <w:tcPr>
            <w:tcW w:w="3195" w:type="dxa"/>
            <w:gridSpan w:val="5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法人或其他组织</w:t>
            </w:r>
          </w:p>
        </w:tc>
        <w:tc>
          <w:tcPr>
            <w:tcW w:w="465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总计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  <w:jc w:val="center"/>
        </w:trPr>
        <w:tc>
          <w:tcPr>
            <w:tcW w:w="4351" w:type="dxa"/>
            <w:gridSpan w:val="3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  <w:tc>
          <w:tcPr>
            <w:tcW w:w="720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商业企业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科研机构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社会公益组织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法律服务机构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其他</w:t>
            </w:r>
          </w:p>
        </w:tc>
        <w:tc>
          <w:tcPr>
            <w:tcW w:w="4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仿宋_GB2312" w:hAnsi="Times New Roman" w:eastAsia="仿宋_GB2312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" w:hRule="atLeast"/>
          <w:jc w:val="center"/>
        </w:trPr>
        <w:tc>
          <w:tcPr>
            <w:tcW w:w="435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一、</w:t>
            </w:r>
            <w:bookmarkStart w:id="3" w:name="_Hlk66973412"/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本年新收政府信息公开申请数量</w:t>
            </w:r>
            <w:bookmarkEnd w:id="3"/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7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435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color w:val="auto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二、上年结转政府信息公开申请数量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三、本年度办理结果</w:t>
            </w:r>
          </w:p>
        </w:tc>
        <w:tc>
          <w:tcPr>
            <w:tcW w:w="39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（一）予以公开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39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（二）部分公开（</w:t>
            </w:r>
            <w:bookmarkStart w:id="4" w:name="_Hlk66973981"/>
            <w:r>
              <w:rPr>
                <w:rFonts w:hint="eastAsia" w:ascii="黑体" w:hAnsi="黑体" w:eastAsia="黑体"/>
                <w:kern w:val="0"/>
                <w:szCs w:val="21"/>
              </w:rPr>
              <w:t>区分处理的，只计这一情形，不计其他情形</w:t>
            </w:r>
            <w:bookmarkEnd w:id="4"/>
            <w:r>
              <w:rPr>
                <w:rFonts w:hint="eastAsia" w:ascii="黑体" w:hAnsi="黑体" w:eastAsia="黑体"/>
                <w:kern w:val="0"/>
                <w:szCs w:val="21"/>
              </w:rPr>
              <w:t>）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3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（三）不予公开</w:t>
            </w:r>
          </w:p>
        </w:tc>
        <w:tc>
          <w:tcPr>
            <w:tcW w:w="29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1.属于国家秘密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5" w:name="_Hlk66974104"/>
            <w:r>
              <w:rPr>
                <w:rFonts w:hint="eastAsia" w:ascii="仿宋_GB2312" w:hAnsi="黑体" w:eastAsia="仿宋_GB2312"/>
                <w:kern w:val="0"/>
                <w:szCs w:val="21"/>
              </w:rPr>
              <w:t>其他法律行政法规禁止公开</w:t>
            </w:r>
            <w:bookmarkEnd w:id="5"/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3.危及“三安全一稳定”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</w:t>
            </w:r>
            <w:bookmarkStart w:id="6" w:name="_Hlk66974290"/>
            <w:r>
              <w:rPr>
                <w:rFonts w:hint="eastAsia" w:ascii="仿宋_GB2312" w:hAnsi="黑体" w:eastAsia="仿宋_GB2312"/>
                <w:kern w:val="0"/>
                <w:szCs w:val="21"/>
              </w:rPr>
              <w:t>保护第三方合法权益</w:t>
            </w:r>
            <w:bookmarkEnd w:id="6"/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5.属于三类内部事务信息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6.</w:t>
            </w:r>
            <w:bookmarkStart w:id="7" w:name="_Hlk66974555"/>
            <w:r>
              <w:rPr>
                <w:rFonts w:hint="eastAsia" w:ascii="仿宋_GB2312" w:hAnsi="黑体" w:eastAsia="仿宋_GB2312"/>
                <w:kern w:val="0"/>
                <w:szCs w:val="21"/>
              </w:rPr>
              <w:t>属于四类过程性信息</w:t>
            </w:r>
            <w:bookmarkEnd w:id="7"/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7.属于行政执法案卷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8.</w:t>
            </w:r>
            <w:bookmarkStart w:id="8" w:name="_Hlk66975211"/>
            <w:r>
              <w:rPr>
                <w:rFonts w:hint="eastAsia" w:ascii="仿宋_GB2312" w:hAnsi="黑体" w:eastAsia="仿宋_GB2312"/>
                <w:kern w:val="0"/>
                <w:szCs w:val="21"/>
              </w:rPr>
              <w:t>属于行政查询事项</w:t>
            </w:r>
            <w:bookmarkEnd w:id="8"/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（四）无法提供</w:t>
            </w:r>
          </w:p>
        </w:tc>
        <w:tc>
          <w:tcPr>
            <w:tcW w:w="29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1.本机关不掌握相关政府信息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2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</w:t>
            </w:r>
            <w:bookmarkStart w:id="9" w:name="_Hlk66975392"/>
            <w:r>
              <w:rPr>
                <w:rFonts w:hint="eastAsia" w:ascii="仿宋_GB2312" w:hAnsi="黑体" w:eastAsia="仿宋_GB2312"/>
                <w:kern w:val="0"/>
                <w:szCs w:val="21"/>
              </w:rPr>
              <w:t>没有现成信息需要另行制作</w:t>
            </w:r>
            <w:bookmarkEnd w:id="9"/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</w:t>
            </w:r>
            <w:bookmarkStart w:id="10" w:name="_Hlk66975466"/>
            <w:r>
              <w:rPr>
                <w:rFonts w:hint="eastAsia" w:ascii="仿宋_GB2312" w:hAnsi="黑体" w:eastAsia="仿宋_GB2312"/>
                <w:kern w:val="0"/>
                <w:szCs w:val="21"/>
              </w:rPr>
              <w:t>补正后申请内容仍不明确</w:t>
            </w:r>
            <w:bookmarkEnd w:id="10"/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rFonts w:ascii="黑体" w:hAnsi="黑体" w:eastAsia="黑体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（五）不予处理</w:t>
            </w:r>
          </w:p>
        </w:tc>
        <w:tc>
          <w:tcPr>
            <w:tcW w:w="29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1.</w:t>
            </w:r>
            <w:bookmarkStart w:id="11" w:name="_Hlk66975537"/>
            <w:r>
              <w:rPr>
                <w:rFonts w:hint="eastAsia" w:ascii="仿宋_GB2312" w:hAnsi="黑体" w:eastAsia="仿宋_GB2312"/>
                <w:kern w:val="0"/>
                <w:szCs w:val="21"/>
              </w:rPr>
              <w:t>信访举报投诉类申请</w:t>
            </w:r>
            <w:bookmarkEnd w:id="11"/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2.重复申请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3.要求提供公开出版物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4.无正当理由大量反复申请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黑体" w:hAnsi="黑体" w:eastAsia="黑体"/>
                <w:szCs w:val="21"/>
              </w:rPr>
            </w:pPr>
          </w:p>
        </w:tc>
        <w:tc>
          <w:tcPr>
            <w:tcW w:w="297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10" w:firstLineChars="100"/>
              <w:rPr>
                <w:rFonts w:ascii="仿宋_GB2312" w:hAnsi="黑体" w:eastAsia="仿宋_GB2312"/>
                <w:szCs w:val="21"/>
              </w:rPr>
            </w:pPr>
            <w:r>
              <w:rPr>
                <w:rFonts w:hint="eastAsia" w:ascii="仿宋_GB2312" w:hAnsi="黑体" w:eastAsia="仿宋_GB2312"/>
                <w:kern w:val="0"/>
                <w:szCs w:val="21"/>
              </w:rPr>
              <w:t>出具已获取信息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restart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（六）其他处理</w:t>
            </w:r>
          </w:p>
        </w:tc>
        <w:tc>
          <w:tcPr>
            <w:tcW w:w="297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楷体" w:eastAsia="仿宋_GB2312"/>
              </w:rPr>
            </w:pPr>
            <w:r>
              <w:rPr>
                <w:rFonts w:hint="eastAsia" w:ascii="仿宋_GB2312" w:hAnsi="楷体" w:eastAsia="仿宋_GB2312"/>
              </w:rPr>
              <w:t>1.申请人无正当理由逾期不补正、行政机关不再处理其政府信息公开申请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2.申请人逾期未按收费通知要求缴纳费用、行政机关不再处理其政府信息公开申请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965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</w:p>
        </w:tc>
        <w:tc>
          <w:tcPr>
            <w:tcW w:w="2970" w:type="dxa"/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ascii="仿宋_GB2312" w:hAnsi="黑体" w:eastAsia="仿宋_GB2312"/>
                <w:kern w:val="0"/>
                <w:szCs w:val="21"/>
              </w:rPr>
            </w:pPr>
            <w:r>
              <w:rPr>
                <w:rFonts w:hint="eastAsia" w:ascii="仿宋_GB2312" w:hAnsi="楷体" w:eastAsia="仿宋_GB2312"/>
              </w:rPr>
              <w:t>3.其他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16" w:type="dxa"/>
            <w:vMerge w:val="continue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Cs w:val="21"/>
              </w:rPr>
            </w:pPr>
          </w:p>
        </w:tc>
        <w:tc>
          <w:tcPr>
            <w:tcW w:w="3935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kern w:val="0"/>
                <w:szCs w:val="21"/>
              </w:rPr>
              <w:t>（七）总计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default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7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auto"/>
                <w:szCs w:val="21"/>
                <w:lang w:val="en-US" w:eastAsia="zh-CN"/>
              </w:rPr>
              <w:t>7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351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黑体" w:hAnsi="黑体" w:eastAsia="黑体"/>
                <w:color w:val="auto"/>
                <w:kern w:val="0"/>
                <w:szCs w:val="21"/>
              </w:rPr>
            </w:pPr>
            <w:r>
              <w:rPr>
                <w:rFonts w:hint="eastAsia" w:ascii="黑体" w:hAnsi="黑体" w:eastAsia="黑体"/>
                <w:color w:val="auto"/>
                <w:kern w:val="0"/>
                <w:szCs w:val="21"/>
              </w:rPr>
              <w:t>四、结转下年度继续办理</w:t>
            </w:r>
          </w:p>
        </w:tc>
        <w:tc>
          <w:tcPr>
            <w:tcW w:w="72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仿宋_GB2312" w:hAnsi="Times New Roman" w:eastAsia="仿宋_GB2312"/>
                <w:color w:val="FF0000"/>
                <w:szCs w:val="21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63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70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80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  <w:tc>
          <w:tcPr>
            <w:tcW w:w="465" w:type="dxa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ascii="仿宋_GB2312" w:hAnsi="Times New Roman" w:eastAsia="仿宋_GB2312"/>
                <w:color w:val="FF0000"/>
                <w:szCs w:val="21"/>
                <w:lang w:val="en-US"/>
              </w:rPr>
            </w:pPr>
            <w:r>
              <w:rPr>
                <w:rFonts w:hint="eastAsia" w:ascii="仿宋_GB2312" w:hAnsi="Times New Roman" w:eastAsia="仿宋_GB2312"/>
                <w:szCs w:val="21"/>
                <w:lang w:val="en-US" w:eastAsia="zh-CN"/>
              </w:rPr>
              <w:t>0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b w:val="0"/>
          <w:bCs/>
          <w:i w:val="0"/>
          <w:caps w:val="0"/>
          <w:color w:val="FF0000"/>
          <w:spacing w:val="0"/>
          <w:kern w:val="2"/>
          <w:sz w:val="32"/>
          <w:szCs w:val="32"/>
          <w:shd w:val="clear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四、政府信息公开行政复议、行政诉讼情况</w:t>
      </w:r>
    </w:p>
    <w:tbl>
      <w:tblPr>
        <w:tblStyle w:val="7"/>
        <w:tblW w:w="8673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470"/>
        <w:gridCol w:w="585"/>
        <w:gridCol w:w="555"/>
        <w:gridCol w:w="585"/>
        <w:gridCol w:w="600"/>
        <w:gridCol w:w="555"/>
        <w:gridCol w:w="585"/>
        <w:gridCol w:w="600"/>
        <w:gridCol w:w="540"/>
        <w:gridCol w:w="615"/>
        <w:gridCol w:w="56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288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12" w:name="OLE_LINK4"/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行政复议</w:t>
            </w:r>
          </w:p>
        </w:tc>
        <w:tc>
          <w:tcPr>
            <w:tcW w:w="578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470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计</w:t>
            </w:r>
          </w:p>
        </w:tc>
        <w:tc>
          <w:tcPr>
            <w:tcW w:w="288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未经复议直接起诉</w:t>
            </w:r>
          </w:p>
        </w:tc>
        <w:tc>
          <w:tcPr>
            <w:tcW w:w="290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bookmarkStart w:id="13" w:name="_Hlk67039688"/>
            <w:r>
              <w:rPr>
                <w:rFonts w:ascii="黑体" w:hAnsi="黑体" w:eastAsia="黑体"/>
                <w:kern w:val="0"/>
                <w:sz w:val="20"/>
                <w:szCs w:val="20"/>
              </w:rPr>
              <w:t>复议后起诉</w:t>
            </w:r>
            <w:bookmarkEnd w:id="13"/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47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黑体" w:hAnsi="黑体" w:eastAsia="黑体"/>
                <w:sz w:val="24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05" w:leftChars="-50" w:right="-126" w:rightChars="-60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维持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86" w:leftChars="-41" w:right="-88" w:rightChars="-42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5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审结</w:t>
            </w:r>
          </w:p>
        </w:tc>
        <w:tc>
          <w:tcPr>
            <w:tcW w:w="55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  <w:tc>
          <w:tcPr>
            <w:tcW w:w="5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结果维持</w:t>
            </w:r>
          </w:p>
        </w:tc>
        <w:tc>
          <w:tcPr>
            <w:tcW w:w="6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纠正</w:t>
            </w:r>
          </w:p>
        </w:tc>
        <w:tc>
          <w:tcPr>
            <w:tcW w:w="5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  <w:kern w:val="0"/>
                <w:sz w:val="20"/>
                <w:szCs w:val="20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结果</w:t>
            </w:r>
          </w:p>
        </w:tc>
        <w:tc>
          <w:tcPr>
            <w:tcW w:w="61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尚未审结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="黑体" w:hAnsi="黑体" w:eastAsia="黑体"/>
              </w:rPr>
            </w:pPr>
            <w:r>
              <w:rPr>
                <w:rFonts w:ascii="黑体" w:hAnsi="黑体" w:eastAsia="黑体"/>
                <w:kern w:val="0"/>
                <w:sz w:val="20"/>
                <w:szCs w:val="20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5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61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>
            <w:pPr>
              <w:widowControl/>
              <w:spacing w:after="180"/>
              <w:jc w:val="center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Cs w:val="21"/>
                <w:lang w:val="en-US" w:eastAsia="zh-CN"/>
              </w:rPr>
              <w:t>0</w:t>
            </w:r>
          </w:p>
        </w:tc>
      </w:tr>
      <w:bookmarkEnd w:id="12"/>
    </w:tbl>
    <w:p>
      <w:pPr>
        <w:widowControl/>
        <w:jc w:val="left"/>
        <w:rPr>
          <w:rFonts w:hint="eastAsia" w:ascii="仿宋_GB2312" w:hAnsi="Calibri" w:eastAsia="仿宋_GB2312" w:cs="Calibri"/>
          <w:color w:val="FF0000"/>
          <w:kern w:val="0"/>
          <w:szCs w:val="21"/>
          <w:lang w:val="en-US" w:eastAsia="zh-CN"/>
        </w:rPr>
      </w:pPr>
    </w:p>
    <w:p>
      <w:pPr>
        <w:pStyle w:val="6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highlight w:val="none"/>
          <w:shd w:val="clear" w:fill="FFFFFF"/>
          <w:lang w:val="en-US" w:eastAsia="zh-CN" w:bidi="ar"/>
        </w:rPr>
        <w:t>存在的主要问题及改进情况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2025年，对照国家、省、市关于政务公开工作各项部署要求，还存在一些问题和不足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。</w:t>
      </w:r>
    </w:p>
    <w:p>
      <w:pPr>
        <w:pStyle w:val="6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（一）存在问题：当前，我局政府信息公开工作仍存在部分领域公开内容深度不足、政策解读形式创新性有待提升、互动栏目回应需进一步优化等问题。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（二）改进情况：下一步，威海市环</w:t>
      </w:r>
      <w:r>
        <w:rPr>
          <w:rFonts w:hint="eastAsia" w:ascii="仿宋_GB2312" w:hAnsi="仿宋_GB2312" w:eastAsia="仿宋_GB2312" w:cs="仿宋_GB2312"/>
          <w:i w:val="0"/>
          <w:caps w:val="0"/>
          <w:color w:val="auto"/>
          <w:spacing w:val="0"/>
          <w:kern w:val="2"/>
          <w:sz w:val="32"/>
          <w:szCs w:val="32"/>
          <w:highlight w:val="none"/>
          <w:shd w:val="clear" w:fill="FFFFFF"/>
          <w:lang w:val="en-US" w:eastAsia="zh-CN" w:bidi="ar-SA"/>
        </w:rPr>
        <w:t>翠区发展和改革局将针对短板弱项精准发力，一是深化重点领域公开，聚焦优化营商环境、贴近民生保障等关键领域，细化公开内容，提升信息时效性和实用性；二是创新公开方式方法，丰富政策解读形式；三是强化平台互动建设，提升政务公开、意见征集回应能力，完善公众参与机制；四是加强队伍能力建设，常态化开展业务培训，不断提升政府信息公开工作规范化、专业化水平，为经济社会高质量发展提供更有力的政务服务支撑。</w:t>
      </w:r>
    </w:p>
    <w:p>
      <w:pPr>
        <w:pStyle w:val="6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i w:val="0"/>
          <w:caps w:val="0"/>
          <w:color w:val="333333"/>
          <w:spacing w:val="0"/>
          <w:kern w:val="0"/>
          <w:sz w:val="32"/>
          <w:szCs w:val="32"/>
          <w:shd w:val="clear" w:fill="FFFFFF"/>
          <w:lang w:val="en-US" w:eastAsia="zh-CN" w:bidi="ar"/>
        </w:rPr>
        <w:t>六、其他需要报告的事项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cs="Times New Roman"/>
          <w:sz w:val="32"/>
          <w:szCs w:val="32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eastAsia" w:ascii="Times New Roman" w:hAnsi="Times New Roman" w:eastAsia="楷体_GB2312" w:cs="Times New Roman"/>
          <w:sz w:val="32"/>
          <w:szCs w:val="32"/>
          <w:lang w:val="en-US" w:eastAsia="zh-CN"/>
        </w:rPr>
        <w:t>收取信息处理费情况</w:t>
      </w:r>
      <w:r>
        <w:rPr>
          <w:rFonts w:hint="default" w:ascii="Times New Roman" w:hAnsi="Times New Roman" w:eastAsia="楷体_GB2312" w:cs="Times New Roman"/>
          <w:sz w:val="32"/>
          <w:szCs w:val="32"/>
        </w:rPr>
        <w:t>：</w:t>
      </w:r>
      <w:r>
        <w:rPr>
          <w:rFonts w:hint="default" w:ascii="Times New Roman" w:hAnsi="Times New Roman" w:cs="Times New Roman"/>
          <w:sz w:val="32"/>
          <w:szCs w:val="32"/>
        </w:rPr>
        <w:t>202</w:t>
      </w:r>
      <w:r>
        <w:rPr>
          <w:rFonts w:hint="eastAsia" w:ascii="Times New Roman" w:hAnsi="Times New Roman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威海市环翠区发展和改革局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未收取政府信息公开信息处理费。</w:t>
      </w:r>
    </w:p>
    <w:p>
      <w:pPr>
        <w:pStyle w:val="6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beforeAutospacing="0" w:afterAutospacing="0" w:line="560" w:lineRule="exact"/>
        <w:ind w:left="0" w:firstLine="645"/>
        <w:jc w:val="both"/>
        <w:textAlignment w:val="auto"/>
        <w:rPr>
          <w:rFonts w:hint="default" w:ascii="Times New Roman" w:hAnsi="Times New Roman" w:cs="Times New Roman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sz w:val="32"/>
          <w:szCs w:val="32"/>
          <w:highlight w:val="none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  <w:highlight w:val="none"/>
        </w:rPr>
        <w:t>办理人大代表建议、政协委员提案情况：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202</w:t>
      </w:r>
      <w:r>
        <w:rPr>
          <w:rFonts w:hint="eastAsia" w:ascii="Times New Roman" w:hAnsi="Times New Roman" w:cs="Times New Roman"/>
          <w:sz w:val="32"/>
          <w:szCs w:val="32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威海市环翠区发展和改革局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共承办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区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人大代表建议</w:t>
      </w:r>
      <w:r>
        <w:rPr>
          <w:rFonts w:hint="eastAsia" w:ascii="Times New Roman" w:hAnsi="Times New Roman" w:eastAsia="仿宋_GB2312" w:cs="Times New Roman"/>
          <w:sz w:val="32"/>
          <w:szCs w:val="32"/>
          <w:u w:val="none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件、政协提案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件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u w:val="none"/>
          <w:lang w:val="en-US" w:eastAsia="zh-CN"/>
        </w:rPr>
        <w:t>主要涉及新能源发展相关问题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u w:val="none"/>
        </w:rPr>
        <w:t>。目前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，已全部办理完成，办复率</w:t>
      </w:r>
      <w:r>
        <w:rPr>
          <w:rFonts w:hint="default" w:ascii="Times New Roman" w:hAnsi="Times New Roman" w:cs="Times New Roman"/>
          <w:sz w:val="32"/>
          <w:szCs w:val="32"/>
          <w:highlight w:val="none"/>
        </w:rPr>
        <w:t>100%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6" w:firstLineChars="202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.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创新工作开展情况：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环翠区发展和改革局为进一步推进政务公开，增进公众对政府工作的了解与支持，7月23日，在鲸园社区开展“政府开放日”收费政策宣传活动，邀请社区居民参加。每逢节日临近，工作人员还会赴水产市场、超市等场所开展市场价格监测工作，了解重要民生商品价格运行情况，并进行价格政策宣传解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43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decorative"/>
    <w:pitch w:val="default"/>
    <w:sig w:usb0="800002BF" w:usb1="38CF7CFA" w:usb2="00000016" w:usb3="00000000" w:csb0="00040001" w:csb1="00000000"/>
  </w:font>
  <w:font w:name="文星简小标宋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A0000287" w:usb1="28C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EA31A8"/>
    <w:multiLevelType w:val="singleLevel"/>
    <w:tmpl w:val="2BEA31A8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AF18C8"/>
    <w:rsid w:val="08D157AC"/>
    <w:rsid w:val="09EF1863"/>
    <w:rsid w:val="11AF18C8"/>
    <w:rsid w:val="14B7084D"/>
    <w:rsid w:val="17685E98"/>
    <w:rsid w:val="1965422E"/>
    <w:rsid w:val="1A6A77C7"/>
    <w:rsid w:val="21E9640B"/>
    <w:rsid w:val="228E321A"/>
    <w:rsid w:val="27D92119"/>
    <w:rsid w:val="29320AE2"/>
    <w:rsid w:val="295A09E8"/>
    <w:rsid w:val="2D4E6611"/>
    <w:rsid w:val="2EB06299"/>
    <w:rsid w:val="2EFA3816"/>
    <w:rsid w:val="3104723B"/>
    <w:rsid w:val="34335048"/>
    <w:rsid w:val="3D2B123E"/>
    <w:rsid w:val="3E81522F"/>
    <w:rsid w:val="3FE7404D"/>
    <w:rsid w:val="40834B71"/>
    <w:rsid w:val="464F74E8"/>
    <w:rsid w:val="46B265D0"/>
    <w:rsid w:val="497B31FC"/>
    <w:rsid w:val="511E6463"/>
    <w:rsid w:val="54F23AC6"/>
    <w:rsid w:val="56F344A5"/>
    <w:rsid w:val="5DA4315F"/>
    <w:rsid w:val="63E94D92"/>
    <w:rsid w:val="67B148CA"/>
    <w:rsid w:val="67FF4D4E"/>
    <w:rsid w:val="68C9088B"/>
    <w:rsid w:val="6A173B9D"/>
    <w:rsid w:val="6C7C7FF0"/>
    <w:rsid w:val="756178DC"/>
    <w:rsid w:val="77181135"/>
    <w:rsid w:val="775340DC"/>
    <w:rsid w:val="77927421"/>
    <w:rsid w:val="78A84036"/>
    <w:rsid w:val="7BB42E2E"/>
    <w:rsid w:val="7E2277F5"/>
    <w:rsid w:val="7E5C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2631</Words>
  <Characters>2766</Characters>
  <Lines>0</Lines>
  <Paragraphs>0</Paragraphs>
  <TotalTime>98</TotalTime>
  <ScaleCrop>false</ScaleCrop>
  <LinksUpToDate>false</LinksUpToDate>
  <CharactersWithSpaces>2772</CharactersWithSpaces>
  <Application>WPS Office_11.1.0.9305_F1E327BC-269C-435d-A152-05C5408002CA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2023-01-16T07:45:00Z</dcterms:created>
  <dc:creator>诗人与熊</dc:creator>
  <cp:lastModifiedBy>123</cp:lastModifiedBy>
  <cp:lastPrinted>2024-12-16T08:59:00Z</cp:lastPrinted>
  <dcterms:modified xsi:type="dcterms:W3CDTF">2026-01-14T02:39:13Z</dcterms:modified>
  <dc:title>某某单位（规范全称）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  <property fmtid="{D5CDD505-2E9C-101B-9397-08002B2CF9AE}" pid="3" name="ICV">
    <vt:lpwstr>E69FC135B6704485BACA57740AE2D712</vt:lpwstr>
  </property>
</Properties>
</file>