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eastAsia="方正小标宋简体"/>
          <w:sz w:val="44"/>
          <w:szCs w:val="44"/>
        </w:rPr>
      </w:pPr>
      <w:r>
        <w:rPr>
          <w:rFonts w:hint="eastAsia" w:ascii="方正小标宋简体" w:eastAsia="方正小标宋简体"/>
          <w:sz w:val="44"/>
          <w:szCs w:val="44"/>
        </w:rPr>
        <w:t>环翠区统计局随机抽查事项清单</w:t>
      </w:r>
      <w:bookmarkStart w:id="0" w:name="_GoBack"/>
      <w:bookmarkEnd w:id="0"/>
    </w:p>
    <w:tbl>
      <w:tblPr>
        <w:tblStyle w:val="6"/>
        <w:tblW w:w="152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9"/>
        <w:gridCol w:w="705"/>
        <w:gridCol w:w="965"/>
        <w:gridCol w:w="1267"/>
        <w:gridCol w:w="1120"/>
        <w:gridCol w:w="7011"/>
        <w:gridCol w:w="1134"/>
        <w:gridCol w:w="1701"/>
        <w:gridCol w:w="6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59" w:type="dxa"/>
            <w:vAlign w:val="center"/>
          </w:tcPr>
          <w:p>
            <w:pPr>
              <w:jc w:val="center"/>
              <w:rPr>
                <w:rFonts w:ascii="黑体" w:hAnsi="黑体" w:eastAsia="黑体"/>
              </w:rPr>
            </w:pPr>
            <w:r>
              <w:rPr>
                <w:rFonts w:hint="eastAsia" w:ascii="黑体" w:hAnsi="黑体" w:eastAsia="黑体"/>
              </w:rPr>
              <w:t>序号</w:t>
            </w:r>
          </w:p>
        </w:tc>
        <w:tc>
          <w:tcPr>
            <w:tcW w:w="705" w:type="dxa"/>
            <w:vAlign w:val="center"/>
          </w:tcPr>
          <w:p>
            <w:pPr>
              <w:jc w:val="center"/>
              <w:rPr>
                <w:rFonts w:ascii="黑体" w:hAnsi="黑体" w:eastAsia="黑体"/>
              </w:rPr>
            </w:pPr>
            <w:r>
              <w:rPr>
                <w:rFonts w:hint="eastAsia" w:ascii="黑体" w:hAnsi="黑体" w:eastAsia="黑体"/>
              </w:rPr>
              <w:t>实施</w:t>
            </w:r>
          </w:p>
          <w:p>
            <w:pPr>
              <w:jc w:val="center"/>
              <w:rPr>
                <w:rFonts w:ascii="黑体" w:hAnsi="黑体" w:eastAsia="黑体"/>
              </w:rPr>
            </w:pPr>
            <w:r>
              <w:rPr>
                <w:rFonts w:hint="eastAsia" w:ascii="黑体" w:hAnsi="黑体" w:eastAsia="黑体"/>
              </w:rPr>
              <w:t>部门</w:t>
            </w:r>
          </w:p>
        </w:tc>
        <w:tc>
          <w:tcPr>
            <w:tcW w:w="965" w:type="dxa"/>
            <w:vAlign w:val="center"/>
          </w:tcPr>
          <w:p>
            <w:pPr>
              <w:jc w:val="center"/>
              <w:rPr>
                <w:rFonts w:ascii="黑体" w:hAnsi="黑体" w:eastAsia="黑体"/>
              </w:rPr>
            </w:pPr>
            <w:r>
              <w:rPr>
                <w:rFonts w:hint="eastAsia" w:ascii="黑体" w:hAnsi="黑体" w:eastAsia="黑体"/>
              </w:rPr>
              <w:t>抽查</w:t>
            </w:r>
          </w:p>
          <w:p>
            <w:pPr>
              <w:jc w:val="center"/>
              <w:rPr>
                <w:rFonts w:ascii="黑体" w:hAnsi="黑体" w:eastAsia="黑体"/>
              </w:rPr>
            </w:pPr>
            <w:r>
              <w:rPr>
                <w:rFonts w:hint="eastAsia" w:ascii="黑体" w:hAnsi="黑体" w:eastAsia="黑体"/>
              </w:rPr>
              <w:t>事项</w:t>
            </w:r>
          </w:p>
        </w:tc>
        <w:tc>
          <w:tcPr>
            <w:tcW w:w="1267" w:type="dxa"/>
            <w:vAlign w:val="center"/>
          </w:tcPr>
          <w:p>
            <w:pPr>
              <w:jc w:val="center"/>
              <w:rPr>
                <w:rFonts w:ascii="黑体" w:hAnsi="黑体" w:eastAsia="黑体"/>
              </w:rPr>
            </w:pPr>
            <w:r>
              <w:rPr>
                <w:rFonts w:hint="eastAsia" w:ascii="黑体" w:hAnsi="黑体" w:eastAsia="黑体"/>
              </w:rPr>
              <w:t>抽查</w:t>
            </w:r>
          </w:p>
          <w:p>
            <w:pPr>
              <w:jc w:val="center"/>
              <w:rPr>
                <w:rFonts w:ascii="黑体" w:hAnsi="黑体" w:eastAsia="黑体"/>
              </w:rPr>
            </w:pPr>
            <w:r>
              <w:rPr>
                <w:rFonts w:hint="eastAsia" w:ascii="黑体" w:hAnsi="黑体" w:eastAsia="黑体"/>
              </w:rPr>
              <w:t>对象</w:t>
            </w:r>
          </w:p>
        </w:tc>
        <w:tc>
          <w:tcPr>
            <w:tcW w:w="1120" w:type="dxa"/>
            <w:vAlign w:val="center"/>
          </w:tcPr>
          <w:p>
            <w:pPr>
              <w:jc w:val="center"/>
              <w:rPr>
                <w:rFonts w:ascii="黑体" w:hAnsi="黑体" w:eastAsia="黑体"/>
              </w:rPr>
            </w:pPr>
            <w:r>
              <w:rPr>
                <w:rFonts w:hint="eastAsia" w:ascii="黑体" w:hAnsi="黑体" w:eastAsia="黑体"/>
              </w:rPr>
              <w:t>抽查内容</w:t>
            </w:r>
          </w:p>
        </w:tc>
        <w:tc>
          <w:tcPr>
            <w:tcW w:w="7011" w:type="dxa"/>
            <w:vAlign w:val="center"/>
          </w:tcPr>
          <w:p>
            <w:pPr>
              <w:jc w:val="center"/>
              <w:rPr>
                <w:rFonts w:ascii="黑体" w:hAnsi="黑体" w:eastAsia="黑体"/>
              </w:rPr>
            </w:pPr>
            <w:r>
              <w:rPr>
                <w:rFonts w:hint="eastAsia" w:ascii="黑体" w:hAnsi="黑体" w:eastAsia="黑体"/>
              </w:rPr>
              <w:t>抽查依据</w:t>
            </w:r>
          </w:p>
        </w:tc>
        <w:tc>
          <w:tcPr>
            <w:tcW w:w="1134" w:type="dxa"/>
            <w:vAlign w:val="center"/>
          </w:tcPr>
          <w:p>
            <w:pPr>
              <w:jc w:val="center"/>
              <w:rPr>
                <w:rFonts w:ascii="黑体" w:hAnsi="黑体" w:eastAsia="黑体"/>
              </w:rPr>
            </w:pPr>
            <w:r>
              <w:rPr>
                <w:rFonts w:hint="eastAsia" w:ascii="黑体" w:hAnsi="黑体" w:eastAsia="黑体"/>
              </w:rPr>
              <w:t>抽查方式</w:t>
            </w:r>
          </w:p>
        </w:tc>
        <w:tc>
          <w:tcPr>
            <w:tcW w:w="1701" w:type="dxa"/>
            <w:vAlign w:val="center"/>
          </w:tcPr>
          <w:p>
            <w:pPr>
              <w:jc w:val="center"/>
              <w:rPr>
                <w:rFonts w:ascii="黑体" w:hAnsi="黑体" w:eastAsia="黑体"/>
              </w:rPr>
            </w:pPr>
            <w:r>
              <w:rPr>
                <w:rFonts w:hint="eastAsia" w:ascii="黑体" w:hAnsi="黑体" w:eastAsia="黑体"/>
              </w:rPr>
              <w:t>抽查比例和频次</w:t>
            </w:r>
          </w:p>
        </w:tc>
        <w:tc>
          <w:tcPr>
            <w:tcW w:w="643" w:type="dxa"/>
            <w:vAlign w:val="center"/>
          </w:tcPr>
          <w:p>
            <w:pPr>
              <w:jc w:val="center"/>
              <w:rPr>
                <w:rFonts w:ascii="黑体" w:hAnsi="黑体" w:eastAsia="黑体"/>
              </w:rPr>
            </w:pPr>
            <w:r>
              <w:rPr>
                <w:rFonts w:hint="eastAsia" w:ascii="黑体" w:hAnsi="黑体" w:eastAsia="黑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9" w:hRule="atLeast"/>
          <w:jc w:val="center"/>
        </w:trPr>
        <w:tc>
          <w:tcPr>
            <w:tcW w:w="659" w:type="dxa"/>
            <w:vAlign w:val="center"/>
          </w:tcPr>
          <w:p>
            <w:pPr>
              <w:jc w:val="center"/>
            </w:pPr>
            <w:r>
              <w:rPr>
                <w:rFonts w:hint="eastAsia"/>
              </w:rPr>
              <w:t>1</w:t>
            </w:r>
          </w:p>
        </w:tc>
        <w:tc>
          <w:tcPr>
            <w:tcW w:w="705" w:type="dxa"/>
            <w:vMerge w:val="restart"/>
            <w:vAlign w:val="center"/>
          </w:tcPr>
          <w:p>
            <w:pPr>
              <w:jc w:val="left"/>
            </w:pPr>
            <w:r>
              <w:rPr>
                <w:rFonts w:hint="eastAsia"/>
              </w:rPr>
              <w:t>区统计局</w:t>
            </w:r>
          </w:p>
        </w:tc>
        <w:tc>
          <w:tcPr>
            <w:tcW w:w="965" w:type="dxa"/>
            <w:vAlign w:val="center"/>
          </w:tcPr>
          <w:p>
            <w:pPr>
              <w:jc w:val="left"/>
              <w:rPr>
                <w:rFonts w:hint="eastAsia"/>
              </w:rPr>
            </w:pPr>
            <w:r>
              <w:rPr>
                <w:rFonts w:hint="eastAsia"/>
              </w:rPr>
              <w:t>对统计调查对象依法提供统计资料情况的检查</w:t>
            </w:r>
          </w:p>
          <w:p>
            <w:pPr>
              <w:jc w:val="left"/>
            </w:pPr>
          </w:p>
        </w:tc>
        <w:tc>
          <w:tcPr>
            <w:tcW w:w="1267" w:type="dxa"/>
            <w:vMerge w:val="restart"/>
            <w:vAlign w:val="center"/>
          </w:tcPr>
          <w:p>
            <w:pPr>
              <w:jc w:val="left"/>
              <w:rPr>
                <w:rFonts w:hint="eastAsia"/>
              </w:rPr>
            </w:pPr>
            <w:r>
              <w:rPr>
                <w:rFonts w:hint="eastAsia"/>
              </w:rPr>
              <w:t>属于统计调查对象的国家机关、企业事业单位、社会团体、个人以及统计法规定的其他检查对象</w:t>
            </w:r>
          </w:p>
          <w:p>
            <w:pPr>
              <w:jc w:val="left"/>
              <w:rPr>
                <w:rFonts w:hint="eastAsia"/>
              </w:rPr>
            </w:pPr>
          </w:p>
        </w:tc>
        <w:tc>
          <w:tcPr>
            <w:tcW w:w="1120" w:type="dxa"/>
            <w:vAlign w:val="center"/>
          </w:tcPr>
          <w:p>
            <w:pPr>
              <w:jc w:val="left"/>
              <w:rPr>
                <w:rFonts w:hint="eastAsia"/>
              </w:rPr>
            </w:pPr>
            <w:r>
              <w:rPr>
                <w:rFonts w:hint="eastAsia"/>
              </w:rPr>
              <w:t>对统计调查对象依法提供统计资料情况的检查</w:t>
            </w:r>
          </w:p>
          <w:p>
            <w:pPr>
              <w:jc w:val="left"/>
            </w:pPr>
          </w:p>
        </w:tc>
        <w:tc>
          <w:tcPr>
            <w:tcW w:w="7011" w:type="dxa"/>
            <w:vAlign w:val="center"/>
          </w:tcPr>
          <w:p>
            <w:pPr>
              <w:jc w:val="left"/>
            </w:pPr>
            <w:r>
              <w:rPr>
                <w:rFonts w:hint="eastAsia"/>
              </w:rPr>
              <w:t>1.《统计法》第三十</w:t>
            </w:r>
            <w:r>
              <w:rPr>
                <w:rFonts w:hint="eastAsia"/>
                <w:lang w:eastAsia="zh-CN"/>
              </w:rPr>
              <w:t>六</w:t>
            </w:r>
            <w:r>
              <w:rPr>
                <w:rFonts w:hint="eastAsia"/>
              </w:rPr>
              <w:t>条：国家统计局组织管理全国统计工作的监督检查，查处重大统计违法行为。县级以上地方人民政府统计机构依法查处本行政区域内发生的统计违法行为。但是，国家统计局派出的调查机构组织实施的统计调查活动中发生的统计违法行为，由组织实施该项统计调查的调查机构负责查处。法律、行政法规对有关部门查处统计违法行为另有规定的，从其规定。</w:t>
            </w:r>
          </w:p>
          <w:p>
            <w:pPr>
              <w:jc w:val="left"/>
            </w:pPr>
            <w:r>
              <w:rPr>
                <w:rFonts w:hint="eastAsia"/>
              </w:rPr>
              <w:t>2.《统计法》第八条</w:t>
            </w:r>
            <w:r>
              <w:rPr>
                <w:rFonts w:hint="eastAsia"/>
                <w:lang w:eastAsia="zh-CN"/>
              </w:rPr>
              <w:t>：</w:t>
            </w:r>
            <w:r>
              <w:rPr>
                <w:rFonts w:hint="eastAsia"/>
              </w:rPr>
              <w:t> 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tc>
        <w:tc>
          <w:tcPr>
            <w:tcW w:w="1134" w:type="dxa"/>
            <w:vMerge w:val="restart"/>
            <w:vAlign w:val="center"/>
          </w:tcPr>
          <w:p>
            <w:pPr>
              <w:jc w:val="left"/>
            </w:pPr>
            <w:r>
              <w:rPr>
                <w:rFonts w:hint="eastAsia"/>
              </w:rPr>
              <w:t>定期或不定期，现场实地检查为主，书面检查为辅</w:t>
            </w:r>
          </w:p>
        </w:tc>
        <w:tc>
          <w:tcPr>
            <w:tcW w:w="1701" w:type="dxa"/>
            <w:vMerge w:val="restart"/>
            <w:vAlign w:val="center"/>
          </w:tcPr>
          <w:p>
            <w:pPr>
              <w:jc w:val="left"/>
            </w:pPr>
            <w:r>
              <w:rPr>
                <w:rFonts w:hint="eastAsia"/>
              </w:rPr>
              <w:t>根据工作实际情况安排，每年至少1次，不低于</w:t>
            </w:r>
            <w:r>
              <w:rPr>
                <w:rFonts w:hint="eastAsia"/>
                <w:lang w:val="en-US" w:eastAsia="zh-CN"/>
              </w:rPr>
              <w:t>3</w:t>
            </w:r>
            <w:r>
              <w:rPr>
                <w:rFonts w:hint="eastAsia"/>
              </w:rPr>
              <w:t>%。</w:t>
            </w:r>
          </w:p>
        </w:tc>
        <w:tc>
          <w:tcPr>
            <w:tcW w:w="643" w:type="dxa"/>
            <w:vMerge w:val="restart"/>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4" w:hRule="atLeast"/>
          <w:jc w:val="center"/>
        </w:trPr>
        <w:tc>
          <w:tcPr>
            <w:tcW w:w="659" w:type="dxa"/>
            <w:vAlign w:val="center"/>
          </w:tcPr>
          <w:p>
            <w:pPr>
              <w:jc w:val="center"/>
              <w:rPr>
                <w:rFonts w:hint="eastAsia" w:eastAsiaTheme="minorEastAsia"/>
                <w:lang w:val="en-US" w:eastAsia="zh-CN"/>
              </w:rPr>
            </w:pPr>
            <w:r>
              <w:rPr>
                <w:rFonts w:hint="eastAsia"/>
                <w:lang w:val="en-US" w:eastAsia="zh-CN"/>
              </w:rPr>
              <w:t>2</w:t>
            </w:r>
          </w:p>
        </w:tc>
        <w:tc>
          <w:tcPr>
            <w:tcW w:w="705" w:type="dxa"/>
            <w:vMerge w:val="continue"/>
            <w:tcBorders/>
            <w:vAlign w:val="center"/>
          </w:tcPr>
          <w:p>
            <w:pPr>
              <w:jc w:val="left"/>
              <w:rPr>
                <w:rFonts w:hint="eastAsia"/>
              </w:rPr>
            </w:pPr>
          </w:p>
        </w:tc>
        <w:tc>
          <w:tcPr>
            <w:tcW w:w="965" w:type="dxa"/>
            <w:vAlign w:val="center"/>
          </w:tcPr>
          <w:p>
            <w:pPr>
              <w:jc w:val="left"/>
              <w:rPr>
                <w:rFonts w:hint="eastAsia"/>
              </w:rPr>
            </w:pPr>
            <w:r>
              <w:rPr>
                <w:rFonts w:hint="eastAsia"/>
              </w:rPr>
              <w:t>对统计调查对象依法建立原始记录、统计台账和统计资料管理制度情况检查</w:t>
            </w:r>
          </w:p>
        </w:tc>
        <w:tc>
          <w:tcPr>
            <w:tcW w:w="1267" w:type="dxa"/>
            <w:vMerge w:val="continue"/>
            <w:tcBorders/>
            <w:vAlign w:val="center"/>
          </w:tcPr>
          <w:p>
            <w:pPr>
              <w:jc w:val="left"/>
              <w:rPr>
                <w:rFonts w:hint="eastAsia"/>
              </w:rPr>
            </w:pPr>
          </w:p>
        </w:tc>
        <w:tc>
          <w:tcPr>
            <w:tcW w:w="1120" w:type="dxa"/>
            <w:vAlign w:val="center"/>
          </w:tcPr>
          <w:p>
            <w:pPr>
              <w:jc w:val="left"/>
              <w:rPr>
                <w:rFonts w:hint="eastAsia"/>
                <w:lang w:val="en-US" w:eastAsia="zh-CN"/>
              </w:rPr>
            </w:pPr>
            <w:r>
              <w:rPr>
                <w:rFonts w:hint="eastAsia"/>
              </w:rPr>
              <w:t>对统计调查对象依法建立原始记录、统计台账和统计资料管理制度情况检查</w:t>
            </w:r>
          </w:p>
        </w:tc>
        <w:tc>
          <w:tcPr>
            <w:tcW w:w="7011" w:type="dxa"/>
            <w:vAlign w:val="center"/>
          </w:tcPr>
          <w:p>
            <w:pPr>
              <w:jc w:val="left"/>
            </w:pPr>
            <w:r>
              <w:rPr>
                <w:rFonts w:hint="eastAsia"/>
              </w:rPr>
              <w:t>1.《统计法》第三十</w:t>
            </w:r>
            <w:r>
              <w:rPr>
                <w:rFonts w:hint="eastAsia"/>
                <w:lang w:eastAsia="zh-CN"/>
              </w:rPr>
              <w:t>六</w:t>
            </w:r>
            <w:r>
              <w:rPr>
                <w:rFonts w:hint="eastAsia"/>
              </w:rPr>
              <w:t>条：国家统计局组织管理全国统计工作的监督检查，查处重大统计违法行为。县级以上地方人民政府统计机构依法查处本行政区域内发生的统计违法行为。但是，国家统计局派出的调查机构组织实施的统计调查活动中发生的统计违法行为，由组织实施该项统计调查的调查机构负责查处。法律、行政法规对有关部门查处统计违法行为另有规定的，从其规定。</w:t>
            </w:r>
          </w:p>
          <w:p>
            <w:pPr>
              <w:jc w:val="left"/>
              <w:rPr>
                <w:rFonts w:hint="eastAsia"/>
                <w:lang w:val="en-US" w:eastAsia="zh-CN"/>
              </w:rPr>
            </w:pPr>
            <w:r>
              <w:rPr>
                <w:rFonts w:hint="eastAsia"/>
              </w:rPr>
              <w:t>2.《统计法》</w:t>
            </w:r>
            <w:r>
              <w:rPr>
                <w:rFonts w:hint="eastAsia"/>
                <w:lang w:val="en-US" w:eastAsia="zh-CN"/>
              </w:rPr>
              <w:t>第二十四条： 国家机关、企业事业单位和其他组织等统计调查对象，应当按照国家有关规定设置原始记录、统计台账，推动统计台账电子化、数字化、标准化，建立健全统计资料的审核、签署、报送、归档等管理制度。统计资料的审核、签署人员应当对其审核、签署的统计资料的真实性、准确性和完整性负责。</w:t>
            </w:r>
          </w:p>
        </w:tc>
        <w:tc>
          <w:tcPr>
            <w:tcW w:w="1134" w:type="dxa"/>
            <w:vMerge w:val="continue"/>
            <w:tcBorders/>
            <w:vAlign w:val="center"/>
          </w:tcPr>
          <w:p>
            <w:pPr>
              <w:jc w:val="left"/>
              <w:rPr>
                <w:rFonts w:hint="eastAsia"/>
              </w:rPr>
            </w:pPr>
          </w:p>
        </w:tc>
        <w:tc>
          <w:tcPr>
            <w:tcW w:w="1701" w:type="dxa"/>
            <w:vMerge w:val="continue"/>
            <w:tcBorders/>
            <w:vAlign w:val="center"/>
          </w:tcPr>
          <w:p>
            <w:pPr>
              <w:jc w:val="left"/>
              <w:rPr>
                <w:rFonts w:hint="eastAsia"/>
              </w:rPr>
            </w:pPr>
          </w:p>
        </w:tc>
        <w:tc>
          <w:tcPr>
            <w:tcW w:w="643" w:type="dxa"/>
            <w:vMerge w:val="continue"/>
            <w:tcBorders/>
            <w:vAlign w:val="center"/>
          </w:tcPr>
          <w:p>
            <w:pPr>
              <w:jc w:val="center"/>
            </w:pPr>
          </w:p>
        </w:tc>
      </w:tr>
    </w:tbl>
    <w:p>
      <w:pPr>
        <w:jc w:val="both"/>
      </w:pPr>
      <w:r>
        <w:rPr>
          <w:rFonts w:hint="eastAsia"/>
          <w:sz w:val="28"/>
          <w:szCs w:val="32"/>
        </w:rPr>
        <w:t xml:space="preserve">                                     </w:t>
      </w:r>
    </w:p>
    <w:sectPr>
      <w:pgSz w:w="16838" w:h="11906" w:orient="landscape"/>
      <w:pgMar w:top="851" w:right="1985" w:bottom="851" w:left="1985"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3A2F"/>
    <w:rsid w:val="000052FA"/>
    <w:rsid w:val="000114EE"/>
    <w:rsid w:val="000162DC"/>
    <w:rsid w:val="00037DCE"/>
    <w:rsid w:val="000960B5"/>
    <w:rsid w:val="00096E3A"/>
    <w:rsid w:val="00097471"/>
    <w:rsid w:val="000A4A2C"/>
    <w:rsid w:val="000B3A24"/>
    <w:rsid w:val="000B5D14"/>
    <w:rsid w:val="000E00DF"/>
    <w:rsid w:val="000E09EA"/>
    <w:rsid w:val="000E5397"/>
    <w:rsid w:val="000F3A2F"/>
    <w:rsid w:val="000F48D0"/>
    <w:rsid w:val="001173B1"/>
    <w:rsid w:val="00140DC8"/>
    <w:rsid w:val="00154C10"/>
    <w:rsid w:val="00164ADC"/>
    <w:rsid w:val="00170D4A"/>
    <w:rsid w:val="00174393"/>
    <w:rsid w:val="00174FCF"/>
    <w:rsid w:val="00186B6F"/>
    <w:rsid w:val="001A6860"/>
    <w:rsid w:val="001E1880"/>
    <w:rsid w:val="00207B85"/>
    <w:rsid w:val="00215A67"/>
    <w:rsid w:val="00216D61"/>
    <w:rsid w:val="00222191"/>
    <w:rsid w:val="00223884"/>
    <w:rsid w:val="00262118"/>
    <w:rsid w:val="00296B53"/>
    <w:rsid w:val="002B0D99"/>
    <w:rsid w:val="002B4167"/>
    <w:rsid w:val="002C324D"/>
    <w:rsid w:val="002D07C8"/>
    <w:rsid w:val="002D559E"/>
    <w:rsid w:val="002E1A50"/>
    <w:rsid w:val="002F0376"/>
    <w:rsid w:val="002F7378"/>
    <w:rsid w:val="003011CB"/>
    <w:rsid w:val="00331334"/>
    <w:rsid w:val="00337FC5"/>
    <w:rsid w:val="00347220"/>
    <w:rsid w:val="00355F36"/>
    <w:rsid w:val="0035741B"/>
    <w:rsid w:val="00370161"/>
    <w:rsid w:val="0039460D"/>
    <w:rsid w:val="003A659D"/>
    <w:rsid w:val="003B67C0"/>
    <w:rsid w:val="003D673E"/>
    <w:rsid w:val="003E2BD5"/>
    <w:rsid w:val="003F4305"/>
    <w:rsid w:val="003F7C81"/>
    <w:rsid w:val="00462E3E"/>
    <w:rsid w:val="00477462"/>
    <w:rsid w:val="00477EFE"/>
    <w:rsid w:val="0049027D"/>
    <w:rsid w:val="004A7468"/>
    <w:rsid w:val="004A7F6A"/>
    <w:rsid w:val="004B6134"/>
    <w:rsid w:val="004B62EE"/>
    <w:rsid w:val="004C5329"/>
    <w:rsid w:val="004D0A8F"/>
    <w:rsid w:val="004F0C69"/>
    <w:rsid w:val="00520E13"/>
    <w:rsid w:val="00535C3F"/>
    <w:rsid w:val="005441A5"/>
    <w:rsid w:val="005476D0"/>
    <w:rsid w:val="00553B5D"/>
    <w:rsid w:val="00576B76"/>
    <w:rsid w:val="00583E54"/>
    <w:rsid w:val="00595449"/>
    <w:rsid w:val="005A1551"/>
    <w:rsid w:val="005A6D3F"/>
    <w:rsid w:val="005B2EE2"/>
    <w:rsid w:val="005D3156"/>
    <w:rsid w:val="005E7765"/>
    <w:rsid w:val="005F1259"/>
    <w:rsid w:val="00605575"/>
    <w:rsid w:val="00612973"/>
    <w:rsid w:val="0065115D"/>
    <w:rsid w:val="00660CA9"/>
    <w:rsid w:val="00685843"/>
    <w:rsid w:val="00691612"/>
    <w:rsid w:val="006A5A6D"/>
    <w:rsid w:val="006A6CD8"/>
    <w:rsid w:val="006C53B0"/>
    <w:rsid w:val="006D2A96"/>
    <w:rsid w:val="006D5B5C"/>
    <w:rsid w:val="006E4245"/>
    <w:rsid w:val="00712E07"/>
    <w:rsid w:val="0071774A"/>
    <w:rsid w:val="00727109"/>
    <w:rsid w:val="00757EC1"/>
    <w:rsid w:val="007976FE"/>
    <w:rsid w:val="007A523A"/>
    <w:rsid w:val="007A5BC9"/>
    <w:rsid w:val="007B6D79"/>
    <w:rsid w:val="007E1CE3"/>
    <w:rsid w:val="007F4A7F"/>
    <w:rsid w:val="00813404"/>
    <w:rsid w:val="00847F14"/>
    <w:rsid w:val="00885041"/>
    <w:rsid w:val="008B3EC7"/>
    <w:rsid w:val="008B4825"/>
    <w:rsid w:val="008D2E90"/>
    <w:rsid w:val="008E47D7"/>
    <w:rsid w:val="008E7B30"/>
    <w:rsid w:val="00907227"/>
    <w:rsid w:val="00911FB4"/>
    <w:rsid w:val="009350D2"/>
    <w:rsid w:val="00950ACE"/>
    <w:rsid w:val="00980B6F"/>
    <w:rsid w:val="009C4347"/>
    <w:rsid w:val="009D1C33"/>
    <w:rsid w:val="009E112F"/>
    <w:rsid w:val="009E385D"/>
    <w:rsid w:val="009E4C1A"/>
    <w:rsid w:val="009E525B"/>
    <w:rsid w:val="00A23D72"/>
    <w:rsid w:val="00A37027"/>
    <w:rsid w:val="00A510C6"/>
    <w:rsid w:val="00A57F4A"/>
    <w:rsid w:val="00A67E7E"/>
    <w:rsid w:val="00A72782"/>
    <w:rsid w:val="00AA639F"/>
    <w:rsid w:val="00AC4CE8"/>
    <w:rsid w:val="00AE0F3D"/>
    <w:rsid w:val="00AE6442"/>
    <w:rsid w:val="00AF6C29"/>
    <w:rsid w:val="00AF7CB1"/>
    <w:rsid w:val="00B20E76"/>
    <w:rsid w:val="00B2113A"/>
    <w:rsid w:val="00B37732"/>
    <w:rsid w:val="00B468FB"/>
    <w:rsid w:val="00B47D6D"/>
    <w:rsid w:val="00B54B4B"/>
    <w:rsid w:val="00B61C74"/>
    <w:rsid w:val="00B744C9"/>
    <w:rsid w:val="00B8452D"/>
    <w:rsid w:val="00B855A5"/>
    <w:rsid w:val="00B95075"/>
    <w:rsid w:val="00BA36E9"/>
    <w:rsid w:val="00BB512E"/>
    <w:rsid w:val="00BD2EE2"/>
    <w:rsid w:val="00BD4471"/>
    <w:rsid w:val="00C0097C"/>
    <w:rsid w:val="00C03121"/>
    <w:rsid w:val="00C10037"/>
    <w:rsid w:val="00C10184"/>
    <w:rsid w:val="00C40259"/>
    <w:rsid w:val="00C524B3"/>
    <w:rsid w:val="00C77C98"/>
    <w:rsid w:val="00C85DD2"/>
    <w:rsid w:val="00CA242E"/>
    <w:rsid w:val="00CA2D20"/>
    <w:rsid w:val="00CA500F"/>
    <w:rsid w:val="00CC29F1"/>
    <w:rsid w:val="00CD4E6B"/>
    <w:rsid w:val="00CF308D"/>
    <w:rsid w:val="00CF5845"/>
    <w:rsid w:val="00CF7E85"/>
    <w:rsid w:val="00D31CE1"/>
    <w:rsid w:val="00D34094"/>
    <w:rsid w:val="00D841D8"/>
    <w:rsid w:val="00DA5F53"/>
    <w:rsid w:val="00DB397E"/>
    <w:rsid w:val="00DB7FE8"/>
    <w:rsid w:val="00DC5A23"/>
    <w:rsid w:val="00DD38E9"/>
    <w:rsid w:val="00DE7E1B"/>
    <w:rsid w:val="00DF195B"/>
    <w:rsid w:val="00DF2378"/>
    <w:rsid w:val="00E02400"/>
    <w:rsid w:val="00E1283E"/>
    <w:rsid w:val="00E15EE8"/>
    <w:rsid w:val="00E3063D"/>
    <w:rsid w:val="00E40DB1"/>
    <w:rsid w:val="00E47CC2"/>
    <w:rsid w:val="00E57A28"/>
    <w:rsid w:val="00E90B72"/>
    <w:rsid w:val="00E95B69"/>
    <w:rsid w:val="00EA38CD"/>
    <w:rsid w:val="00EA4161"/>
    <w:rsid w:val="00ED6DA6"/>
    <w:rsid w:val="00EF0E02"/>
    <w:rsid w:val="00F26467"/>
    <w:rsid w:val="00F356B8"/>
    <w:rsid w:val="00F36B62"/>
    <w:rsid w:val="00F5145B"/>
    <w:rsid w:val="00F564BB"/>
    <w:rsid w:val="00FA14ED"/>
    <w:rsid w:val="00FB1F88"/>
    <w:rsid w:val="00FB450D"/>
    <w:rsid w:val="00FD4045"/>
    <w:rsid w:val="00FE2B07"/>
    <w:rsid w:val="00FE2C0B"/>
    <w:rsid w:val="00FE776C"/>
    <w:rsid w:val="00FE7D91"/>
    <w:rsid w:val="1E543925"/>
    <w:rsid w:val="54002A3B"/>
    <w:rsid w:val="5AE01562"/>
    <w:rsid w:val="69A24D26"/>
    <w:rsid w:val="74C350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Strong"/>
    <w:basedOn w:val="7"/>
    <w:qFormat/>
    <w:uiPriority w:val="22"/>
    <w:rPr>
      <w:b/>
    </w:rPr>
  </w:style>
  <w:style w:type="character" w:customStyle="1" w:styleId="9">
    <w:name w:val="页眉 Char"/>
    <w:basedOn w:val="7"/>
    <w:link w:val="3"/>
    <w:semiHidden/>
    <w:qFormat/>
    <w:uiPriority w:val="99"/>
    <w:rPr>
      <w:sz w:val="18"/>
      <w:szCs w:val="18"/>
    </w:rPr>
  </w:style>
  <w:style w:type="character" w:customStyle="1" w:styleId="10">
    <w:name w:val="页脚 Char"/>
    <w:basedOn w:val="7"/>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B68FB8-D72E-4A91-AD02-3773C4CC201B}">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837</Words>
  <Characters>842</Characters>
  <Lines>6</Lines>
  <Paragraphs>1</Paragraphs>
  <TotalTime>2</TotalTime>
  <ScaleCrop>false</ScaleCrop>
  <LinksUpToDate>false</LinksUpToDate>
  <CharactersWithSpaces>881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2017-06-19T01:57:00Z</dcterms:created>
  <dc:creator>lenovo</dc:creator>
  <cp:lastModifiedBy>user</cp:lastModifiedBy>
  <cp:lastPrinted>2017-06-22T06:42:00Z</cp:lastPrinted>
  <dcterms:modified xsi:type="dcterms:W3CDTF">2026-03-17T02:07:00Z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AF78509D91484503813276536E9EF709</vt:lpwstr>
  </property>
</Properties>
</file>