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9"/>
        <w:tblpPr w:leftFromText="180" w:rightFromText="180" w:vertAnchor="text" w:horzAnchor="page" w:tblpX="808" w:tblpY="-10787"/>
        <w:tblW w:w="10575" w:type="dxa"/>
        <w:tblInd w:w="0" w:type="dxa"/>
        <w:tblLayout w:type="fixed"/>
        <w:tblCellMar>
          <w:top w:w="0" w:type="dxa"/>
          <w:left w:w="108" w:type="dxa"/>
          <w:bottom w:w="0" w:type="dxa"/>
          <w:right w:w="108" w:type="dxa"/>
        </w:tblCellMar>
      </w:tblPr>
      <w:tblGrid>
        <w:gridCol w:w="1982"/>
        <w:gridCol w:w="6268"/>
        <w:gridCol w:w="1393"/>
        <w:gridCol w:w="932"/>
      </w:tblGrid>
      <w:tr w14:paraId="56DF7537">
        <w:tblPrEx>
          <w:tblCellMar>
            <w:top w:w="0" w:type="dxa"/>
            <w:left w:w="108" w:type="dxa"/>
            <w:bottom w:w="0" w:type="dxa"/>
            <w:right w:w="108" w:type="dxa"/>
          </w:tblCellMar>
        </w:tblPrEx>
        <w:trPr>
          <w:trHeight w:val="687" w:hRule="atLeast"/>
        </w:trPr>
        <w:tc>
          <w:tcPr>
            <w:tcW w:w="10575" w:type="dxa"/>
            <w:gridSpan w:val="4"/>
            <w:tcBorders>
              <w:top w:val="nil"/>
              <w:left w:val="nil"/>
              <w:bottom w:val="nil"/>
              <w:right w:val="nil"/>
            </w:tcBorders>
            <w:shd w:val="clear" w:color="auto" w:fill="auto"/>
            <w:noWrap/>
            <w:vAlign w:val="center"/>
          </w:tcPr>
          <w:p w14:paraId="2241959D">
            <w:pPr>
              <w:keepNext w:val="0"/>
              <w:keepLines w:val="0"/>
              <w:pageBreakBefore w:val="0"/>
              <w:kinsoku/>
              <w:overflowPunct/>
              <w:topLinePunct w:val="0"/>
              <w:autoSpaceDE/>
              <w:autoSpaceDN/>
              <w:bidi w:val="0"/>
              <w:spacing w:line="560" w:lineRule="exact"/>
              <w:jc w:val="both"/>
              <w:textAlignment w:val="auto"/>
              <w:rPr>
                <w:rFonts w:hint="default" w:ascii="Times New Roman" w:hAnsi="Times New Roman" w:cs="Times New Roman"/>
              </w:rPr>
            </w:pPr>
          </w:p>
          <w:p w14:paraId="399B6C60">
            <w:pPr>
              <w:keepNext w:val="0"/>
              <w:keepLines w:val="0"/>
              <w:pageBreakBefore w:val="0"/>
              <w:kinsoku/>
              <w:overflowPunct/>
              <w:topLinePunct w:val="0"/>
              <w:autoSpaceDE/>
              <w:autoSpaceDN/>
              <w:bidi w:val="0"/>
              <w:spacing w:line="560" w:lineRule="exact"/>
              <w:jc w:val="both"/>
              <w:textAlignment w:val="auto"/>
              <w:rPr>
                <w:rFonts w:hint="default" w:ascii="Times New Roman" w:hAnsi="Times New Roman" w:cs="Times New Roman"/>
              </w:rPr>
            </w:pPr>
          </w:p>
          <w:p w14:paraId="40AEFA0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附件2</w:t>
            </w:r>
          </w:p>
          <w:p w14:paraId="1F96CBF5">
            <w:pPr>
              <w:keepNext w:val="0"/>
              <w:keepLines w:val="0"/>
              <w:pageBreakBefore w:val="0"/>
              <w:widowControl/>
              <w:kinsoku/>
              <w:overflowPunct/>
              <w:topLinePunct w:val="0"/>
              <w:autoSpaceDE/>
              <w:autoSpaceDN/>
              <w:bidi w:val="0"/>
              <w:spacing w:line="560" w:lineRule="exact"/>
              <w:jc w:val="center"/>
              <w:textAlignment w:val="auto"/>
              <w:rPr>
                <w:rFonts w:hint="default" w:ascii="Times New Roman" w:hAnsi="Times New Roman" w:eastAsia="黑体" w:cs="Times New Roman"/>
                <w:color w:val="000000"/>
                <w:kern w:val="0"/>
                <w:sz w:val="36"/>
                <w:szCs w:val="36"/>
              </w:rPr>
            </w:pPr>
            <w:bookmarkStart w:id="0" w:name="_GoBack"/>
            <w:r>
              <w:rPr>
                <w:rFonts w:hint="default" w:ascii="Times New Roman" w:hAnsi="Times New Roman" w:eastAsia="方正小标宋简体" w:cs="Times New Roman"/>
                <w:color w:val="000000"/>
                <w:kern w:val="0"/>
                <w:sz w:val="36"/>
                <w:szCs w:val="36"/>
              </w:rPr>
              <w:t>环翠区新型农业经营主体能力提升项目验收评分表</w:t>
            </w:r>
            <w:bookmarkEnd w:id="0"/>
          </w:p>
        </w:tc>
      </w:tr>
      <w:tr w14:paraId="6C804660">
        <w:tblPrEx>
          <w:tblCellMar>
            <w:top w:w="0" w:type="dxa"/>
            <w:left w:w="108" w:type="dxa"/>
            <w:bottom w:w="0" w:type="dxa"/>
            <w:right w:w="108" w:type="dxa"/>
          </w:tblCellMar>
        </w:tblPrEx>
        <w:trPr>
          <w:trHeight w:val="421" w:hRule="atLeast"/>
        </w:trPr>
        <w:tc>
          <w:tcPr>
            <w:tcW w:w="1982" w:type="dxa"/>
            <w:tcBorders>
              <w:top w:val="nil"/>
              <w:left w:val="nil"/>
              <w:bottom w:val="nil"/>
              <w:right w:val="nil"/>
            </w:tcBorders>
            <w:shd w:val="clear" w:color="auto" w:fill="auto"/>
            <w:noWrap/>
            <w:vAlign w:val="center"/>
          </w:tcPr>
          <w:p w14:paraId="6A771CE1">
            <w:pPr>
              <w:keepNext w:val="0"/>
              <w:keepLines w:val="0"/>
              <w:pageBreakBefore w:val="0"/>
              <w:widowControl/>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4"/>
              </w:rPr>
            </w:pPr>
            <w:r>
              <w:rPr>
                <w:rFonts w:hint="default" w:ascii="Times New Roman" w:hAnsi="Times New Roman" w:eastAsia="仿宋" w:cs="Times New Roman"/>
                <w:color w:val="000000"/>
                <w:kern w:val="0"/>
                <w:sz w:val="24"/>
              </w:rPr>
              <w:t>单位名称：</w:t>
            </w:r>
          </w:p>
        </w:tc>
        <w:tc>
          <w:tcPr>
            <w:tcW w:w="8593" w:type="dxa"/>
            <w:gridSpan w:val="3"/>
            <w:tcBorders>
              <w:top w:val="nil"/>
              <w:left w:val="nil"/>
              <w:bottom w:val="nil"/>
              <w:right w:val="nil"/>
            </w:tcBorders>
            <w:shd w:val="clear" w:color="auto" w:fill="auto"/>
            <w:noWrap/>
            <w:vAlign w:val="center"/>
          </w:tcPr>
          <w:p w14:paraId="5733F96C">
            <w:pPr>
              <w:keepNext w:val="0"/>
              <w:keepLines w:val="0"/>
              <w:pageBreakBefore w:val="0"/>
              <w:widowControl/>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4"/>
              </w:rPr>
            </w:pPr>
            <w:r>
              <w:rPr>
                <w:rFonts w:hint="default" w:ascii="Times New Roman" w:hAnsi="Times New Roman" w:eastAsia="仿宋" w:cs="Times New Roman"/>
                <w:color w:val="000000"/>
                <w:kern w:val="0"/>
                <w:sz w:val="24"/>
              </w:rPr>
              <w:t xml:space="preserve">                                      验收日期：　 年　月　日</w:t>
            </w:r>
          </w:p>
        </w:tc>
      </w:tr>
      <w:tr w14:paraId="5BBE7852">
        <w:tblPrEx>
          <w:tblCellMar>
            <w:top w:w="0" w:type="dxa"/>
            <w:left w:w="108" w:type="dxa"/>
            <w:bottom w:w="0" w:type="dxa"/>
            <w:right w:w="108" w:type="dxa"/>
          </w:tblCellMar>
        </w:tblPrEx>
        <w:trPr>
          <w:trHeight w:val="311" w:hRule="atLeast"/>
        </w:trPr>
        <w:tc>
          <w:tcPr>
            <w:tcW w:w="198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F613D7B">
            <w:pPr>
              <w:keepNext w:val="0"/>
              <w:keepLines w:val="0"/>
              <w:pageBreakBefore w:val="0"/>
              <w:widowControl/>
              <w:kinsoku/>
              <w:overflowPunct/>
              <w:topLinePunct w:val="0"/>
              <w:autoSpaceDE/>
              <w:autoSpaceDN/>
              <w:bidi w:val="0"/>
              <w:spacing w:line="560" w:lineRule="exact"/>
              <w:jc w:val="center"/>
              <w:textAlignment w:val="auto"/>
              <w:rPr>
                <w:rFonts w:hint="default" w:ascii="Times New Roman" w:hAnsi="Times New Roman" w:eastAsia="黑体" w:cs="Times New Roman"/>
                <w:color w:val="000000"/>
                <w:kern w:val="0"/>
                <w:sz w:val="24"/>
              </w:rPr>
            </w:pPr>
            <w:r>
              <w:rPr>
                <w:rFonts w:hint="default" w:ascii="Times New Roman" w:hAnsi="Times New Roman" w:eastAsia="黑体" w:cs="Times New Roman"/>
                <w:color w:val="000000"/>
                <w:kern w:val="0"/>
                <w:sz w:val="24"/>
              </w:rPr>
              <w:t>考核验收类别</w:t>
            </w:r>
          </w:p>
        </w:tc>
        <w:tc>
          <w:tcPr>
            <w:tcW w:w="6268" w:type="dxa"/>
            <w:tcBorders>
              <w:top w:val="single" w:color="auto" w:sz="4" w:space="0"/>
              <w:left w:val="nil"/>
              <w:bottom w:val="single" w:color="auto" w:sz="4" w:space="0"/>
              <w:right w:val="single" w:color="auto" w:sz="4" w:space="0"/>
            </w:tcBorders>
            <w:shd w:val="clear" w:color="auto" w:fill="auto"/>
            <w:noWrap/>
            <w:vAlign w:val="center"/>
          </w:tcPr>
          <w:p w14:paraId="1AC7E5EB">
            <w:pPr>
              <w:keepNext w:val="0"/>
              <w:keepLines w:val="0"/>
              <w:pageBreakBefore w:val="0"/>
              <w:widowControl/>
              <w:kinsoku/>
              <w:overflowPunct/>
              <w:topLinePunct w:val="0"/>
              <w:autoSpaceDE/>
              <w:autoSpaceDN/>
              <w:bidi w:val="0"/>
              <w:spacing w:line="560" w:lineRule="exact"/>
              <w:jc w:val="center"/>
              <w:textAlignment w:val="auto"/>
              <w:rPr>
                <w:rFonts w:hint="default" w:ascii="Times New Roman" w:hAnsi="Times New Roman" w:eastAsia="黑体" w:cs="Times New Roman"/>
                <w:color w:val="000000"/>
                <w:kern w:val="0"/>
                <w:sz w:val="24"/>
              </w:rPr>
            </w:pPr>
            <w:r>
              <w:rPr>
                <w:rFonts w:hint="default" w:ascii="Times New Roman" w:hAnsi="Times New Roman" w:eastAsia="黑体" w:cs="Times New Roman"/>
                <w:color w:val="000000"/>
                <w:kern w:val="0"/>
                <w:sz w:val="24"/>
              </w:rPr>
              <w:t>评分内容及标准</w:t>
            </w:r>
          </w:p>
        </w:tc>
        <w:tc>
          <w:tcPr>
            <w:tcW w:w="1393" w:type="dxa"/>
            <w:tcBorders>
              <w:top w:val="single" w:color="auto" w:sz="4" w:space="0"/>
              <w:left w:val="nil"/>
              <w:bottom w:val="single" w:color="auto" w:sz="4" w:space="0"/>
              <w:right w:val="single" w:color="auto" w:sz="4" w:space="0"/>
            </w:tcBorders>
            <w:shd w:val="clear" w:color="auto" w:fill="auto"/>
            <w:noWrap/>
            <w:vAlign w:val="center"/>
          </w:tcPr>
          <w:p w14:paraId="56A45765">
            <w:pPr>
              <w:keepNext w:val="0"/>
              <w:keepLines w:val="0"/>
              <w:pageBreakBefore w:val="0"/>
              <w:widowControl/>
              <w:kinsoku/>
              <w:overflowPunct/>
              <w:topLinePunct w:val="0"/>
              <w:autoSpaceDE/>
              <w:autoSpaceDN/>
              <w:bidi w:val="0"/>
              <w:spacing w:line="560" w:lineRule="exact"/>
              <w:jc w:val="center"/>
              <w:textAlignment w:val="auto"/>
              <w:rPr>
                <w:rFonts w:hint="default" w:ascii="Times New Roman" w:hAnsi="Times New Roman" w:eastAsia="黑体" w:cs="Times New Roman"/>
                <w:color w:val="000000"/>
                <w:kern w:val="0"/>
                <w:sz w:val="24"/>
              </w:rPr>
            </w:pPr>
            <w:r>
              <w:rPr>
                <w:rFonts w:hint="default" w:ascii="Times New Roman" w:hAnsi="Times New Roman" w:eastAsia="黑体" w:cs="Times New Roman"/>
                <w:color w:val="000000"/>
                <w:kern w:val="0"/>
                <w:sz w:val="24"/>
              </w:rPr>
              <w:t>验收方法</w:t>
            </w:r>
          </w:p>
        </w:tc>
        <w:tc>
          <w:tcPr>
            <w:tcW w:w="932" w:type="dxa"/>
            <w:tcBorders>
              <w:top w:val="single" w:color="auto" w:sz="4" w:space="0"/>
              <w:left w:val="nil"/>
              <w:bottom w:val="single" w:color="auto" w:sz="4" w:space="0"/>
              <w:right w:val="single" w:color="auto" w:sz="4" w:space="0"/>
            </w:tcBorders>
            <w:shd w:val="clear" w:color="auto" w:fill="auto"/>
            <w:noWrap/>
            <w:vAlign w:val="center"/>
          </w:tcPr>
          <w:p w14:paraId="5CE01355">
            <w:pPr>
              <w:keepNext w:val="0"/>
              <w:keepLines w:val="0"/>
              <w:pageBreakBefore w:val="0"/>
              <w:widowControl/>
              <w:kinsoku/>
              <w:overflowPunct/>
              <w:topLinePunct w:val="0"/>
              <w:autoSpaceDE/>
              <w:autoSpaceDN/>
              <w:bidi w:val="0"/>
              <w:spacing w:line="560" w:lineRule="exact"/>
              <w:jc w:val="center"/>
              <w:textAlignment w:val="auto"/>
              <w:rPr>
                <w:rFonts w:hint="default" w:ascii="Times New Roman" w:hAnsi="Times New Roman" w:eastAsia="黑体" w:cs="Times New Roman"/>
                <w:color w:val="000000"/>
                <w:kern w:val="0"/>
                <w:sz w:val="24"/>
              </w:rPr>
            </w:pPr>
            <w:r>
              <w:rPr>
                <w:rFonts w:hint="default" w:ascii="Times New Roman" w:hAnsi="Times New Roman" w:eastAsia="黑体" w:cs="Times New Roman"/>
                <w:color w:val="000000"/>
                <w:kern w:val="0"/>
                <w:sz w:val="24"/>
              </w:rPr>
              <w:t>得分</w:t>
            </w:r>
          </w:p>
        </w:tc>
      </w:tr>
      <w:tr w14:paraId="07F6F1BB">
        <w:tblPrEx>
          <w:tblCellMar>
            <w:top w:w="0" w:type="dxa"/>
            <w:left w:w="108" w:type="dxa"/>
            <w:bottom w:w="0" w:type="dxa"/>
            <w:right w:w="108" w:type="dxa"/>
          </w:tblCellMar>
        </w:tblPrEx>
        <w:trPr>
          <w:trHeight w:val="1400" w:hRule="atLeast"/>
        </w:trPr>
        <w:tc>
          <w:tcPr>
            <w:tcW w:w="198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80CD2BA">
            <w:pPr>
              <w:keepNext w:val="0"/>
              <w:keepLines w:val="0"/>
              <w:pageBreakBefore w:val="0"/>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经营</w:t>
            </w:r>
            <w:r>
              <w:rPr>
                <w:rFonts w:hint="default" w:ascii="Times New Roman" w:hAnsi="Times New Roman" w:eastAsia="仿宋" w:cs="Times New Roman"/>
                <w:color w:val="000000"/>
                <w:kern w:val="0"/>
                <w:sz w:val="24"/>
                <w:szCs w:val="24"/>
                <w:lang w:val="en-US" w:eastAsia="zh-CN"/>
              </w:rPr>
              <w:t>规模</w:t>
            </w:r>
            <w:r>
              <w:rPr>
                <w:rFonts w:hint="default" w:ascii="Times New Roman" w:hAnsi="Times New Roman" w:eastAsia="仿宋" w:cs="Times New Roman"/>
                <w:color w:val="000000"/>
                <w:kern w:val="0"/>
                <w:sz w:val="24"/>
                <w:szCs w:val="24"/>
              </w:rPr>
              <w:t>(</w:t>
            </w:r>
            <w:r>
              <w:rPr>
                <w:rFonts w:hint="default" w:ascii="Times New Roman" w:hAnsi="Times New Roman" w:eastAsia="仿宋" w:cs="Times New Roman"/>
                <w:color w:val="000000"/>
                <w:kern w:val="0"/>
                <w:sz w:val="24"/>
                <w:szCs w:val="24"/>
                <w:lang w:val="en-US" w:eastAsia="zh-CN"/>
              </w:rPr>
              <w:t>10</w:t>
            </w:r>
            <w:r>
              <w:rPr>
                <w:rFonts w:hint="default" w:ascii="Times New Roman" w:hAnsi="Times New Roman" w:eastAsia="仿宋" w:cs="Times New Roman"/>
                <w:color w:val="000000"/>
                <w:kern w:val="0"/>
                <w:sz w:val="24"/>
                <w:szCs w:val="24"/>
              </w:rPr>
              <w:t>分)</w:t>
            </w:r>
          </w:p>
        </w:tc>
        <w:tc>
          <w:tcPr>
            <w:tcW w:w="6268" w:type="dxa"/>
            <w:tcBorders>
              <w:top w:val="nil"/>
              <w:left w:val="nil"/>
              <w:bottom w:val="single" w:color="auto" w:sz="4" w:space="0"/>
              <w:right w:val="single" w:color="auto" w:sz="4" w:space="0"/>
            </w:tcBorders>
            <w:shd w:val="clear" w:color="auto" w:fill="auto"/>
            <w:vAlign w:val="center"/>
          </w:tcPr>
          <w:p w14:paraId="01C56809">
            <w:pPr>
              <w:keepNext w:val="0"/>
              <w:keepLines w:val="0"/>
              <w:pageBreakBefore w:val="0"/>
              <w:widowControl w:val="0"/>
              <w:kinsoku/>
              <w:wordWrap/>
              <w:overflowPunct/>
              <w:topLinePunct w:val="0"/>
              <w:autoSpaceDE/>
              <w:autoSpaceDN/>
              <w:bidi w:val="0"/>
              <w:adjustRightInd/>
              <w:snapToGrid/>
              <w:textAlignment w:val="auto"/>
              <w:rPr>
                <w:rFonts w:hint="default" w:ascii="Times New Roman" w:hAnsi="Times New Roman" w:eastAsia="仿宋" w:cs="Times New Roman"/>
                <w:color w:val="000000"/>
                <w:kern w:val="0"/>
                <w:sz w:val="20"/>
                <w:szCs w:val="20"/>
              </w:rPr>
            </w:pPr>
            <w:r>
              <w:rPr>
                <w:rFonts w:hint="default" w:ascii="Times New Roman" w:hAnsi="Times New Roman" w:eastAsia="仿宋" w:cs="Times New Roman"/>
                <w:color w:val="000000"/>
                <w:kern w:val="0"/>
                <w:sz w:val="20"/>
                <w:szCs w:val="20"/>
              </w:rPr>
              <w:t>营业执照、许可证等营业资料（</w:t>
            </w:r>
            <w:r>
              <w:rPr>
                <w:rFonts w:hint="default" w:ascii="Times New Roman" w:hAnsi="Times New Roman" w:eastAsia="仿宋" w:cs="Times New Roman"/>
                <w:color w:val="000000"/>
                <w:kern w:val="0"/>
                <w:sz w:val="20"/>
                <w:szCs w:val="20"/>
                <w:lang w:val="en-US" w:eastAsia="zh-CN"/>
              </w:rPr>
              <w:t>3</w:t>
            </w:r>
            <w:r>
              <w:rPr>
                <w:rFonts w:hint="default" w:ascii="Times New Roman" w:hAnsi="Times New Roman" w:eastAsia="仿宋" w:cs="Times New Roman"/>
                <w:color w:val="000000"/>
                <w:kern w:val="0"/>
                <w:sz w:val="20"/>
                <w:szCs w:val="20"/>
              </w:rPr>
              <w:t>分）</w:t>
            </w:r>
            <w:r>
              <w:rPr>
                <w:rFonts w:hint="default" w:ascii="Times New Roman" w:hAnsi="Times New Roman" w:eastAsia="仿宋" w:cs="Times New Roman"/>
                <w:color w:val="000000"/>
                <w:kern w:val="0"/>
                <w:sz w:val="20"/>
                <w:szCs w:val="20"/>
                <w:lang w:eastAsia="zh-CN"/>
              </w:rPr>
              <w:t>；</w:t>
            </w:r>
            <w:r>
              <w:rPr>
                <w:rFonts w:hint="default" w:ascii="Times New Roman" w:hAnsi="Times New Roman" w:eastAsia="仿宋" w:cs="Times New Roman"/>
                <w:color w:val="000000"/>
                <w:kern w:val="0"/>
                <w:sz w:val="20"/>
                <w:szCs w:val="20"/>
              </w:rPr>
              <w:t>经营规模与资源禀赋、技术装备、生产能力等条件相匹配（</w:t>
            </w:r>
            <w:r>
              <w:rPr>
                <w:rFonts w:hint="default" w:ascii="Times New Roman" w:hAnsi="Times New Roman" w:eastAsia="仿宋" w:cs="Times New Roman"/>
                <w:color w:val="000000"/>
                <w:kern w:val="0"/>
                <w:sz w:val="20"/>
                <w:szCs w:val="20"/>
                <w:lang w:val="en-US" w:eastAsia="zh-CN"/>
              </w:rPr>
              <w:t>3</w:t>
            </w:r>
            <w:r>
              <w:rPr>
                <w:rFonts w:hint="default" w:ascii="Times New Roman" w:hAnsi="Times New Roman" w:eastAsia="仿宋" w:cs="Times New Roman"/>
                <w:color w:val="000000"/>
                <w:kern w:val="0"/>
                <w:sz w:val="20"/>
                <w:szCs w:val="20"/>
              </w:rPr>
              <w:t>分）</w:t>
            </w:r>
            <w:r>
              <w:rPr>
                <w:rFonts w:hint="default" w:ascii="Times New Roman" w:hAnsi="Times New Roman" w:eastAsia="仿宋" w:cs="Times New Roman"/>
                <w:color w:val="000000"/>
                <w:kern w:val="0"/>
                <w:sz w:val="20"/>
                <w:szCs w:val="20"/>
                <w:lang w:eastAsia="zh-CN"/>
              </w:rPr>
              <w:t>；</w:t>
            </w:r>
            <w:r>
              <w:rPr>
                <w:rFonts w:hint="default" w:ascii="Times New Roman" w:hAnsi="Times New Roman" w:eastAsia="仿宋" w:cs="Times New Roman"/>
                <w:color w:val="000000"/>
                <w:kern w:val="0"/>
                <w:sz w:val="20"/>
                <w:szCs w:val="20"/>
              </w:rPr>
              <w:t>新型农业经营主体用于生产经营的土地有准确的农村土地承包经营权确权登记信息、农村土地经营权流转合同信息，相关合同订立规范、信息符合实际（</w:t>
            </w:r>
            <w:r>
              <w:rPr>
                <w:rFonts w:hint="default" w:ascii="Times New Roman" w:hAnsi="Times New Roman" w:eastAsia="仿宋" w:cs="Times New Roman"/>
                <w:color w:val="000000"/>
                <w:kern w:val="0"/>
                <w:sz w:val="20"/>
                <w:szCs w:val="20"/>
                <w:lang w:val="en-US" w:eastAsia="zh-CN"/>
              </w:rPr>
              <w:t>4</w:t>
            </w:r>
            <w:r>
              <w:rPr>
                <w:rFonts w:hint="default" w:ascii="Times New Roman" w:hAnsi="Times New Roman" w:eastAsia="仿宋" w:cs="Times New Roman"/>
                <w:color w:val="000000"/>
                <w:kern w:val="0"/>
                <w:sz w:val="20"/>
                <w:szCs w:val="20"/>
              </w:rPr>
              <w:t>分）。</w:t>
            </w:r>
          </w:p>
        </w:tc>
        <w:tc>
          <w:tcPr>
            <w:tcW w:w="1393" w:type="dxa"/>
            <w:tcBorders>
              <w:top w:val="nil"/>
              <w:left w:val="nil"/>
              <w:bottom w:val="single" w:color="auto" w:sz="4" w:space="0"/>
              <w:right w:val="single" w:color="auto" w:sz="4" w:space="0"/>
            </w:tcBorders>
            <w:shd w:val="clear" w:color="auto" w:fill="auto"/>
            <w:vAlign w:val="center"/>
          </w:tcPr>
          <w:p w14:paraId="61629611">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仿宋" w:cs="Times New Roman"/>
                <w:color w:val="000000"/>
                <w:kern w:val="0"/>
                <w:sz w:val="20"/>
                <w:szCs w:val="20"/>
              </w:rPr>
            </w:pPr>
            <w:r>
              <w:rPr>
                <w:rFonts w:hint="default" w:ascii="Times New Roman" w:hAnsi="Times New Roman" w:eastAsia="仿宋" w:cs="Times New Roman"/>
                <w:color w:val="000000"/>
                <w:kern w:val="0"/>
                <w:sz w:val="20"/>
                <w:szCs w:val="20"/>
              </w:rPr>
              <w:t>查</w:t>
            </w:r>
            <w:r>
              <w:rPr>
                <w:rFonts w:hint="default" w:ascii="Times New Roman" w:hAnsi="Times New Roman" w:eastAsia="仿宋" w:cs="Times New Roman"/>
                <w:color w:val="000000"/>
                <w:kern w:val="0"/>
                <w:sz w:val="20"/>
                <w:szCs w:val="20"/>
                <w:lang w:val="en-US" w:eastAsia="zh-CN"/>
              </w:rPr>
              <w:t>营业证书、流转合同等资料</w:t>
            </w:r>
            <w:r>
              <w:rPr>
                <w:rFonts w:hint="default" w:ascii="Times New Roman" w:hAnsi="Times New Roman" w:eastAsia="仿宋" w:cs="Times New Roman"/>
                <w:color w:val="000000"/>
                <w:kern w:val="0"/>
                <w:sz w:val="20"/>
                <w:szCs w:val="20"/>
              </w:rPr>
              <w:t>、</w:t>
            </w:r>
          </w:p>
          <w:p w14:paraId="39009E26">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仿宋" w:cs="Times New Roman"/>
                <w:color w:val="000000"/>
                <w:kern w:val="0"/>
                <w:sz w:val="20"/>
                <w:szCs w:val="20"/>
              </w:rPr>
            </w:pPr>
            <w:r>
              <w:rPr>
                <w:rFonts w:hint="default" w:ascii="Times New Roman" w:hAnsi="Times New Roman" w:eastAsia="仿宋" w:cs="Times New Roman"/>
                <w:color w:val="000000"/>
                <w:kern w:val="0"/>
                <w:sz w:val="20"/>
                <w:szCs w:val="20"/>
                <w:lang w:val="en-US" w:eastAsia="zh-CN"/>
              </w:rPr>
              <w:t>实地查看</w:t>
            </w:r>
          </w:p>
        </w:tc>
        <w:tc>
          <w:tcPr>
            <w:tcW w:w="932" w:type="dxa"/>
            <w:tcBorders>
              <w:top w:val="nil"/>
              <w:left w:val="nil"/>
              <w:bottom w:val="single" w:color="auto" w:sz="4" w:space="0"/>
              <w:right w:val="single" w:color="auto" w:sz="4" w:space="0"/>
            </w:tcBorders>
            <w:shd w:val="clear" w:color="auto" w:fill="auto"/>
            <w:vAlign w:val="center"/>
          </w:tcPr>
          <w:p w14:paraId="7CFEF109">
            <w:pPr>
              <w:keepNext w:val="0"/>
              <w:keepLines w:val="0"/>
              <w:pageBreakBefore w:val="0"/>
              <w:widowControl/>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8"/>
                <w:szCs w:val="28"/>
              </w:rPr>
            </w:pPr>
          </w:p>
        </w:tc>
      </w:tr>
      <w:tr w14:paraId="72DADCD5">
        <w:tblPrEx>
          <w:tblCellMar>
            <w:top w:w="0" w:type="dxa"/>
            <w:left w:w="108" w:type="dxa"/>
            <w:bottom w:w="0" w:type="dxa"/>
            <w:right w:w="108" w:type="dxa"/>
          </w:tblCellMar>
        </w:tblPrEx>
        <w:trPr>
          <w:trHeight w:val="967" w:hRule="atLeast"/>
        </w:trPr>
        <w:tc>
          <w:tcPr>
            <w:tcW w:w="1982" w:type="dxa"/>
            <w:tcBorders>
              <w:top w:val="single" w:color="auto" w:sz="4" w:space="0"/>
              <w:left w:val="single" w:color="auto" w:sz="4" w:space="0"/>
              <w:bottom w:val="single" w:color="auto" w:sz="4" w:space="0"/>
              <w:right w:val="single" w:color="auto" w:sz="4" w:space="0"/>
            </w:tcBorders>
            <w:shd w:val="clear" w:color="auto" w:fill="auto"/>
            <w:vAlign w:val="center"/>
          </w:tcPr>
          <w:p w14:paraId="22E1A1A5">
            <w:pPr>
              <w:keepNext w:val="0"/>
              <w:keepLines w:val="0"/>
              <w:pageBreakBefore w:val="0"/>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财务管理(</w:t>
            </w:r>
            <w:r>
              <w:rPr>
                <w:rFonts w:hint="default" w:ascii="Times New Roman" w:hAnsi="Times New Roman" w:eastAsia="仿宋" w:cs="Times New Roman"/>
                <w:color w:val="000000"/>
                <w:kern w:val="0"/>
                <w:sz w:val="24"/>
                <w:szCs w:val="24"/>
                <w:lang w:val="en-US" w:eastAsia="zh-CN"/>
              </w:rPr>
              <w:t>15</w:t>
            </w:r>
            <w:r>
              <w:rPr>
                <w:rFonts w:hint="default" w:ascii="Times New Roman" w:hAnsi="Times New Roman" w:eastAsia="仿宋" w:cs="Times New Roman"/>
                <w:color w:val="000000"/>
                <w:kern w:val="0"/>
                <w:sz w:val="24"/>
                <w:szCs w:val="24"/>
              </w:rPr>
              <w:t>分)</w:t>
            </w:r>
          </w:p>
        </w:tc>
        <w:tc>
          <w:tcPr>
            <w:tcW w:w="6268" w:type="dxa"/>
            <w:tcBorders>
              <w:top w:val="nil"/>
              <w:left w:val="nil"/>
              <w:bottom w:val="single" w:color="auto" w:sz="4" w:space="0"/>
              <w:right w:val="single" w:color="auto" w:sz="4" w:space="0"/>
            </w:tcBorders>
            <w:shd w:val="clear" w:color="auto" w:fill="auto"/>
            <w:vAlign w:val="center"/>
          </w:tcPr>
          <w:p w14:paraId="44DB2154">
            <w:pPr>
              <w:keepNext w:val="0"/>
              <w:keepLines w:val="0"/>
              <w:pageBreakBefore w:val="0"/>
              <w:widowControl w:val="0"/>
              <w:kinsoku/>
              <w:wordWrap/>
              <w:overflowPunct/>
              <w:topLinePunct w:val="0"/>
              <w:autoSpaceDE/>
              <w:autoSpaceDN/>
              <w:bidi w:val="0"/>
              <w:adjustRightInd/>
              <w:snapToGrid/>
              <w:textAlignment w:val="auto"/>
              <w:rPr>
                <w:rFonts w:hint="default" w:ascii="Times New Roman" w:hAnsi="Times New Roman" w:eastAsia="仿宋" w:cs="Times New Roman"/>
                <w:color w:val="000000"/>
                <w:kern w:val="0"/>
                <w:sz w:val="20"/>
                <w:szCs w:val="20"/>
              </w:rPr>
            </w:pPr>
            <w:r>
              <w:rPr>
                <w:rFonts w:hint="default" w:ascii="Times New Roman" w:hAnsi="Times New Roman" w:eastAsia="仿宋" w:cs="Times New Roman"/>
                <w:color w:val="000000"/>
                <w:kern w:val="0"/>
                <w:sz w:val="20"/>
                <w:szCs w:val="20"/>
              </w:rPr>
              <w:t>开设独立的银行账户，设立完整的会计账簿（5分）</w:t>
            </w:r>
            <w:r>
              <w:rPr>
                <w:rFonts w:hint="default" w:ascii="Times New Roman" w:hAnsi="Times New Roman" w:eastAsia="仿宋" w:cs="Times New Roman"/>
                <w:color w:val="000000"/>
                <w:kern w:val="0"/>
                <w:sz w:val="20"/>
                <w:szCs w:val="20"/>
                <w:lang w:eastAsia="zh-CN"/>
              </w:rPr>
              <w:t>；</w:t>
            </w:r>
            <w:r>
              <w:rPr>
                <w:rFonts w:hint="default" w:ascii="Times New Roman" w:hAnsi="Times New Roman" w:eastAsia="仿宋" w:cs="Times New Roman"/>
                <w:color w:val="000000"/>
                <w:kern w:val="0"/>
                <w:sz w:val="20"/>
                <w:szCs w:val="20"/>
              </w:rPr>
              <w:t>农民合作社配备必要的会计人员或委托代理记账机构代理记账、核算，会计账簿齐全</w:t>
            </w:r>
            <w:r>
              <w:rPr>
                <w:rFonts w:hint="default" w:ascii="Times New Roman" w:hAnsi="Times New Roman" w:eastAsia="仿宋" w:cs="Times New Roman"/>
                <w:color w:val="000000"/>
                <w:kern w:val="0"/>
                <w:sz w:val="20"/>
                <w:szCs w:val="20"/>
                <w:lang w:eastAsia="zh-CN"/>
              </w:rPr>
              <w:t>，</w:t>
            </w:r>
            <w:r>
              <w:rPr>
                <w:rFonts w:hint="default" w:ascii="Times New Roman" w:hAnsi="Times New Roman" w:eastAsia="仿宋" w:cs="Times New Roman"/>
                <w:color w:val="000000"/>
                <w:kern w:val="0"/>
                <w:sz w:val="20"/>
                <w:szCs w:val="20"/>
              </w:rPr>
              <w:t>及时通过国家企业信用信息公示系统报送年度报告并向社会公示</w:t>
            </w:r>
            <w:r>
              <w:rPr>
                <w:rFonts w:hint="default" w:ascii="Times New Roman" w:hAnsi="Times New Roman" w:eastAsia="仿宋" w:cs="Times New Roman"/>
                <w:color w:val="000000"/>
                <w:kern w:val="0"/>
                <w:sz w:val="20"/>
                <w:szCs w:val="20"/>
                <w:lang w:eastAsia="zh-CN"/>
              </w:rPr>
              <w:t>，</w:t>
            </w:r>
            <w:r>
              <w:rPr>
                <w:rFonts w:hint="default" w:ascii="Times New Roman" w:hAnsi="Times New Roman" w:eastAsia="仿宋" w:cs="Times New Roman"/>
                <w:color w:val="000000"/>
                <w:kern w:val="0"/>
                <w:sz w:val="20"/>
                <w:szCs w:val="20"/>
              </w:rPr>
              <w:t>家庭农场使用相应的财务记账工具，收支、库存等记录规范（5分）</w:t>
            </w:r>
            <w:r>
              <w:rPr>
                <w:rFonts w:hint="default" w:ascii="Times New Roman" w:hAnsi="Times New Roman" w:eastAsia="仿宋" w:cs="Times New Roman"/>
                <w:color w:val="000000"/>
                <w:kern w:val="0"/>
                <w:sz w:val="20"/>
                <w:szCs w:val="20"/>
                <w:lang w:eastAsia="zh-CN"/>
              </w:rPr>
              <w:t>；</w:t>
            </w:r>
            <w:r>
              <w:rPr>
                <w:rFonts w:hint="default" w:ascii="Times New Roman" w:hAnsi="Times New Roman" w:eastAsia="仿宋" w:cs="Times New Roman"/>
                <w:color w:val="000000"/>
                <w:kern w:val="0"/>
                <w:sz w:val="20"/>
                <w:szCs w:val="20"/>
              </w:rPr>
              <w:t>发票收据等原始单据齐全、真实，财务管理制度健全、完整（5分）。</w:t>
            </w:r>
          </w:p>
        </w:tc>
        <w:tc>
          <w:tcPr>
            <w:tcW w:w="1393" w:type="dxa"/>
            <w:tcBorders>
              <w:top w:val="nil"/>
              <w:left w:val="nil"/>
              <w:bottom w:val="single" w:color="auto" w:sz="4" w:space="0"/>
              <w:right w:val="single" w:color="auto" w:sz="4" w:space="0"/>
            </w:tcBorders>
            <w:shd w:val="clear" w:color="auto" w:fill="auto"/>
            <w:vAlign w:val="center"/>
          </w:tcPr>
          <w:p w14:paraId="65E60B1D">
            <w:pPr>
              <w:keepNext w:val="0"/>
              <w:keepLines w:val="0"/>
              <w:pageBreakBefore w:val="0"/>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0"/>
                <w:szCs w:val="20"/>
              </w:rPr>
            </w:pPr>
            <w:r>
              <w:rPr>
                <w:rFonts w:hint="default" w:ascii="Times New Roman" w:hAnsi="Times New Roman" w:eastAsia="仿宋" w:cs="Times New Roman"/>
                <w:color w:val="000000"/>
                <w:kern w:val="0"/>
                <w:sz w:val="20"/>
                <w:szCs w:val="20"/>
              </w:rPr>
              <w:t>查阅财务会计相关资料</w:t>
            </w:r>
          </w:p>
        </w:tc>
        <w:tc>
          <w:tcPr>
            <w:tcW w:w="932" w:type="dxa"/>
            <w:tcBorders>
              <w:top w:val="nil"/>
              <w:left w:val="nil"/>
              <w:bottom w:val="single" w:color="auto" w:sz="4" w:space="0"/>
              <w:right w:val="single" w:color="auto" w:sz="4" w:space="0"/>
            </w:tcBorders>
            <w:shd w:val="clear" w:color="auto" w:fill="auto"/>
            <w:noWrap/>
            <w:vAlign w:val="center"/>
          </w:tcPr>
          <w:p w14:paraId="726A9072">
            <w:pPr>
              <w:keepNext w:val="0"/>
              <w:keepLines w:val="0"/>
              <w:pageBreakBefore w:val="0"/>
              <w:widowControl/>
              <w:kinsoku/>
              <w:overflowPunct/>
              <w:topLinePunct w:val="0"/>
              <w:autoSpaceDE/>
              <w:autoSpaceDN/>
              <w:bidi w:val="0"/>
              <w:spacing w:line="560" w:lineRule="exact"/>
              <w:jc w:val="both"/>
              <w:textAlignment w:val="auto"/>
              <w:rPr>
                <w:rFonts w:hint="default" w:ascii="Times New Roman" w:hAnsi="Times New Roman" w:cs="Times New Roman"/>
                <w:color w:val="000000"/>
                <w:kern w:val="0"/>
                <w:sz w:val="22"/>
                <w:szCs w:val="22"/>
              </w:rPr>
            </w:pPr>
          </w:p>
        </w:tc>
      </w:tr>
      <w:tr w14:paraId="51A6A1AD">
        <w:tblPrEx>
          <w:tblCellMar>
            <w:top w:w="0" w:type="dxa"/>
            <w:left w:w="108" w:type="dxa"/>
            <w:bottom w:w="0" w:type="dxa"/>
            <w:right w:w="108" w:type="dxa"/>
          </w:tblCellMar>
        </w:tblPrEx>
        <w:trPr>
          <w:trHeight w:val="1926" w:hRule="atLeast"/>
        </w:trPr>
        <w:tc>
          <w:tcPr>
            <w:tcW w:w="1982" w:type="dxa"/>
            <w:tcBorders>
              <w:top w:val="single" w:color="auto" w:sz="4" w:space="0"/>
              <w:left w:val="single" w:color="auto" w:sz="4" w:space="0"/>
              <w:bottom w:val="single" w:color="auto" w:sz="4" w:space="0"/>
              <w:right w:val="single" w:color="auto" w:sz="4" w:space="0"/>
            </w:tcBorders>
            <w:shd w:val="clear" w:color="auto" w:fill="auto"/>
            <w:vAlign w:val="center"/>
          </w:tcPr>
          <w:p w14:paraId="36B4FCC7">
            <w:pPr>
              <w:keepNext w:val="0"/>
              <w:keepLines w:val="0"/>
              <w:pageBreakBefore w:val="0"/>
              <w:widowControl/>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lang w:val="en-US" w:eastAsia="zh-CN"/>
              </w:rPr>
              <w:t>制度健全</w:t>
            </w:r>
            <w:r>
              <w:rPr>
                <w:rFonts w:hint="default" w:ascii="Times New Roman" w:hAnsi="Times New Roman" w:eastAsia="仿宋" w:cs="Times New Roman"/>
                <w:color w:val="000000"/>
                <w:kern w:val="0"/>
                <w:sz w:val="24"/>
                <w:szCs w:val="24"/>
              </w:rPr>
              <w:t>(</w:t>
            </w:r>
            <w:r>
              <w:rPr>
                <w:rFonts w:hint="default" w:ascii="Times New Roman" w:hAnsi="Times New Roman" w:eastAsia="仿宋" w:cs="Times New Roman"/>
                <w:color w:val="000000"/>
                <w:kern w:val="0"/>
                <w:sz w:val="24"/>
                <w:szCs w:val="24"/>
                <w:lang w:val="en-US" w:eastAsia="zh-CN"/>
              </w:rPr>
              <w:t>1</w:t>
            </w:r>
            <w:r>
              <w:rPr>
                <w:rFonts w:hint="default" w:ascii="Times New Roman" w:hAnsi="Times New Roman" w:eastAsia="仿宋" w:cs="Times New Roman"/>
                <w:color w:val="000000"/>
                <w:kern w:val="0"/>
                <w:sz w:val="24"/>
                <w:szCs w:val="24"/>
              </w:rPr>
              <w:t>0分)</w:t>
            </w:r>
          </w:p>
        </w:tc>
        <w:tc>
          <w:tcPr>
            <w:tcW w:w="6268" w:type="dxa"/>
            <w:tcBorders>
              <w:top w:val="single" w:color="auto" w:sz="4" w:space="0"/>
              <w:left w:val="nil"/>
              <w:bottom w:val="single" w:color="auto" w:sz="4" w:space="0"/>
              <w:right w:val="single" w:color="auto" w:sz="4" w:space="0"/>
            </w:tcBorders>
            <w:shd w:val="clear" w:color="auto" w:fill="auto"/>
            <w:vAlign w:val="center"/>
          </w:tcPr>
          <w:p w14:paraId="74C5F6DC">
            <w:pPr>
              <w:keepNext w:val="0"/>
              <w:keepLines w:val="0"/>
              <w:pageBreakBefore w:val="0"/>
              <w:widowControl w:val="0"/>
              <w:kinsoku/>
              <w:wordWrap/>
              <w:overflowPunct/>
              <w:topLinePunct w:val="0"/>
              <w:autoSpaceDE/>
              <w:autoSpaceDN/>
              <w:bidi w:val="0"/>
              <w:adjustRightInd/>
              <w:snapToGrid/>
              <w:textAlignment w:val="auto"/>
              <w:rPr>
                <w:rFonts w:hint="default" w:ascii="Times New Roman" w:hAnsi="Times New Roman" w:eastAsia="仿宋" w:cs="Times New Roman"/>
                <w:color w:val="000000"/>
                <w:kern w:val="0"/>
                <w:sz w:val="20"/>
                <w:szCs w:val="20"/>
              </w:rPr>
            </w:pPr>
            <w:r>
              <w:rPr>
                <w:rFonts w:hint="default" w:ascii="Times New Roman" w:hAnsi="Times New Roman" w:eastAsia="仿宋" w:cs="Times New Roman"/>
                <w:color w:val="000000"/>
                <w:kern w:val="0"/>
                <w:sz w:val="20"/>
                <w:szCs w:val="20"/>
                <w:lang w:eastAsia="zh-CN"/>
              </w:rPr>
              <w:t>内部管理规章制度健全，严格按照制度规定规范运营（</w:t>
            </w:r>
            <w:r>
              <w:rPr>
                <w:rFonts w:hint="default" w:ascii="Times New Roman" w:hAnsi="Times New Roman" w:eastAsia="仿宋" w:cs="Times New Roman"/>
                <w:color w:val="000000"/>
                <w:kern w:val="0"/>
                <w:sz w:val="20"/>
                <w:szCs w:val="20"/>
                <w:lang w:val="en-US" w:eastAsia="zh-CN"/>
              </w:rPr>
              <w:t>5分</w:t>
            </w:r>
            <w:r>
              <w:rPr>
                <w:rFonts w:hint="default" w:ascii="Times New Roman" w:hAnsi="Times New Roman" w:eastAsia="仿宋" w:cs="Times New Roman"/>
                <w:color w:val="000000"/>
                <w:kern w:val="0"/>
                <w:sz w:val="20"/>
                <w:szCs w:val="20"/>
                <w:lang w:eastAsia="zh-CN"/>
              </w:rPr>
              <w:t>）；农民合作社制定了符合实际的章程，成员（代表）大会、理事会、监事会等组织机构运行有效，有完善的财务管理、社务公开、议事决策等制度，每年至少召开1次成员大会，成员大会选举和表决依法落实一人一票制；家庭农场使用一码通赋码增信，在产品包装、主要生产经营场所进行亮码</w:t>
            </w:r>
            <w:r>
              <w:rPr>
                <w:rFonts w:hint="default" w:ascii="Times New Roman" w:hAnsi="Times New Roman" w:eastAsia="仿宋" w:cs="Times New Roman"/>
                <w:color w:val="000000"/>
                <w:kern w:val="0"/>
                <w:sz w:val="20"/>
                <w:szCs w:val="20"/>
              </w:rPr>
              <w:t>（</w:t>
            </w:r>
            <w:r>
              <w:rPr>
                <w:rFonts w:hint="default" w:ascii="Times New Roman" w:hAnsi="Times New Roman" w:eastAsia="仿宋" w:cs="Times New Roman"/>
                <w:color w:val="000000"/>
                <w:kern w:val="0"/>
                <w:sz w:val="20"/>
                <w:szCs w:val="20"/>
                <w:lang w:val="en-US" w:eastAsia="zh-CN"/>
              </w:rPr>
              <w:t>5</w:t>
            </w:r>
            <w:r>
              <w:rPr>
                <w:rFonts w:hint="default" w:ascii="Times New Roman" w:hAnsi="Times New Roman" w:eastAsia="仿宋" w:cs="Times New Roman"/>
                <w:color w:val="000000"/>
                <w:kern w:val="0"/>
                <w:sz w:val="20"/>
                <w:szCs w:val="20"/>
              </w:rPr>
              <w:t>分）</w:t>
            </w:r>
            <w:r>
              <w:rPr>
                <w:rFonts w:hint="default" w:ascii="Times New Roman" w:hAnsi="Times New Roman" w:eastAsia="仿宋" w:cs="Times New Roman"/>
                <w:color w:val="000000"/>
                <w:kern w:val="0"/>
                <w:sz w:val="20"/>
                <w:szCs w:val="20"/>
                <w:lang w:eastAsia="zh-CN"/>
              </w:rPr>
              <w:t>。</w:t>
            </w:r>
          </w:p>
        </w:tc>
        <w:tc>
          <w:tcPr>
            <w:tcW w:w="1393" w:type="dxa"/>
            <w:tcBorders>
              <w:top w:val="single" w:color="auto" w:sz="4" w:space="0"/>
              <w:left w:val="nil"/>
              <w:bottom w:val="single" w:color="auto" w:sz="4" w:space="0"/>
              <w:right w:val="single" w:color="auto" w:sz="4" w:space="0"/>
            </w:tcBorders>
            <w:shd w:val="clear" w:color="auto" w:fill="auto"/>
            <w:vAlign w:val="center"/>
          </w:tcPr>
          <w:p w14:paraId="57FBE3C6">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仿宋" w:cs="Times New Roman"/>
                <w:color w:val="000000"/>
                <w:kern w:val="0"/>
                <w:sz w:val="20"/>
                <w:szCs w:val="20"/>
              </w:rPr>
            </w:pPr>
            <w:r>
              <w:rPr>
                <w:rFonts w:hint="default" w:ascii="Times New Roman" w:hAnsi="Times New Roman" w:eastAsia="仿宋" w:cs="Times New Roman"/>
                <w:color w:val="000000"/>
                <w:kern w:val="0"/>
                <w:sz w:val="20"/>
                <w:szCs w:val="20"/>
              </w:rPr>
              <w:t>查阅资料、</w:t>
            </w:r>
          </w:p>
          <w:p w14:paraId="0971F846">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仿宋" w:cs="Times New Roman"/>
                <w:color w:val="000000"/>
                <w:kern w:val="0"/>
                <w:sz w:val="20"/>
                <w:szCs w:val="20"/>
              </w:rPr>
            </w:pPr>
            <w:r>
              <w:rPr>
                <w:rFonts w:hint="default" w:ascii="Times New Roman" w:hAnsi="Times New Roman" w:eastAsia="仿宋" w:cs="Times New Roman"/>
                <w:color w:val="000000"/>
                <w:kern w:val="0"/>
                <w:sz w:val="20"/>
                <w:szCs w:val="20"/>
              </w:rPr>
              <w:t>实地查看</w:t>
            </w:r>
          </w:p>
        </w:tc>
        <w:tc>
          <w:tcPr>
            <w:tcW w:w="932" w:type="dxa"/>
            <w:tcBorders>
              <w:top w:val="single" w:color="auto" w:sz="4" w:space="0"/>
              <w:left w:val="nil"/>
              <w:bottom w:val="single" w:color="auto" w:sz="4" w:space="0"/>
              <w:right w:val="single" w:color="auto" w:sz="4" w:space="0"/>
            </w:tcBorders>
            <w:shd w:val="clear" w:color="auto" w:fill="auto"/>
            <w:vAlign w:val="center"/>
          </w:tcPr>
          <w:p w14:paraId="223AAE70">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仿宋" w:cs="Times New Roman"/>
                <w:color w:val="000000"/>
                <w:kern w:val="0"/>
                <w:sz w:val="20"/>
                <w:szCs w:val="20"/>
              </w:rPr>
            </w:pPr>
          </w:p>
        </w:tc>
      </w:tr>
      <w:tr w14:paraId="68A62167">
        <w:tblPrEx>
          <w:tblCellMar>
            <w:top w:w="0" w:type="dxa"/>
            <w:left w:w="108" w:type="dxa"/>
            <w:bottom w:w="0" w:type="dxa"/>
            <w:right w:w="108" w:type="dxa"/>
          </w:tblCellMar>
        </w:tblPrEx>
        <w:trPr>
          <w:trHeight w:val="1003" w:hRule="atLeast"/>
        </w:trPr>
        <w:tc>
          <w:tcPr>
            <w:tcW w:w="1982" w:type="dxa"/>
            <w:tcBorders>
              <w:top w:val="single" w:color="auto" w:sz="4" w:space="0"/>
              <w:left w:val="single" w:color="auto" w:sz="4" w:space="0"/>
              <w:bottom w:val="single" w:color="auto" w:sz="4" w:space="0"/>
              <w:right w:val="single" w:color="000000" w:sz="4" w:space="0"/>
            </w:tcBorders>
            <w:shd w:val="clear" w:color="auto" w:fill="auto"/>
            <w:vAlign w:val="center"/>
          </w:tcPr>
          <w:p w14:paraId="43B7E9E4">
            <w:pPr>
              <w:keepNext w:val="0"/>
              <w:keepLines w:val="0"/>
              <w:pageBreakBefore w:val="0"/>
              <w:widowControl/>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lang w:val="en-US" w:eastAsia="zh-CN"/>
              </w:rPr>
              <w:t>生产服务</w:t>
            </w:r>
            <w:r>
              <w:rPr>
                <w:rFonts w:hint="default" w:ascii="Times New Roman" w:hAnsi="Times New Roman" w:eastAsia="仿宋" w:cs="Times New Roman"/>
                <w:color w:val="000000"/>
                <w:kern w:val="0"/>
                <w:sz w:val="24"/>
                <w:szCs w:val="24"/>
              </w:rPr>
              <w:t>（</w:t>
            </w:r>
            <w:r>
              <w:rPr>
                <w:rFonts w:hint="default" w:ascii="Times New Roman" w:hAnsi="Times New Roman" w:eastAsia="仿宋" w:cs="Times New Roman"/>
                <w:color w:val="000000"/>
                <w:kern w:val="0"/>
                <w:sz w:val="24"/>
                <w:szCs w:val="24"/>
                <w:lang w:val="en-US" w:eastAsia="zh-CN"/>
              </w:rPr>
              <w:t>50</w:t>
            </w:r>
            <w:r>
              <w:rPr>
                <w:rFonts w:hint="default" w:ascii="Times New Roman" w:hAnsi="Times New Roman" w:eastAsia="仿宋" w:cs="Times New Roman"/>
                <w:color w:val="000000"/>
                <w:kern w:val="0"/>
                <w:sz w:val="24"/>
                <w:szCs w:val="24"/>
              </w:rPr>
              <w:t>分）</w:t>
            </w:r>
          </w:p>
        </w:tc>
        <w:tc>
          <w:tcPr>
            <w:tcW w:w="6268" w:type="dxa"/>
            <w:tcBorders>
              <w:top w:val="nil"/>
              <w:left w:val="nil"/>
              <w:bottom w:val="single" w:color="auto" w:sz="4" w:space="0"/>
              <w:right w:val="single" w:color="auto" w:sz="4" w:space="0"/>
            </w:tcBorders>
            <w:shd w:val="clear" w:color="auto" w:fill="auto"/>
            <w:vAlign w:val="center"/>
          </w:tcPr>
          <w:p w14:paraId="12A2B6BF">
            <w:pPr>
              <w:keepNext w:val="0"/>
              <w:keepLines w:val="0"/>
              <w:pageBreakBefore w:val="0"/>
              <w:widowControl w:val="0"/>
              <w:kinsoku/>
              <w:wordWrap/>
              <w:overflowPunct/>
              <w:topLinePunct w:val="0"/>
              <w:autoSpaceDE/>
              <w:autoSpaceDN/>
              <w:bidi w:val="0"/>
              <w:adjustRightInd/>
              <w:snapToGrid/>
              <w:textAlignment w:val="auto"/>
              <w:rPr>
                <w:rFonts w:hint="default" w:ascii="Times New Roman" w:hAnsi="Times New Roman" w:eastAsia="仿宋" w:cs="Times New Roman"/>
                <w:color w:val="000000"/>
                <w:kern w:val="0"/>
                <w:sz w:val="20"/>
                <w:szCs w:val="20"/>
              </w:rPr>
            </w:pPr>
            <w:r>
              <w:rPr>
                <w:rFonts w:hint="default" w:ascii="Times New Roman" w:hAnsi="Times New Roman" w:eastAsia="仿宋" w:cs="Times New Roman"/>
                <w:color w:val="000000"/>
                <w:kern w:val="0"/>
                <w:sz w:val="20"/>
                <w:szCs w:val="20"/>
                <w:lang w:eastAsia="zh-CN"/>
              </w:rPr>
              <w:t>开展标准化生产或服务，有农产品质量安全管理制度并执行落实，利用现代信息技术手段采集生产服务记录、购销记录等经营信息，农业生产或服务质量可追溯，依规实行食用农产品承诺达标合格证制度。</w:t>
            </w:r>
          </w:p>
        </w:tc>
        <w:tc>
          <w:tcPr>
            <w:tcW w:w="1393" w:type="dxa"/>
            <w:tcBorders>
              <w:top w:val="nil"/>
              <w:left w:val="nil"/>
              <w:bottom w:val="single" w:color="auto" w:sz="4" w:space="0"/>
              <w:right w:val="single" w:color="auto" w:sz="4" w:space="0"/>
            </w:tcBorders>
            <w:shd w:val="clear" w:color="auto" w:fill="auto"/>
            <w:vAlign w:val="center"/>
          </w:tcPr>
          <w:p w14:paraId="2C42E2BA">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仿宋" w:cs="Times New Roman"/>
                <w:color w:val="000000"/>
                <w:kern w:val="0"/>
                <w:sz w:val="20"/>
                <w:szCs w:val="20"/>
              </w:rPr>
            </w:pPr>
            <w:r>
              <w:rPr>
                <w:rFonts w:hint="default" w:ascii="Times New Roman" w:hAnsi="Times New Roman" w:eastAsia="仿宋" w:cs="Times New Roman"/>
                <w:color w:val="000000"/>
                <w:kern w:val="0"/>
                <w:sz w:val="20"/>
                <w:szCs w:val="20"/>
              </w:rPr>
              <w:t>查阅资料、</w:t>
            </w:r>
          </w:p>
          <w:p w14:paraId="15FAA816">
            <w:pPr>
              <w:keepNext w:val="0"/>
              <w:keepLines w:val="0"/>
              <w:pageBreakBefore w:val="0"/>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0"/>
                <w:szCs w:val="20"/>
                <w:lang w:eastAsia="zh-CN"/>
              </w:rPr>
            </w:pPr>
            <w:r>
              <w:rPr>
                <w:rFonts w:hint="default" w:ascii="Times New Roman" w:hAnsi="Times New Roman" w:eastAsia="仿宋" w:cs="Times New Roman"/>
                <w:color w:val="000000"/>
                <w:kern w:val="0"/>
                <w:sz w:val="20"/>
                <w:szCs w:val="20"/>
              </w:rPr>
              <w:t>实地查看</w:t>
            </w:r>
          </w:p>
        </w:tc>
        <w:tc>
          <w:tcPr>
            <w:tcW w:w="932" w:type="dxa"/>
            <w:tcBorders>
              <w:top w:val="nil"/>
              <w:left w:val="nil"/>
              <w:bottom w:val="single" w:color="auto" w:sz="4" w:space="0"/>
              <w:right w:val="single" w:color="auto" w:sz="4" w:space="0"/>
            </w:tcBorders>
            <w:shd w:val="clear" w:color="auto" w:fill="auto"/>
            <w:vAlign w:val="center"/>
          </w:tcPr>
          <w:p w14:paraId="2F4716C7">
            <w:pPr>
              <w:keepNext w:val="0"/>
              <w:keepLines w:val="0"/>
              <w:pageBreakBefore w:val="0"/>
              <w:widowControl/>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0"/>
                <w:szCs w:val="20"/>
              </w:rPr>
            </w:pPr>
          </w:p>
        </w:tc>
      </w:tr>
      <w:tr w14:paraId="4E9C685B">
        <w:tblPrEx>
          <w:tblCellMar>
            <w:top w:w="0" w:type="dxa"/>
            <w:left w:w="108" w:type="dxa"/>
            <w:bottom w:w="0" w:type="dxa"/>
            <w:right w:w="108" w:type="dxa"/>
          </w:tblCellMar>
        </w:tblPrEx>
        <w:trPr>
          <w:trHeight w:val="1335" w:hRule="atLeast"/>
        </w:trPr>
        <w:tc>
          <w:tcPr>
            <w:tcW w:w="1982" w:type="dxa"/>
            <w:tcBorders>
              <w:top w:val="single" w:color="auto" w:sz="4" w:space="0"/>
              <w:left w:val="single" w:color="auto" w:sz="4" w:space="0"/>
              <w:bottom w:val="single" w:color="auto" w:sz="4" w:space="0"/>
              <w:right w:val="single" w:color="000000" w:sz="4" w:space="0"/>
            </w:tcBorders>
            <w:shd w:val="clear" w:color="auto" w:fill="auto"/>
            <w:vAlign w:val="center"/>
          </w:tcPr>
          <w:p w14:paraId="6A766ACA">
            <w:pPr>
              <w:keepNext w:val="0"/>
              <w:keepLines w:val="0"/>
              <w:pageBreakBefore w:val="0"/>
              <w:widowControl/>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4"/>
                <w:szCs w:val="24"/>
                <w:lang w:val="en-US" w:eastAsia="zh-CN"/>
              </w:rPr>
            </w:pPr>
            <w:r>
              <w:rPr>
                <w:rFonts w:hint="default" w:ascii="Times New Roman" w:hAnsi="Times New Roman" w:eastAsia="仿宋" w:cs="Times New Roman"/>
                <w:color w:val="000000"/>
                <w:kern w:val="0"/>
                <w:sz w:val="24"/>
                <w:szCs w:val="24"/>
                <w:lang w:val="en-US" w:eastAsia="zh-CN"/>
              </w:rPr>
              <w:t>联农带农（15分）</w:t>
            </w:r>
          </w:p>
        </w:tc>
        <w:tc>
          <w:tcPr>
            <w:tcW w:w="6268" w:type="dxa"/>
            <w:tcBorders>
              <w:top w:val="single" w:color="auto" w:sz="4" w:space="0"/>
              <w:left w:val="nil"/>
              <w:bottom w:val="single" w:color="auto" w:sz="4" w:space="0"/>
              <w:right w:val="single" w:color="auto" w:sz="4" w:space="0"/>
            </w:tcBorders>
            <w:shd w:val="clear" w:color="auto" w:fill="auto"/>
            <w:vAlign w:val="center"/>
          </w:tcPr>
          <w:p w14:paraId="560C6F27">
            <w:pPr>
              <w:keepNext w:val="0"/>
              <w:keepLines w:val="0"/>
              <w:pageBreakBefore w:val="0"/>
              <w:widowControl w:val="0"/>
              <w:kinsoku/>
              <w:wordWrap/>
              <w:overflowPunct/>
              <w:topLinePunct w:val="0"/>
              <w:autoSpaceDE/>
              <w:autoSpaceDN/>
              <w:bidi w:val="0"/>
              <w:adjustRightInd/>
              <w:snapToGrid/>
              <w:textAlignment w:val="auto"/>
              <w:rPr>
                <w:rFonts w:hint="default" w:ascii="Times New Roman" w:hAnsi="Times New Roman" w:eastAsia="仿宋" w:cs="Times New Roman"/>
                <w:color w:val="000000"/>
                <w:kern w:val="0"/>
                <w:sz w:val="20"/>
                <w:szCs w:val="20"/>
                <w:lang w:eastAsia="zh-CN"/>
              </w:rPr>
            </w:pPr>
            <w:r>
              <w:rPr>
                <w:rFonts w:hint="default" w:ascii="Times New Roman" w:hAnsi="Times New Roman" w:eastAsia="仿宋" w:cs="Times New Roman"/>
                <w:color w:val="000000"/>
                <w:kern w:val="0"/>
                <w:sz w:val="20"/>
                <w:szCs w:val="20"/>
                <w:lang w:eastAsia="zh-CN"/>
              </w:rPr>
              <w:t>农民合作社实有成员名册与成员账户的成员范围一致，实有成员数高于本县域平均水平（5分），成员账户准确记录每个成员的出资额、公积金量化份额、与本社的交易量（额）和返还盈余等，可分配盈余按照成员与本社的交易量（额）比例返还的比例不低于60%（5分）；积极参与扶贫工程，带动3户以上扶贫户、带动薄弱村增收（5分）。</w:t>
            </w:r>
          </w:p>
        </w:tc>
        <w:tc>
          <w:tcPr>
            <w:tcW w:w="1393" w:type="dxa"/>
            <w:tcBorders>
              <w:top w:val="single" w:color="auto" w:sz="4" w:space="0"/>
              <w:left w:val="nil"/>
              <w:bottom w:val="single" w:color="auto" w:sz="4" w:space="0"/>
              <w:right w:val="single" w:color="auto" w:sz="4" w:space="0"/>
            </w:tcBorders>
            <w:shd w:val="clear" w:color="auto" w:fill="auto"/>
            <w:vAlign w:val="center"/>
          </w:tcPr>
          <w:p w14:paraId="0E6A0D85">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仿宋" w:cs="Times New Roman"/>
                <w:color w:val="000000"/>
                <w:kern w:val="0"/>
                <w:sz w:val="20"/>
                <w:szCs w:val="20"/>
              </w:rPr>
            </w:pPr>
            <w:r>
              <w:rPr>
                <w:rFonts w:hint="default" w:ascii="Times New Roman" w:hAnsi="Times New Roman" w:eastAsia="仿宋" w:cs="Times New Roman"/>
                <w:color w:val="000000"/>
                <w:kern w:val="0"/>
                <w:sz w:val="20"/>
                <w:szCs w:val="20"/>
              </w:rPr>
              <w:t>实地</w:t>
            </w:r>
            <w:r>
              <w:rPr>
                <w:rFonts w:hint="default" w:ascii="Times New Roman" w:hAnsi="Times New Roman" w:eastAsia="仿宋" w:cs="Times New Roman"/>
                <w:color w:val="000000"/>
                <w:kern w:val="0"/>
                <w:sz w:val="20"/>
                <w:szCs w:val="20"/>
                <w:lang w:val="en-US" w:eastAsia="zh-CN"/>
              </w:rPr>
              <w:t>考察</w:t>
            </w:r>
            <w:r>
              <w:rPr>
                <w:rFonts w:hint="default" w:ascii="Times New Roman" w:hAnsi="Times New Roman" w:eastAsia="仿宋" w:cs="Times New Roman"/>
                <w:color w:val="000000"/>
                <w:kern w:val="0"/>
                <w:sz w:val="20"/>
                <w:szCs w:val="20"/>
              </w:rPr>
              <w:t>、</w:t>
            </w:r>
          </w:p>
          <w:p w14:paraId="3A9A0C79">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仿宋" w:cs="Times New Roman"/>
                <w:color w:val="000000"/>
                <w:kern w:val="0"/>
                <w:sz w:val="20"/>
                <w:szCs w:val="20"/>
              </w:rPr>
            </w:pPr>
            <w:r>
              <w:rPr>
                <w:rFonts w:hint="default" w:ascii="Times New Roman" w:hAnsi="Times New Roman" w:eastAsia="仿宋" w:cs="Times New Roman"/>
                <w:color w:val="000000"/>
                <w:kern w:val="0"/>
                <w:sz w:val="20"/>
                <w:szCs w:val="20"/>
              </w:rPr>
              <w:t>查阅</w:t>
            </w:r>
            <w:r>
              <w:rPr>
                <w:rFonts w:hint="default" w:ascii="Times New Roman" w:hAnsi="Times New Roman" w:eastAsia="仿宋" w:cs="Times New Roman"/>
                <w:color w:val="000000"/>
                <w:kern w:val="0"/>
                <w:sz w:val="20"/>
                <w:szCs w:val="20"/>
                <w:lang w:val="en-US" w:eastAsia="zh-CN"/>
              </w:rPr>
              <w:t>相关</w:t>
            </w:r>
            <w:r>
              <w:rPr>
                <w:rFonts w:hint="default" w:ascii="Times New Roman" w:hAnsi="Times New Roman" w:eastAsia="仿宋" w:cs="Times New Roman"/>
                <w:color w:val="000000"/>
                <w:kern w:val="0"/>
                <w:sz w:val="20"/>
                <w:szCs w:val="20"/>
              </w:rPr>
              <w:t>资料</w:t>
            </w:r>
          </w:p>
          <w:p w14:paraId="13419764">
            <w:pPr>
              <w:keepNext w:val="0"/>
              <w:keepLines w:val="0"/>
              <w:pageBreakBefore w:val="0"/>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0"/>
                <w:szCs w:val="20"/>
                <w:lang w:val="en-US" w:eastAsia="zh-CN" w:bidi="ar-SA"/>
              </w:rPr>
            </w:pPr>
          </w:p>
        </w:tc>
        <w:tc>
          <w:tcPr>
            <w:tcW w:w="932" w:type="dxa"/>
            <w:tcBorders>
              <w:top w:val="single" w:color="auto" w:sz="4" w:space="0"/>
              <w:left w:val="nil"/>
              <w:bottom w:val="single" w:color="auto" w:sz="4" w:space="0"/>
              <w:right w:val="single" w:color="auto" w:sz="4" w:space="0"/>
            </w:tcBorders>
            <w:shd w:val="clear" w:color="auto" w:fill="auto"/>
            <w:vAlign w:val="center"/>
          </w:tcPr>
          <w:p w14:paraId="6E5BB4AF">
            <w:pPr>
              <w:keepNext w:val="0"/>
              <w:keepLines w:val="0"/>
              <w:pageBreakBefore w:val="0"/>
              <w:widowControl/>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0"/>
                <w:szCs w:val="20"/>
              </w:rPr>
            </w:pPr>
          </w:p>
        </w:tc>
      </w:tr>
      <w:tr w14:paraId="0B16E62D">
        <w:tblPrEx>
          <w:tblCellMar>
            <w:top w:w="0" w:type="dxa"/>
            <w:left w:w="108" w:type="dxa"/>
            <w:bottom w:w="0" w:type="dxa"/>
            <w:right w:w="108" w:type="dxa"/>
          </w:tblCellMar>
        </w:tblPrEx>
        <w:trPr>
          <w:trHeight w:val="1645" w:hRule="atLeast"/>
        </w:trPr>
        <w:tc>
          <w:tcPr>
            <w:tcW w:w="1982" w:type="dxa"/>
            <w:tcBorders>
              <w:top w:val="single" w:color="auto" w:sz="4" w:space="0"/>
              <w:left w:val="single" w:color="auto" w:sz="4" w:space="0"/>
              <w:bottom w:val="single" w:color="auto" w:sz="4" w:space="0"/>
              <w:right w:val="single" w:color="000000" w:sz="4" w:space="0"/>
            </w:tcBorders>
            <w:vAlign w:val="center"/>
          </w:tcPr>
          <w:p w14:paraId="4718A0AB">
            <w:pPr>
              <w:keepNext w:val="0"/>
              <w:keepLines w:val="0"/>
              <w:pageBreakBefore w:val="0"/>
              <w:widowControl/>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一票否决项</w:t>
            </w:r>
          </w:p>
        </w:tc>
        <w:tc>
          <w:tcPr>
            <w:tcW w:w="6268" w:type="dxa"/>
            <w:tcBorders>
              <w:top w:val="single" w:color="auto" w:sz="4" w:space="0"/>
              <w:left w:val="nil"/>
              <w:bottom w:val="single" w:color="auto" w:sz="4" w:space="0"/>
              <w:right w:val="single" w:color="auto" w:sz="4" w:space="0"/>
            </w:tcBorders>
            <w:shd w:val="clear" w:color="auto" w:fill="auto"/>
            <w:vAlign w:val="center"/>
          </w:tcPr>
          <w:p w14:paraId="5C0DDC1A">
            <w:pPr>
              <w:keepNext w:val="0"/>
              <w:keepLines w:val="0"/>
              <w:pageBreakBefore w:val="0"/>
              <w:widowControl w:val="0"/>
              <w:kinsoku/>
              <w:wordWrap/>
              <w:overflowPunct/>
              <w:topLinePunct w:val="0"/>
              <w:autoSpaceDE/>
              <w:autoSpaceDN/>
              <w:bidi w:val="0"/>
              <w:adjustRightInd/>
              <w:snapToGrid/>
              <w:textAlignment w:val="auto"/>
              <w:rPr>
                <w:rFonts w:hint="default" w:ascii="Times New Roman" w:hAnsi="Times New Roman" w:eastAsia="仿宋" w:cs="Times New Roman"/>
                <w:color w:val="000000"/>
                <w:kern w:val="0"/>
                <w:sz w:val="20"/>
                <w:szCs w:val="20"/>
                <w:lang w:eastAsia="zh-CN"/>
              </w:rPr>
            </w:pPr>
            <w:r>
              <w:rPr>
                <w:rFonts w:hint="default" w:ascii="Times New Roman" w:hAnsi="Times New Roman" w:eastAsia="仿宋" w:cs="Times New Roman"/>
                <w:color w:val="000000"/>
                <w:kern w:val="0"/>
                <w:sz w:val="20"/>
                <w:szCs w:val="20"/>
                <w:lang w:eastAsia="zh-CN"/>
              </w:rPr>
              <w:t>未实际经营的，包括列入“空壳社”处置名单的农民专业合作社；申报资料弄虚作假，经查证属实的；不按规定使用资金，经查证属实的；农产品质量出现问题，被有关部门查处并通报处理的；发生重大公共安全事故、生态破坏、环境污染、损害成员利益等严重事件，受到行业通报批评等造成不良社会影响；列入经营异常名录、失信名单，涉及非法金融活动；</w:t>
            </w:r>
            <w:r>
              <w:rPr>
                <w:rFonts w:hint="default" w:ascii="Times New Roman" w:hAnsi="Times New Roman" w:eastAsia="仿宋" w:cs="Times New Roman"/>
                <w:color w:val="000000"/>
                <w:kern w:val="0"/>
                <w:sz w:val="20"/>
                <w:szCs w:val="20"/>
                <w:lang w:val="en-US" w:eastAsia="zh-CN"/>
              </w:rPr>
              <w:t>其他情形正在接受调查处理或整改的。</w:t>
            </w:r>
          </w:p>
        </w:tc>
        <w:tc>
          <w:tcPr>
            <w:tcW w:w="1393" w:type="dxa"/>
            <w:tcBorders>
              <w:top w:val="single" w:color="auto" w:sz="4" w:space="0"/>
              <w:left w:val="nil"/>
              <w:bottom w:val="single" w:color="auto" w:sz="4" w:space="0"/>
              <w:right w:val="single" w:color="auto" w:sz="4" w:space="0"/>
            </w:tcBorders>
            <w:shd w:val="clear" w:color="auto" w:fill="auto"/>
            <w:vAlign w:val="center"/>
          </w:tcPr>
          <w:p w14:paraId="6750154C">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仿宋" w:cs="Times New Roman"/>
                <w:color w:val="000000"/>
                <w:kern w:val="0"/>
                <w:sz w:val="20"/>
                <w:szCs w:val="20"/>
              </w:rPr>
            </w:pPr>
            <w:r>
              <w:rPr>
                <w:rFonts w:hint="default" w:ascii="Times New Roman" w:hAnsi="Times New Roman" w:eastAsia="仿宋" w:cs="Times New Roman"/>
                <w:color w:val="000000"/>
                <w:kern w:val="0"/>
                <w:sz w:val="20"/>
                <w:szCs w:val="20"/>
              </w:rPr>
              <w:t>查阅</w:t>
            </w:r>
            <w:r>
              <w:rPr>
                <w:rFonts w:hint="default" w:ascii="Times New Roman" w:hAnsi="Times New Roman" w:eastAsia="仿宋" w:cs="Times New Roman"/>
                <w:color w:val="000000"/>
                <w:kern w:val="0"/>
                <w:sz w:val="20"/>
                <w:szCs w:val="20"/>
                <w:lang w:val="en-US" w:eastAsia="zh-CN"/>
              </w:rPr>
              <w:t>相关</w:t>
            </w:r>
            <w:r>
              <w:rPr>
                <w:rFonts w:hint="default" w:ascii="Times New Roman" w:hAnsi="Times New Roman" w:eastAsia="仿宋" w:cs="Times New Roman"/>
                <w:color w:val="000000"/>
                <w:kern w:val="0"/>
                <w:sz w:val="20"/>
                <w:szCs w:val="20"/>
              </w:rPr>
              <w:t>资料</w:t>
            </w:r>
          </w:p>
        </w:tc>
        <w:tc>
          <w:tcPr>
            <w:tcW w:w="932" w:type="dxa"/>
            <w:tcBorders>
              <w:top w:val="single" w:color="auto" w:sz="4" w:space="0"/>
              <w:left w:val="nil"/>
              <w:bottom w:val="single" w:color="auto" w:sz="4" w:space="0"/>
              <w:right w:val="single" w:color="auto" w:sz="4" w:space="0"/>
            </w:tcBorders>
            <w:shd w:val="clear" w:color="auto" w:fill="auto"/>
            <w:vAlign w:val="center"/>
          </w:tcPr>
          <w:p w14:paraId="6370A37E">
            <w:pPr>
              <w:keepNext w:val="0"/>
              <w:keepLines w:val="0"/>
              <w:pageBreakBefore w:val="0"/>
              <w:widowControl/>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0"/>
                <w:szCs w:val="20"/>
              </w:rPr>
            </w:pPr>
          </w:p>
        </w:tc>
      </w:tr>
      <w:tr w14:paraId="4DBB6D9D">
        <w:tblPrEx>
          <w:tblCellMar>
            <w:top w:w="0" w:type="dxa"/>
            <w:left w:w="108" w:type="dxa"/>
            <w:bottom w:w="0" w:type="dxa"/>
            <w:right w:w="108" w:type="dxa"/>
          </w:tblCellMar>
        </w:tblPrEx>
        <w:trPr>
          <w:trHeight w:val="485" w:hRule="atLeast"/>
        </w:trPr>
        <w:tc>
          <w:tcPr>
            <w:tcW w:w="9643" w:type="dxa"/>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4312BC54">
            <w:pPr>
              <w:keepNext w:val="0"/>
              <w:keepLines w:val="0"/>
              <w:pageBreakBefore w:val="0"/>
              <w:widowControl/>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4"/>
              </w:rPr>
            </w:pPr>
            <w:r>
              <w:rPr>
                <w:rFonts w:hint="default" w:ascii="Times New Roman" w:hAnsi="Times New Roman" w:eastAsia="仿宋" w:cs="Times New Roman"/>
                <w:color w:val="000000"/>
                <w:kern w:val="0"/>
                <w:sz w:val="24"/>
                <w:szCs w:val="24"/>
              </w:rPr>
              <w:t>总</w:t>
            </w:r>
            <w:r>
              <w:rPr>
                <w:rFonts w:hint="default" w:ascii="Times New Roman" w:hAnsi="Times New Roman" w:eastAsia="仿宋" w:cs="Times New Roman"/>
                <w:color w:val="000000"/>
                <w:kern w:val="0"/>
                <w:sz w:val="24"/>
                <w:szCs w:val="24"/>
                <w:lang w:val="en-US" w:eastAsia="zh-CN"/>
              </w:rPr>
              <w:t xml:space="preserve">  </w:t>
            </w:r>
            <w:r>
              <w:rPr>
                <w:rFonts w:hint="default" w:ascii="Times New Roman" w:hAnsi="Times New Roman" w:eastAsia="仿宋" w:cs="Times New Roman"/>
                <w:color w:val="000000"/>
                <w:kern w:val="0"/>
                <w:sz w:val="24"/>
                <w:szCs w:val="24"/>
              </w:rPr>
              <w:t>分</w:t>
            </w:r>
          </w:p>
        </w:tc>
        <w:tc>
          <w:tcPr>
            <w:tcW w:w="932" w:type="dxa"/>
            <w:tcBorders>
              <w:top w:val="nil"/>
              <w:left w:val="nil"/>
              <w:bottom w:val="single" w:color="auto" w:sz="4" w:space="0"/>
              <w:right w:val="single" w:color="auto" w:sz="4" w:space="0"/>
            </w:tcBorders>
            <w:shd w:val="clear" w:color="auto" w:fill="auto"/>
            <w:noWrap/>
            <w:vAlign w:val="center"/>
          </w:tcPr>
          <w:p w14:paraId="239181AA">
            <w:pPr>
              <w:keepNext w:val="0"/>
              <w:keepLines w:val="0"/>
              <w:pageBreakBefore w:val="0"/>
              <w:widowControl/>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4"/>
              </w:rPr>
            </w:pPr>
          </w:p>
        </w:tc>
      </w:tr>
      <w:tr w14:paraId="0D34FBBB">
        <w:tblPrEx>
          <w:tblCellMar>
            <w:top w:w="0" w:type="dxa"/>
            <w:left w:w="108" w:type="dxa"/>
            <w:bottom w:w="0" w:type="dxa"/>
            <w:right w:w="108" w:type="dxa"/>
          </w:tblCellMar>
        </w:tblPrEx>
        <w:trPr>
          <w:trHeight w:val="438" w:hRule="atLeast"/>
        </w:trPr>
        <w:tc>
          <w:tcPr>
            <w:tcW w:w="198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95E1029">
            <w:pPr>
              <w:keepNext w:val="0"/>
              <w:keepLines w:val="0"/>
              <w:pageBreakBefore w:val="0"/>
              <w:widowControl/>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4"/>
              </w:rPr>
            </w:pPr>
            <w:r>
              <w:rPr>
                <w:rFonts w:hint="default" w:ascii="Times New Roman" w:hAnsi="Times New Roman" w:eastAsia="仿宋" w:cs="Times New Roman"/>
                <w:color w:val="000000"/>
                <w:kern w:val="0"/>
                <w:sz w:val="24"/>
              </w:rPr>
              <w:t>验收结论</w:t>
            </w:r>
          </w:p>
        </w:tc>
        <w:tc>
          <w:tcPr>
            <w:tcW w:w="8593" w:type="dxa"/>
            <w:gridSpan w:val="3"/>
            <w:tcBorders>
              <w:top w:val="single" w:color="auto" w:sz="4" w:space="0"/>
              <w:left w:val="nil"/>
              <w:bottom w:val="single" w:color="auto" w:sz="4" w:space="0"/>
              <w:right w:val="single" w:color="auto" w:sz="4" w:space="0"/>
            </w:tcBorders>
            <w:shd w:val="clear" w:color="auto" w:fill="auto"/>
            <w:noWrap/>
            <w:vAlign w:val="center"/>
          </w:tcPr>
          <w:p w14:paraId="073101F2">
            <w:pPr>
              <w:keepNext w:val="0"/>
              <w:keepLines w:val="0"/>
              <w:pageBreakBefore w:val="0"/>
              <w:widowControl/>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8"/>
                <w:szCs w:val="28"/>
              </w:rPr>
            </w:pPr>
            <w:r>
              <w:rPr>
                <w:rFonts w:hint="default" w:ascii="Times New Roman" w:hAnsi="Times New Roman" w:eastAsia="仿宋" w:cs="Times New Roman"/>
                <w:color w:val="000000"/>
                <w:kern w:val="0"/>
                <w:sz w:val="28"/>
                <w:szCs w:val="28"/>
              </w:rPr>
              <w:t>　</w:t>
            </w:r>
          </w:p>
        </w:tc>
      </w:tr>
      <w:tr w14:paraId="25196234">
        <w:tblPrEx>
          <w:tblCellMar>
            <w:top w:w="0" w:type="dxa"/>
            <w:left w:w="108" w:type="dxa"/>
            <w:bottom w:w="0" w:type="dxa"/>
            <w:right w:w="108" w:type="dxa"/>
          </w:tblCellMar>
        </w:tblPrEx>
        <w:trPr>
          <w:trHeight w:val="892" w:hRule="atLeast"/>
        </w:trPr>
        <w:tc>
          <w:tcPr>
            <w:tcW w:w="198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31CFAF3">
            <w:pPr>
              <w:keepNext w:val="0"/>
              <w:keepLines w:val="0"/>
              <w:pageBreakBefore w:val="0"/>
              <w:widowControl/>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4"/>
              </w:rPr>
            </w:pPr>
            <w:r>
              <w:rPr>
                <w:rFonts w:hint="default" w:ascii="Times New Roman" w:hAnsi="Times New Roman" w:eastAsia="仿宋" w:cs="Times New Roman"/>
                <w:color w:val="000000"/>
                <w:kern w:val="0"/>
                <w:sz w:val="24"/>
              </w:rPr>
              <w:t>验收组签字</w:t>
            </w:r>
          </w:p>
        </w:tc>
        <w:tc>
          <w:tcPr>
            <w:tcW w:w="8593" w:type="dxa"/>
            <w:gridSpan w:val="3"/>
            <w:tcBorders>
              <w:top w:val="single" w:color="auto" w:sz="4" w:space="0"/>
              <w:left w:val="nil"/>
              <w:bottom w:val="single" w:color="auto" w:sz="4" w:space="0"/>
              <w:right w:val="single" w:color="auto" w:sz="4" w:space="0"/>
            </w:tcBorders>
            <w:shd w:val="clear" w:color="auto" w:fill="auto"/>
            <w:noWrap/>
            <w:vAlign w:val="center"/>
          </w:tcPr>
          <w:p w14:paraId="0E3BFE47">
            <w:pPr>
              <w:keepNext w:val="0"/>
              <w:keepLines w:val="0"/>
              <w:pageBreakBefore w:val="0"/>
              <w:widowControl/>
              <w:kinsoku/>
              <w:overflowPunct/>
              <w:topLinePunct w:val="0"/>
              <w:autoSpaceDE/>
              <w:autoSpaceDN/>
              <w:bidi w:val="0"/>
              <w:spacing w:line="560" w:lineRule="exact"/>
              <w:jc w:val="both"/>
              <w:textAlignment w:val="auto"/>
              <w:rPr>
                <w:rFonts w:hint="default" w:ascii="Times New Roman" w:hAnsi="Times New Roman" w:eastAsia="仿宋" w:cs="Times New Roman"/>
                <w:color w:val="000000"/>
                <w:kern w:val="0"/>
                <w:sz w:val="28"/>
                <w:szCs w:val="28"/>
              </w:rPr>
            </w:pPr>
            <w:r>
              <w:rPr>
                <w:rFonts w:hint="default" w:ascii="Times New Roman" w:hAnsi="Times New Roman" w:eastAsia="仿宋" w:cs="Times New Roman"/>
                <w:color w:val="000000"/>
                <w:kern w:val="0"/>
                <w:sz w:val="28"/>
                <w:szCs w:val="28"/>
              </w:rPr>
              <w:t>　</w:t>
            </w:r>
          </w:p>
        </w:tc>
      </w:tr>
    </w:tbl>
    <w:p w14:paraId="4283FBAF">
      <w:pPr>
        <w:bidi w:val="0"/>
        <w:rPr>
          <w:rFonts w:hint="default" w:ascii="Times New Roman" w:hAnsi="Times New Roman" w:cs="Times New Roman"/>
          <w:lang w:val="en-US" w:eastAsia="zh-CN"/>
        </w:rPr>
      </w:pPr>
    </w:p>
    <w:sectPr>
      <w:footerReference r:id="rId3" w:type="default"/>
      <w:footerReference r:id="rId4" w:type="even"/>
      <w:pgSz w:w="11906" w:h="16838"/>
      <w:pgMar w:top="1928" w:right="1531" w:bottom="1701"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FF1BB0">
    <w:pPr>
      <w:pStyle w:val="5"/>
      <w:jc w:val="right"/>
      <w:rPr>
        <w:sz w:val="28"/>
        <w:szCs w:val="28"/>
      </w:rPr>
    </w:pP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w:t>
    </w:r>
    <w:r>
      <w:rPr>
        <w:sz w:val="28"/>
        <w:szCs w:val="28"/>
      </w:rPr>
      <w:t xml:space="preserve"> 3 -</w:t>
    </w:r>
    <w:r>
      <w:rPr>
        <w:sz w:val="28"/>
        <w:szCs w:val="28"/>
      </w:rPr>
      <w:fldChar w:fldCharType="end"/>
    </w:r>
  </w:p>
  <w:p w14:paraId="17CCA8DB">
    <w:pPr>
      <w:pStyle w:val="5"/>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F406A3">
    <w:pPr>
      <w:pStyle w:val="5"/>
      <w:rPr>
        <w:sz w:val="28"/>
        <w:szCs w:val="28"/>
      </w:rPr>
    </w:pP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w:t>
    </w:r>
    <w:r>
      <w:rPr>
        <w:sz w:val="28"/>
        <w:szCs w:val="28"/>
      </w:rPr>
      <w:t xml:space="preserve"> 4 -</w:t>
    </w:r>
    <w:r>
      <w:rPr>
        <w:sz w:val="28"/>
        <w:szCs w:val="28"/>
      </w:rPr>
      <w:fldChar w:fldCharType="end"/>
    </w:r>
  </w:p>
  <w:p w14:paraId="0FD88A77">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embedSystemFonts/>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NlYzU2NDZlZWRhZGY1YzdjNGExMDUwNGJjODllMjkifQ=="/>
  </w:docVars>
  <w:rsids>
    <w:rsidRoot w:val="3DB9737B"/>
    <w:rsid w:val="00001B69"/>
    <w:rsid w:val="0001135E"/>
    <w:rsid w:val="00024E65"/>
    <w:rsid w:val="00045E69"/>
    <w:rsid w:val="000503ED"/>
    <w:rsid w:val="00060799"/>
    <w:rsid w:val="000710D5"/>
    <w:rsid w:val="00074073"/>
    <w:rsid w:val="00075403"/>
    <w:rsid w:val="00076CEF"/>
    <w:rsid w:val="00095C12"/>
    <w:rsid w:val="00097617"/>
    <w:rsid w:val="00097F50"/>
    <w:rsid w:val="000A791B"/>
    <w:rsid w:val="000B4401"/>
    <w:rsid w:val="000B65DD"/>
    <w:rsid w:val="000C01F5"/>
    <w:rsid w:val="000C2B80"/>
    <w:rsid w:val="000E199E"/>
    <w:rsid w:val="000F3479"/>
    <w:rsid w:val="001049AA"/>
    <w:rsid w:val="00113E90"/>
    <w:rsid w:val="0011458A"/>
    <w:rsid w:val="00121501"/>
    <w:rsid w:val="0013192F"/>
    <w:rsid w:val="0013358C"/>
    <w:rsid w:val="00133C11"/>
    <w:rsid w:val="0014484A"/>
    <w:rsid w:val="001531D5"/>
    <w:rsid w:val="00157D67"/>
    <w:rsid w:val="00172325"/>
    <w:rsid w:val="00175D8A"/>
    <w:rsid w:val="00181709"/>
    <w:rsid w:val="00191EF7"/>
    <w:rsid w:val="001A6315"/>
    <w:rsid w:val="001A6AB3"/>
    <w:rsid w:val="001B40AA"/>
    <w:rsid w:val="001B5FF7"/>
    <w:rsid w:val="001C10FB"/>
    <w:rsid w:val="001C2A10"/>
    <w:rsid w:val="001C4840"/>
    <w:rsid w:val="001D0B57"/>
    <w:rsid w:val="001D75AB"/>
    <w:rsid w:val="001E32B0"/>
    <w:rsid w:val="001E3846"/>
    <w:rsid w:val="001F2313"/>
    <w:rsid w:val="002037AF"/>
    <w:rsid w:val="002047BD"/>
    <w:rsid w:val="00212F39"/>
    <w:rsid w:val="00227E7F"/>
    <w:rsid w:val="00233AB5"/>
    <w:rsid w:val="00237857"/>
    <w:rsid w:val="00237ED8"/>
    <w:rsid w:val="0024596C"/>
    <w:rsid w:val="00250A42"/>
    <w:rsid w:val="0025386A"/>
    <w:rsid w:val="00262448"/>
    <w:rsid w:val="00262B8B"/>
    <w:rsid w:val="002737EF"/>
    <w:rsid w:val="002820FC"/>
    <w:rsid w:val="0028390B"/>
    <w:rsid w:val="00292384"/>
    <w:rsid w:val="002B3DE4"/>
    <w:rsid w:val="002D3D48"/>
    <w:rsid w:val="002E28F6"/>
    <w:rsid w:val="002E39AE"/>
    <w:rsid w:val="002F133D"/>
    <w:rsid w:val="00300830"/>
    <w:rsid w:val="0030501A"/>
    <w:rsid w:val="00305DD5"/>
    <w:rsid w:val="003061C8"/>
    <w:rsid w:val="003063DA"/>
    <w:rsid w:val="003213FB"/>
    <w:rsid w:val="00325A29"/>
    <w:rsid w:val="0033109F"/>
    <w:rsid w:val="00335D6F"/>
    <w:rsid w:val="003528AA"/>
    <w:rsid w:val="00356031"/>
    <w:rsid w:val="0036231C"/>
    <w:rsid w:val="00363B14"/>
    <w:rsid w:val="003675E5"/>
    <w:rsid w:val="00381B96"/>
    <w:rsid w:val="00383C64"/>
    <w:rsid w:val="00391AB7"/>
    <w:rsid w:val="003956E3"/>
    <w:rsid w:val="003A12B7"/>
    <w:rsid w:val="003C3F05"/>
    <w:rsid w:val="003C745E"/>
    <w:rsid w:val="003E04D4"/>
    <w:rsid w:val="003E3557"/>
    <w:rsid w:val="003F2ED6"/>
    <w:rsid w:val="0041238A"/>
    <w:rsid w:val="00420B3F"/>
    <w:rsid w:val="00431CE8"/>
    <w:rsid w:val="00434F47"/>
    <w:rsid w:val="00444217"/>
    <w:rsid w:val="00445772"/>
    <w:rsid w:val="00445BC0"/>
    <w:rsid w:val="004520E3"/>
    <w:rsid w:val="00454419"/>
    <w:rsid w:val="00464C9E"/>
    <w:rsid w:val="00466865"/>
    <w:rsid w:val="004708F4"/>
    <w:rsid w:val="004760D0"/>
    <w:rsid w:val="00482354"/>
    <w:rsid w:val="004854E4"/>
    <w:rsid w:val="00490586"/>
    <w:rsid w:val="004A7977"/>
    <w:rsid w:val="004C687A"/>
    <w:rsid w:val="004D3C85"/>
    <w:rsid w:val="004D408D"/>
    <w:rsid w:val="004E7114"/>
    <w:rsid w:val="004F3E7B"/>
    <w:rsid w:val="00500284"/>
    <w:rsid w:val="00512D41"/>
    <w:rsid w:val="00516CF6"/>
    <w:rsid w:val="005210C1"/>
    <w:rsid w:val="00532B0D"/>
    <w:rsid w:val="00537725"/>
    <w:rsid w:val="00537D14"/>
    <w:rsid w:val="00544A9D"/>
    <w:rsid w:val="005474E4"/>
    <w:rsid w:val="0055761C"/>
    <w:rsid w:val="0056661A"/>
    <w:rsid w:val="00566C55"/>
    <w:rsid w:val="00571F03"/>
    <w:rsid w:val="00574D1A"/>
    <w:rsid w:val="005801CE"/>
    <w:rsid w:val="005818F2"/>
    <w:rsid w:val="00584EB5"/>
    <w:rsid w:val="00586C3C"/>
    <w:rsid w:val="00597D81"/>
    <w:rsid w:val="005B2599"/>
    <w:rsid w:val="005B369C"/>
    <w:rsid w:val="005B7614"/>
    <w:rsid w:val="005C27AD"/>
    <w:rsid w:val="005C4C47"/>
    <w:rsid w:val="005C6493"/>
    <w:rsid w:val="005C7A81"/>
    <w:rsid w:val="005D24C5"/>
    <w:rsid w:val="005D36BE"/>
    <w:rsid w:val="005D660A"/>
    <w:rsid w:val="005D6DC6"/>
    <w:rsid w:val="005E6E2E"/>
    <w:rsid w:val="005F068C"/>
    <w:rsid w:val="005F0BF4"/>
    <w:rsid w:val="005F72D3"/>
    <w:rsid w:val="00611D20"/>
    <w:rsid w:val="0062194D"/>
    <w:rsid w:val="006221EE"/>
    <w:rsid w:val="00623C86"/>
    <w:rsid w:val="00633FAD"/>
    <w:rsid w:val="0063445F"/>
    <w:rsid w:val="00643747"/>
    <w:rsid w:val="00644BCF"/>
    <w:rsid w:val="00644DE5"/>
    <w:rsid w:val="006513F1"/>
    <w:rsid w:val="00651882"/>
    <w:rsid w:val="00657D35"/>
    <w:rsid w:val="0068088C"/>
    <w:rsid w:val="00685E2A"/>
    <w:rsid w:val="006A3B0F"/>
    <w:rsid w:val="006A7568"/>
    <w:rsid w:val="006B2D75"/>
    <w:rsid w:val="006C1361"/>
    <w:rsid w:val="006C439E"/>
    <w:rsid w:val="006D10A0"/>
    <w:rsid w:val="006D3374"/>
    <w:rsid w:val="006D7C46"/>
    <w:rsid w:val="006E56F1"/>
    <w:rsid w:val="006E7354"/>
    <w:rsid w:val="006F2987"/>
    <w:rsid w:val="006F72D2"/>
    <w:rsid w:val="0071746F"/>
    <w:rsid w:val="00717603"/>
    <w:rsid w:val="00726272"/>
    <w:rsid w:val="00726336"/>
    <w:rsid w:val="00726BDA"/>
    <w:rsid w:val="0073561E"/>
    <w:rsid w:val="00746AAD"/>
    <w:rsid w:val="007614C0"/>
    <w:rsid w:val="0076692A"/>
    <w:rsid w:val="00767D39"/>
    <w:rsid w:val="00770452"/>
    <w:rsid w:val="00774C9B"/>
    <w:rsid w:val="007823BC"/>
    <w:rsid w:val="00787C36"/>
    <w:rsid w:val="00792238"/>
    <w:rsid w:val="0079361A"/>
    <w:rsid w:val="007941FE"/>
    <w:rsid w:val="00796240"/>
    <w:rsid w:val="007B2C26"/>
    <w:rsid w:val="007B35AC"/>
    <w:rsid w:val="007C4757"/>
    <w:rsid w:val="007E5FAA"/>
    <w:rsid w:val="008040F4"/>
    <w:rsid w:val="00812210"/>
    <w:rsid w:val="00816AD4"/>
    <w:rsid w:val="008179F9"/>
    <w:rsid w:val="00820624"/>
    <w:rsid w:val="008279EF"/>
    <w:rsid w:val="0083234B"/>
    <w:rsid w:val="008576CC"/>
    <w:rsid w:val="00857EFA"/>
    <w:rsid w:val="00871B98"/>
    <w:rsid w:val="00874E03"/>
    <w:rsid w:val="008A3E12"/>
    <w:rsid w:val="008B34BD"/>
    <w:rsid w:val="008B3E86"/>
    <w:rsid w:val="008D3BD7"/>
    <w:rsid w:val="008F51B1"/>
    <w:rsid w:val="009306CD"/>
    <w:rsid w:val="00943F07"/>
    <w:rsid w:val="00952308"/>
    <w:rsid w:val="009531AF"/>
    <w:rsid w:val="009624DB"/>
    <w:rsid w:val="00962B3A"/>
    <w:rsid w:val="009716FC"/>
    <w:rsid w:val="0097506E"/>
    <w:rsid w:val="00975D59"/>
    <w:rsid w:val="00984929"/>
    <w:rsid w:val="009865FC"/>
    <w:rsid w:val="00992299"/>
    <w:rsid w:val="0099484F"/>
    <w:rsid w:val="009A308F"/>
    <w:rsid w:val="009C66BC"/>
    <w:rsid w:val="009E1E25"/>
    <w:rsid w:val="009F4C8A"/>
    <w:rsid w:val="009F5B28"/>
    <w:rsid w:val="009F6794"/>
    <w:rsid w:val="00A00813"/>
    <w:rsid w:val="00A032CD"/>
    <w:rsid w:val="00A10302"/>
    <w:rsid w:val="00A11BC8"/>
    <w:rsid w:val="00A11FF9"/>
    <w:rsid w:val="00A12329"/>
    <w:rsid w:val="00A13636"/>
    <w:rsid w:val="00A234D2"/>
    <w:rsid w:val="00A31B58"/>
    <w:rsid w:val="00A32BF3"/>
    <w:rsid w:val="00A55B60"/>
    <w:rsid w:val="00A578D7"/>
    <w:rsid w:val="00A64DE5"/>
    <w:rsid w:val="00A6635D"/>
    <w:rsid w:val="00A77712"/>
    <w:rsid w:val="00A93726"/>
    <w:rsid w:val="00AA602D"/>
    <w:rsid w:val="00AB3264"/>
    <w:rsid w:val="00AC1A7A"/>
    <w:rsid w:val="00AC2AE1"/>
    <w:rsid w:val="00AD5BFF"/>
    <w:rsid w:val="00AE2042"/>
    <w:rsid w:val="00AE20BC"/>
    <w:rsid w:val="00AF04C6"/>
    <w:rsid w:val="00B115B3"/>
    <w:rsid w:val="00B1335A"/>
    <w:rsid w:val="00B17F9E"/>
    <w:rsid w:val="00B2510A"/>
    <w:rsid w:val="00B437B2"/>
    <w:rsid w:val="00B5573A"/>
    <w:rsid w:val="00B60511"/>
    <w:rsid w:val="00B636D4"/>
    <w:rsid w:val="00B71F65"/>
    <w:rsid w:val="00B7276E"/>
    <w:rsid w:val="00B75FE2"/>
    <w:rsid w:val="00B86118"/>
    <w:rsid w:val="00B86F82"/>
    <w:rsid w:val="00BA1A3A"/>
    <w:rsid w:val="00BA4C39"/>
    <w:rsid w:val="00BB1267"/>
    <w:rsid w:val="00BB228A"/>
    <w:rsid w:val="00BC730D"/>
    <w:rsid w:val="00BC77AE"/>
    <w:rsid w:val="00BD72F0"/>
    <w:rsid w:val="00BE0847"/>
    <w:rsid w:val="00BE1D21"/>
    <w:rsid w:val="00BF023C"/>
    <w:rsid w:val="00BF595D"/>
    <w:rsid w:val="00BF6E67"/>
    <w:rsid w:val="00C2281B"/>
    <w:rsid w:val="00C238FF"/>
    <w:rsid w:val="00C25210"/>
    <w:rsid w:val="00C3278E"/>
    <w:rsid w:val="00C32CFF"/>
    <w:rsid w:val="00C4755E"/>
    <w:rsid w:val="00C51958"/>
    <w:rsid w:val="00C574C0"/>
    <w:rsid w:val="00C721E3"/>
    <w:rsid w:val="00C8349E"/>
    <w:rsid w:val="00C901C3"/>
    <w:rsid w:val="00CA0A32"/>
    <w:rsid w:val="00CA2526"/>
    <w:rsid w:val="00CB6A46"/>
    <w:rsid w:val="00CB721B"/>
    <w:rsid w:val="00CC20F5"/>
    <w:rsid w:val="00CC7787"/>
    <w:rsid w:val="00CD3B13"/>
    <w:rsid w:val="00CD572A"/>
    <w:rsid w:val="00CE4A34"/>
    <w:rsid w:val="00CF08A3"/>
    <w:rsid w:val="00D10F69"/>
    <w:rsid w:val="00D14683"/>
    <w:rsid w:val="00D228CB"/>
    <w:rsid w:val="00D30676"/>
    <w:rsid w:val="00D32B37"/>
    <w:rsid w:val="00D410ED"/>
    <w:rsid w:val="00D4151B"/>
    <w:rsid w:val="00D46C10"/>
    <w:rsid w:val="00D47868"/>
    <w:rsid w:val="00D51F9D"/>
    <w:rsid w:val="00D53809"/>
    <w:rsid w:val="00D56E05"/>
    <w:rsid w:val="00D6192D"/>
    <w:rsid w:val="00D712CE"/>
    <w:rsid w:val="00D84D01"/>
    <w:rsid w:val="00D85F60"/>
    <w:rsid w:val="00D92118"/>
    <w:rsid w:val="00D943AC"/>
    <w:rsid w:val="00DA5DD7"/>
    <w:rsid w:val="00DB1868"/>
    <w:rsid w:val="00DC391D"/>
    <w:rsid w:val="00DD09CE"/>
    <w:rsid w:val="00DD0A8C"/>
    <w:rsid w:val="00DD5079"/>
    <w:rsid w:val="00DE36DB"/>
    <w:rsid w:val="00DF2E63"/>
    <w:rsid w:val="00DF4394"/>
    <w:rsid w:val="00E00F2B"/>
    <w:rsid w:val="00E01F61"/>
    <w:rsid w:val="00E059B3"/>
    <w:rsid w:val="00E24E3B"/>
    <w:rsid w:val="00E44BFC"/>
    <w:rsid w:val="00E45B3F"/>
    <w:rsid w:val="00E548A5"/>
    <w:rsid w:val="00E60F72"/>
    <w:rsid w:val="00E61C0D"/>
    <w:rsid w:val="00E66241"/>
    <w:rsid w:val="00E66329"/>
    <w:rsid w:val="00E67323"/>
    <w:rsid w:val="00E801EC"/>
    <w:rsid w:val="00E94696"/>
    <w:rsid w:val="00EA03D3"/>
    <w:rsid w:val="00EB18FC"/>
    <w:rsid w:val="00EB783F"/>
    <w:rsid w:val="00EC515C"/>
    <w:rsid w:val="00EC6697"/>
    <w:rsid w:val="00ED2712"/>
    <w:rsid w:val="00EE4194"/>
    <w:rsid w:val="00EE669D"/>
    <w:rsid w:val="00EE67DE"/>
    <w:rsid w:val="00EF04B5"/>
    <w:rsid w:val="00EF48BB"/>
    <w:rsid w:val="00EF640C"/>
    <w:rsid w:val="00EF77C4"/>
    <w:rsid w:val="00F05745"/>
    <w:rsid w:val="00F152A4"/>
    <w:rsid w:val="00F16C6C"/>
    <w:rsid w:val="00F177A5"/>
    <w:rsid w:val="00F2020F"/>
    <w:rsid w:val="00F23E3E"/>
    <w:rsid w:val="00F31AC7"/>
    <w:rsid w:val="00F451A3"/>
    <w:rsid w:val="00F4639D"/>
    <w:rsid w:val="00F54AC9"/>
    <w:rsid w:val="00F64714"/>
    <w:rsid w:val="00F800AF"/>
    <w:rsid w:val="00F82483"/>
    <w:rsid w:val="00F90A5B"/>
    <w:rsid w:val="00F96509"/>
    <w:rsid w:val="00FA1CAD"/>
    <w:rsid w:val="00FB152E"/>
    <w:rsid w:val="00FB4D57"/>
    <w:rsid w:val="00FC0737"/>
    <w:rsid w:val="00FC193C"/>
    <w:rsid w:val="00FD78FA"/>
    <w:rsid w:val="00FE3DE1"/>
    <w:rsid w:val="00FE5D2E"/>
    <w:rsid w:val="00FE7DD3"/>
    <w:rsid w:val="00FF56C1"/>
    <w:rsid w:val="01115EAF"/>
    <w:rsid w:val="011D55B7"/>
    <w:rsid w:val="01262156"/>
    <w:rsid w:val="01F550BD"/>
    <w:rsid w:val="021010B0"/>
    <w:rsid w:val="02692AA8"/>
    <w:rsid w:val="02867E41"/>
    <w:rsid w:val="03303854"/>
    <w:rsid w:val="03FF3893"/>
    <w:rsid w:val="044A30F0"/>
    <w:rsid w:val="04531FA4"/>
    <w:rsid w:val="046E63D9"/>
    <w:rsid w:val="04ED740F"/>
    <w:rsid w:val="05CF752A"/>
    <w:rsid w:val="063348E9"/>
    <w:rsid w:val="064047AA"/>
    <w:rsid w:val="06761684"/>
    <w:rsid w:val="06EA2FAC"/>
    <w:rsid w:val="07043417"/>
    <w:rsid w:val="07234021"/>
    <w:rsid w:val="07780100"/>
    <w:rsid w:val="08435A42"/>
    <w:rsid w:val="08496E8E"/>
    <w:rsid w:val="086E11F3"/>
    <w:rsid w:val="08B127F1"/>
    <w:rsid w:val="09A92635"/>
    <w:rsid w:val="0A2F5A40"/>
    <w:rsid w:val="0AC049CA"/>
    <w:rsid w:val="0B2C17A1"/>
    <w:rsid w:val="0B870ADF"/>
    <w:rsid w:val="0B933B95"/>
    <w:rsid w:val="0BCF3E7F"/>
    <w:rsid w:val="0BF16C73"/>
    <w:rsid w:val="0BFA53FB"/>
    <w:rsid w:val="0C013EAC"/>
    <w:rsid w:val="0C643A46"/>
    <w:rsid w:val="0D0519D1"/>
    <w:rsid w:val="0D1673E7"/>
    <w:rsid w:val="0D241758"/>
    <w:rsid w:val="0D3B5CCB"/>
    <w:rsid w:val="0E2346AB"/>
    <w:rsid w:val="0E5D5D2B"/>
    <w:rsid w:val="0EE73A07"/>
    <w:rsid w:val="100D16AF"/>
    <w:rsid w:val="10D60426"/>
    <w:rsid w:val="11132AF1"/>
    <w:rsid w:val="13BF61EE"/>
    <w:rsid w:val="146B49A4"/>
    <w:rsid w:val="148804A4"/>
    <w:rsid w:val="14BB0764"/>
    <w:rsid w:val="14D970EA"/>
    <w:rsid w:val="1510012F"/>
    <w:rsid w:val="15820641"/>
    <w:rsid w:val="159561DD"/>
    <w:rsid w:val="15B73437"/>
    <w:rsid w:val="15D0768A"/>
    <w:rsid w:val="16D64DB4"/>
    <w:rsid w:val="171C439F"/>
    <w:rsid w:val="176327B5"/>
    <w:rsid w:val="188D5F8D"/>
    <w:rsid w:val="19196111"/>
    <w:rsid w:val="1949411A"/>
    <w:rsid w:val="1A3F6F20"/>
    <w:rsid w:val="1B0C3982"/>
    <w:rsid w:val="1B7A4F69"/>
    <w:rsid w:val="1BDE3FF2"/>
    <w:rsid w:val="1C3F2EE2"/>
    <w:rsid w:val="1C607487"/>
    <w:rsid w:val="1CDF2916"/>
    <w:rsid w:val="1D4A48D4"/>
    <w:rsid w:val="1D551CB7"/>
    <w:rsid w:val="1DE24170"/>
    <w:rsid w:val="1E327112"/>
    <w:rsid w:val="1EF87EC0"/>
    <w:rsid w:val="1F6D5996"/>
    <w:rsid w:val="20187DAC"/>
    <w:rsid w:val="21FF50C2"/>
    <w:rsid w:val="22456E80"/>
    <w:rsid w:val="236821F0"/>
    <w:rsid w:val="23AF7450"/>
    <w:rsid w:val="23F619AF"/>
    <w:rsid w:val="2490699A"/>
    <w:rsid w:val="251A73FA"/>
    <w:rsid w:val="252B6BA9"/>
    <w:rsid w:val="252C3C08"/>
    <w:rsid w:val="26242F80"/>
    <w:rsid w:val="263E6254"/>
    <w:rsid w:val="268D5A60"/>
    <w:rsid w:val="26B12BD2"/>
    <w:rsid w:val="270B2B72"/>
    <w:rsid w:val="273F2CF0"/>
    <w:rsid w:val="27711602"/>
    <w:rsid w:val="27A47927"/>
    <w:rsid w:val="28FB1A2B"/>
    <w:rsid w:val="28FD1A35"/>
    <w:rsid w:val="2900009D"/>
    <w:rsid w:val="291A056B"/>
    <w:rsid w:val="29AC5BB4"/>
    <w:rsid w:val="2AA92401"/>
    <w:rsid w:val="2BDC1D2C"/>
    <w:rsid w:val="2BF7173A"/>
    <w:rsid w:val="2C7C1271"/>
    <w:rsid w:val="2D090620"/>
    <w:rsid w:val="2D4C758E"/>
    <w:rsid w:val="2DAB376F"/>
    <w:rsid w:val="2DC44B05"/>
    <w:rsid w:val="2EDD678B"/>
    <w:rsid w:val="2F124686"/>
    <w:rsid w:val="2FCB40C8"/>
    <w:rsid w:val="300216BE"/>
    <w:rsid w:val="30142E42"/>
    <w:rsid w:val="301B756B"/>
    <w:rsid w:val="310727BB"/>
    <w:rsid w:val="32A64454"/>
    <w:rsid w:val="3305401F"/>
    <w:rsid w:val="336D36B6"/>
    <w:rsid w:val="33843679"/>
    <w:rsid w:val="346A3E87"/>
    <w:rsid w:val="34BF3650"/>
    <w:rsid w:val="34E33662"/>
    <w:rsid w:val="34E60B94"/>
    <w:rsid w:val="36284595"/>
    <w:rsid w:val="36447962"/>
    <w:rsid w:val="36E32E57"/>
    <w:rsid w:val="37B521F9"/>
    <w:rsid w:val="37F212A4"/>
    <w:rsid w:val="380A01E7"/>
    <w:rsid w:val="397A3554"/>
    <w:rsid w:val="3981463E"/>
    <w:rsid w:val="39C65EEC"/>
    <w:rsid w:val="3A0F058D"/>
    <w:rsid w:val="3A302E7D"/>
    <w:rsid w:val="3A683CF4"/>
    <w:rsid w:val="3A7A1BEE"/>
    <w:rsid w:val="3B4C56B3"/>
    <w:rsid w:val="3B7126F0"/>
    <w:rsid w:val="3B7C0492"/>
    <w:rsid w:val="3BE643EC"/>
    <w:rsid w:val="3C605F97"/>
    <w:rsid w:val="3C6978B0"/>
    <w:rsid w:val="3C6D391E"/>
    <w:rsid w:val="3CB21257"/>
    <w:rsid w:val="3D1315A4"/>
    <w:rsid w:val="3D8C4665"/>
    <w:rsid w:val="3DB9737B"/>
    <w:rsid w:val="3DCD2FE0"/>
    <w:rsid w:val="3DF8314D"/>
    <w:rsid w:val="3E803EB9"/>
    <w:rsid w:val="3EA2275D"/>
    <w:rsid w:val="3EE934FF"/>
    <w:rsid w:val="3F6E6441"/>
    <w:rsid w:val="3F782D07"/>
    <w:rsid w:val="402F0C51"/>
    <w:rsid w:val="40E21074"/>
    <w:rsid w:val="410846AB"/>
    <w:rsid w:val="41654AEA"/>
    <w:rsid w:val="416F785E"/>
    <w:rsid w:val="4194717D"/>
    <w:rsid w:val="4207768A"/>
    <w:rsid w:val="435F7367"/>
    <w:rsid w:val="43604EB3"/>
    <w:rsid w:val="43644EFE"/>
    <w:rsid w:val="43853221"/>
    <w:rsid w:val="44BB68B2"/>
    <w:rsid w:val="44F667DE"/>
    <w:rsid w:val="45D92D5E"/>
    <w:rsid w:val="45FB3C6E"/>
    <w:rsid w:val="466E2096"/>
    <w:rsid w:val="46BD7176"/>
    <w:rsid w:val="47B765B5"/>
    <w:rsid w:val="47DE321C"/>
    <w:rsid w:val="48A05E4C"/>
    <w:rsid w:val="49640BE6"/>
    <w:rsid w:val="49DD4F0E"/>
    <w:rsid w:val="49DF0FA5"/>
    <w:rsid w:val="4A100CB6"/>
    <w:rsid w:val="4A810C8F"/>
    <w:rsid w:val="4AC72E51"/>
    <w:rsid w:val="4AEB3AA0"/>
    <w:rsid w:val="4B1E3E14"/>
    <w:rsid w:val="4BA47748"/>
    <w:rsid w:val="4BEA4D2B"/>
    <w:rsid w:val="4CA65FBF"/>
    <w:rsid w:val="4CAB0CC0"/>
    <w:rsid w:val="4CE13C95"/>
    <w:rsid w:val="4DEF6201"/>
    <w:rsid w:val="4F043681"/>
    <w:rsid w:val="4F1F29B1"/>
    <w:rsid w:val="4F250303"/>
    <w:rsid w:val="4FE91EE8"/>
    <w:rsid w:val="50263A40"/>
    <w:rsid w:val="50B146EA"/>
    <w:rsid w:val="51C92E73"/>
    <w:rsid w:val="521A74CC"/>
    <w:rsid w:val="522B4490"/>
    <w:rsid w:val="53A73C9A"/>
    <w:rsid w:val="53AC0356"/>
    <w:rsid w:val="55CF414D"/>
    <w:rsid w:val="55F829C3"/>
    <w:rsid w:val="5624166D"/>
    <w:rsid w:val="56422603"/>
    <w:rsid w:val="56C73E90"/>
    <w:rsid w:val="57430FD1"/>
    <w:rsid w:val="57465004"/>
    <w:rsid w:val="57655D08"/>
    <w:rsid w:val="576B22D6"/>
    <w:rsid w:val="589366A2"/>
    <w:rsid w:val="589D58E3"/>
    <w:rsid w:val="58CF0E23"/>
    <w:rsid w:val="59C864BD"/>
    <w:rsid w:val="59E21DA2"/>
    <w:rsid w:val="59E61341"/>
    <w:rsid w:val="5A170F60"/>
    <w:rsid w:val="5A3620A0"/>
    <w:rsid w:val="5AB03615"/>
    <w:rsid w:val="5AC47364"/>
    <w:rsid w:val="5ACD4FD7"/>
    <w:rsid w:val="5B272DEA"/>
    <w:rsid w:val="5B3238B1"/>
    <w:rsid w:val="5B83573D"/>
    <w:rsid w:val="5B93792A"/>
    <w:rsid w:val="5B9620CC"/>
    <w:rsid w:val="5BC34CD4"/>
    <w:rsid w:val="5BDD1926"/>
    <w:rsid w:val="5C33515F"/>
    <w:rsid w:val="5D66655D"/>
    <w:rsid w:val="5DC53994"/>
    <w:rsid w:val="5EAF6837"/>
    <w:rsid w:val="5F5A05EA"/>
    <w:rsid w:val="5FB12DBF"/>
    <w:rsid w:val="60B26B53"/>
    <w:rsid w:val="60C32110"/>
    <w:rsid w:val="60F14909"/>
    <w:rsid w:val="610534CA"/>
    <w:rsid w:val="61DB2685"/>
    <w:rsid w:val="62294B3B"/>
    <w:rsid w:val="625112C4"/>
    <w:rsid w:val="62645755"/>
    <w:rsid w:val="631370BE"/>
    <w:rsid w:val="63B82F67"/>
    <w:rsid w:val="63D8616B"/>
    <w:rsid w:val="64C46A5A"/>
    <w:rsid w:val="655F16CC"/>
    <w:rsid w:val="656D7787"/>
    <w:rsid w:val="657222B7"/>
    <w:rsid w:val="65FD7913"/>
    <w:rsid w:val="665734A7"/>
    <w:rsid w:val="66632CA7"/>
    <w:rsid w:val="66D42141"/>
    <w:rsid w:val="67280F1F"/>
    <w:rsid w:val="67620A31"/>
    <w:rsid w:val="67731BCD"/>
    <w:rsid w:val="68483140"/>
    <w:rsid w:val="693E2367"/>
    <w:rsid w:val="6969135F"/>
    <w:rsid w:val="69CD51FE"/>
    <w:rsid w:val="6A13391A"/>
    <w:rsid w:val="6A1F1768"/>
    <w:rsid w:val="6A664D1D"/>
    <w:rsid w:val="6A9937D2"/>
    <w:rsid w:val="6B673089"/>
    <w:rsid w:val="6BAA246A"/>
    <w:rsid w:val="6BD85D34"/>
    <w:rsid w:val="6D084A1B"/>
    <w:rsid w:val="6D222F88"/>
    <w:rsid w:val="6DFA491C"/>
    <w:rsid w:val="6E3F0069"/>
    <w:rsid w:val="6E590186"/>
    <w:rsid w:val="6E69769E"/>
    <w:rsid w:val="6EA463A2"/>
    <w:rsid w:val="6ECA1CD2"/>
    <w:rsid w:val="6EEA3025"/>
    <w:rsid w:val="6EF40989"/>
    <w:rsid w:val="6F340E11"/>
    <w:rsid w:val="6F634AA4"/>
    <w:rsid w:val="6FA611F6"/>
    <w:rsid w:val="700215D2"/>
    <w:rsid w:val="700F44A1"/>
    <w:rsid w:val="706565E5"/>
    <w:rsid w:val="71672C56"/>
    <w:rsid w:val="717958C4"/>
    <w:rsid w:val="71EF4965"/>
    <w:rsid w:val="72031D2C"/>
    <w:rsid w:val="72E66F89"/>
    <w:rsid w:val="73075E82"/>
    <w:rsid w:val="738F0E39"/>
    <w:rsid w:val="73F92CEC"/>
    <w:rsid w:val="75E82FA9"/>
    <w:rsid w:val="76263B40"/>
    <w:rsid w:val="76403B71"/>
    <w:rsid w:val="768B5F4A"/>
    <w:rsid w:val="76A23659"/>
    <w:rsid w:val="76B4247D"/>
    <w:rsid w:val="77020109"/>
    <w:rsid w:val="77163BB5"/>
    <w:rsid w:val="77540E2F"/>
    <w:rsid w:val="779851C1"/>
    <w:rsid w:val="77D45F4A"/>
    <w:rsid w:val="784C67B0"/>
    <w:rsid w:val="785D51A5"/>
    <w:rsid w:val="78D22DC0"/>
    <w:rsid w:val="791C3833"/>
    <w:rsid w:val="793F2B16"/>
    <w:rsid w:val="7B070B9F"/>
    <w:rsid w:val="7B676C1A"/>
    <w:rsid w:val="7C0B5234"/>
    <w:rsid w:val="7C264C3C"/>
    <w:rsid w:val="7C772AB5"/>
    <w:rsid w:val="7D193034"/>
    <w:rsid w:val="7DD85346"/>
    <w:rsid w:val="7E00714D"/>
    <w:rsid w:val="7E3A462D"/>
    <w:rsid w:val="7E8139B8"/>
    <w:rsid w:val="7EDD1D0B"/>
    <w:rsid w:val="7F264BB1"/>
    <w:rsid w:val="7F6A0F42"/>
    <w:rsid w:val="7FC73325"/>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iPriority="1" w:name="Default Paragraph Font"/>
    <w:lsdException w:qFormat="1" w:uiPriority="99" w:name="Body Text" w:locked="1"/>
    <w:lsdException w:qFormat="1" w:unhideWhenUsed="0" w:uiPriority="99" w:semiHidden="0" w:name="Body Text Indent"/>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qFormat="1"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iPriority="99" w:name="Balloon Text" w:locked="1"/>
    <w:lsdException w:qFormat="1" w:unhideWhenUsed="0" w:uiPriority="9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spacing w:line="560" w:lineRule="exact"/>
      <w:jc w:val="both"/>
    </w:pPr>
    <w:rPr>
      <w:rFonts w:ascii="宋体" w:hAnsi="Calibri" w:eastAsia="宋体" w:cs="宋体"/>
      <w:color w:val="000000"/>
      <w:sz w:val="24"/>
      <w:szCs w:val="24"/>
      <w:lang w:val="en-US" w:eastAsia="zh-CN" w:bidi="ar-SA"/>
    </w:rPr>
  </w:style>
  <w:style w:type="paragraph" w:styleId="3">
    <w:name w:val="Body Text"/>
    <w:basedOn w:val="1"/>
    <w:semiHidden/>
    <w:unhideWhenUsed/>
    <w:qFormat/>
    <w:locked/>
    <w:uiPriority w:val="99"/>
    <w:pPr>
      <w:spacing w:after="120" w:afterLines="0" w:afterAutospacing="0"/>
    </w:pPr>
  </w:style>
  <w:style w:type="paragraph" w:styleId="4">
    <w:name w:val="Body Text Indent"/>
    <w:basedOn w:val="1"/>
    <w:next w:val="5"/>
    <w:link w:val="13"/>
    <w:qFormat/>
    <w:uiPriority w:val="99"/>
    <w:pPr>
      <w:ind w:firstLine="200" w:firstLineChars="200"/>
    </w:pPr>
    <w:rPr>
      <w:rFonts w:eastAsia="仿宋_GB2312"/>
      <w:sz w:val="32"/>
      <w:szCs w:val="18"/>
    </w:rPr>
  </w:style>
  <w:style w:type="paragraph" w:styleId="5">
    <w:name w:val="footer"/>
    <w:basedOn w:val="1"/>
    <w:link w:val="14"/>
    <w:qFormat/>
    <w:uiPriority w:val="99"/>
    <w:pPr>
      <w:tabs>
        <w:tab w:val="center" w:pos="4153"/>
        <w:tab w:val="right" w:pos="8306"/>
      </w:tabs>
      <w:snapToGrid w:val="0"/>
      <w:jc w:val="left"/>
    </w:pPr>
    <w:rPr>
      <w:sz w:val="18"/>
      <w:szCs w:val="18"/>
    </w:rPr>
  </w:style>
  <w:style w:type="paragraph" w:styleId="6">
    <w:name w:val="Date"/>
    <w:basedOn w:val="1"/>
    <w:next w:val="1"/>
    <w:link w:val="18"/>
    <w:semiHidden/>
    <w:unhideWhenUsed/>
    <w:qFormat/>
    <w:locked/>
    <w:uiPriority w:val="99"/>
    <w:pPr>
      <w:ind w:left="100" w:leftChars="2500"/>
    </w:pPr>
  </w:style>
  <w:style w:type="paragraph" w:styleId="7">
    <w:name w:val="Balloon Text"/>
    <w:basedOn w:val="1"/>
    <w:link w:val="17"/>
    <w:semiHidden/>
    <w:unhideWhenUsed/>
    <w:qFormat/>
    <w:locked/>
    <w:uiPriority w:val="99"/>
    <w:rPr>
      <w:sz w:val="18"/>
      <w:szCs w:val="18"/>
    </w:rPr>
  </w:style>
  <w:style w:type="paragraph" w:styleId="8">
    <w:name w:val="header"/>
    <w:basedOn w:val="1"/>
    <w:link w:val="15"/>
    <w:qFormat/>
    <w:uiPriority w:val="99"/>
    <w:pPr>
      <w:pBdr>
        <w:bottom w:val="single" w:color="auto" w:sz="6" w:space="1"/>
      </w:pBdr>
      <w:tabs>
        <w:tab w:val="center" w:pos="4153"/>
        <w:tab w:val="right" w:pos="8306"/>
      </w:tabs>
      <w:snapToGrid w:val="0"/>
      <w:jc w:val="center"/>
    </w:pPr>
    <w:rPr>
      <w:sz w:val="18"/>
      <w:szCs w:val="18"/>
    </w:rPr>
  </w:style>
  <w:style w:type="table" w:styleId="10">
    <w:name w:val="Table Grid"/>
    <w:basedOn w:val="9"/>
    <w:qFormat/>
    <w:locked/>
    <w:uiPriority w:val="99"/>
    <w:pPr>
      <w:widowControl w:val="0"/>
      <w:jc w:val="both"/>
    </w:pPr>
    <w:rPr>
      <w:rFonts w:ascii="Times New Roman" w:hAnsi="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Hyperlink"/>
    <w:basedOn w:val="11"/>
    <w:semiHidden/>
    <w:unhideWhenUsed/>
    <w:qFormat/>
    <w:locked/>
    <w:uiPriority w:val="99"/>
    <w:rPr>
      <w:color w:val="0000FF"/>
      <w:u w:val="single"/>
    </w:rPr>
  </w:style>
  <w:style w:type="character" w:customStyle="1" w:styleId="13">
    <w:name w:val="正文文本缩进 Char"/>
    <w:link w:val="4"/>
    <w:qFormat/>
    <w:locked/>
    <w:uiPriority w:val="99"/>
    <w:rPr>
      <w:rFonts w:ascii="Times New Roman" w:hAnsi="Times New Roman" w:eastAsia="仿宋_GB2312" w:cs="Times New Roman"/>
      <w:kern w:val="2"/>
      <w:sz w:val="18"/>
      <w:szCs w:val="18"/>
      <w:lang w:val="en-US" w:eastAsia="zh-CN" w:bidi="ar-SA"/>
    </w:rPr>
  </w:style>
  <w:style w:type="character" w:customStyle="1" w:styleId="14">
    <w:name w:val="页脚 Char"/>
    <w:link w:val="5"/>
    <w:qFormat/>
    <w:locked/>
    <w:uiPriority w:val="99"/>
    <w:rPr>
      <w:rFonts w:ascii="Times New Roman" w:hAnsi="Times New Roman" w:cs="Times New Roman"/>
      <w:kern w:val="2"/>
      <w:sz w:val="18"/>
      <w:szCs w:val="18"/>
    </w:rPr>
  </w:style>
  <w:style w:type="character" w:customStyle="1" w:styleId="15">
    <w:name w:val="页眉 Char"/>
    <w:link w:val="8"/>
    <w:qFormat/>
    <w:locked/>
    <w:uiPriority w:val="99"/>
    <w:rPr>
      <w:rFonts w:ascii="Times New Roman" w:hAnsi="Times New Roman" w:cs="Times New Roman"/>
      <w:kern w:val="2"/>
      <w:sz w:val="18"/>
      <w:szCs w:val="18"/>
    </w:rPr>
  </w:style>
  <w:style w:type="paragraph" w:styleId="16">
    <w:name w:val="List Paragraph"/>
    <w:basedOn w:val="1"/>
    <w:qFormat/>
    <w:uiPriority w:val="99"/>
    <w:pPr>
      <w:ind w:firstLine="420" w:firstLineChars="200"/>
    </w:pPr>
  </w:style>
  <w:style w:type="character" w:customStyle="1" w:styleId="17">
    <w:name w:val="批注框文本 Char"/>
    <w:link w:val="7"/>
    <w:semiHidden/>
    <w:qFormat/>
    <w:uiPriority w:val="99"/>
    <w:rPr>
      <w:rFonts w:ascii="Times New Roman" w:hAnsi="Times New Roman"/>
      <w:kern w:val="2"/>
      <w:sz w:val="18"/>
      <w:szCs w:val="18"/>
    </w:rPr>
  </w:style>
  <w:style w:type="character" w:customStyle="1" w:styleId="18">
    <w:name w:val="日期 Char"/>
    <w:basedOn w:val="11"/>
    <w:link w:val="6"/>
    <w:semiHidden/>
    <w:qFormat/>
    <w:uiPriority w:val="99"/>
    <w:rPr>
      <w:rFonts w:ascii="Times New Roman" w:hAnsi="Times New Roman"/>
      <w:kern w:val="2"/>
      <w:sz w:val="21"/>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Pages>
  <Words>3945</Words>
  <Characters>4023</Characters>
  <Lines>19</Lines>
  <Paragraphs>5</Paragraphs>
  <TotalTime>23</TotalTime>
  <ScaleCrop>false</ScaleCrop>
  <LinksUpToDate>false</LinksUpToDate>
  <CharactersWithSpaces>4181</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2019-11-22T07:09:00Z</dcterms:created>
  <dc:creator>Administrator</dc:creator>
  <cp:lastModifiedBy>LENOVO</cp:lastModifiedBy>
  <cp:lastPrinted>2023-11-10T07:59:00Z</cp:lastPrinted>
  <dcterms:modified xsi:type="dcterms:W3CDTF">2024-10-25T02:27:40Z</dcterms:modified>
  <dc:title>威海市2017年休闲观光农业建设实施方案</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306BD4C4B1954C2185AD1998229E76BB</vt:lpwstr>
  </property>
</Properties>
</file>