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5BECC9">
      <w:pPr>
        <w:pStyle w:val="4"/>
        <w:widowControl/>
        <w:shd w:val="clear" w:color="auto" w:fill="FFFFFF"/>
        <w:spacing w:beforeAutospacing="0" w:afterAutospacing="0" w:line="560" w:lineRule="exact"/>
        <w:jc w:val="both"/>
        <w:rPr>
          <w:rFonts w:ascii="方正小标宋简体" w:hAnsi="方正小标宋简体" w:eastAsia="方正小标宋简体" w:cs="方正小标宋简体"/>
          <w:bCs/>
          <w:color w:val="333333"/>
          <w:sz w:val="44"/>
          <w:szCs w:val="44"/>
          <w:shd w:val="clear" w:color="auto" w:fill="FFFFFF"/>
        </w:rPr>
      </w:pPr>
    </w:p>
    <w:p w14:paraId="5AA4229B">
      <w:pPr>
        <w:pStyle w:val="4"/>
        <w:widowControl/>
        <w:shd w:val="clear" w:color="auto" w:fill="FFFFFF"/>
        <w:spacing w:beforeAutospacing="0" w:afterAutospacing="0" w:line="560" w:lineRule="exact"/>
        <w:jc w:val="center"/>
        <w:rPr>
          <w:rFonts w:ascii="方正小标宋简体" w:hAnsi="方正小标宋简体" w:eastAsia="方正小标宋简体" w:cs="方正小标宋简体"/>
          <w:bCs/>
          <w:spacing w:val="-17"/>
          <w:sz w:val="44"/>
          <w:szCs w:val="44"/>
          <w:shd w:val="clear" w:color="auto" w:fill="FFFFFF"/>
        </w:rPr>
      </w:pPr>
      <w:r>
        <w:rPr>
          <w:rFonts w:hint="eastAsia" w:ascii="方正小标宋简体" w:hAnsi="方正小标宋简体" w:eastAsia="方正小标宋简体" w:cs="方正小标宋简体"/>
          <w:bCs/>
          <w:spacing w:val="-17"/>
          <w:sz w:val="44"/>
          <w:szCs w:val="44"/>
          <w:shd w:val="clear" w:color="auto" w:fill="FFFFFF"/>
        </w:rPr>
        <w:t>威海市环翠区海洋发展局</w:t>
      </w:r>
    </w:p>
    <w:p w14:paraId="5637C765">
      <w:pPr>
        <w:pStyle w:val="4"/>
        <w:widowControl/>
        <w:shd w:val="clear" w:color="auto" w:fill="FFFFFF"/>
        <w:spacing w:beforeAutospacing="0" w:afterAutospacing="0" w:line="560" w:lineRule="exact"/>
        <w:jc w:val="center"/>
        <w:rPr>
          <w:rFonts w:ascii="方正小标宋简体" w:hAnsi="方正小标宋简体" w:eastAsia="方正小标宋简体" w:cs="方正小标宋简体"/>
          <w:bCs/>
          <w:spacing w:val="-17"/>
          <w:sz w:val="44"/>
          <w:szCs w:val="44"/>
          <w:shd w:val="clear" w:color="auto" w:fill="FFFFFF"/>
        </w:rPr>
      </w:pPr>
      <w:r>
        <w:rPr>
          <w:rFonts w:hint="eastAsia" w:ascii="方正小标宋简体" w:hAnsi="方正小标宋简体" w:eastAsia="方正小标宋简体" w:cs="方正小标宋简体"/>
          <w:bCs/>
          <w:spacing w:val="-17"/>
          <w:sz w:val="44"/>
          <w:szCs w:val="44"/>
          <w:shd w:val="clear" w:color="auto" w:fill="FFFFFF"/>
        </w:rPr>
        <w:t>2023年政府信息公开工作年度报告</w:t>
      </w:r>
    </w:p>
    <w:p w14:paraId="1224F7C1">
      <w:pPr>
        <w:pStyle w:val="4"/>
        <w:widowControl/>
        <w:autoSpaceDE w:val="0"/>
        <w:spacing w:beforeAutospacing="0" w:afterAutospacing="0" w:line="560" w:lineRule="exact"/>
        <w:jc w:val="both"/>
        <w:rPr>
          <w:rFonts w:ascii="Times New Roman" w:hAnsi="Times New Roman" w:eastAsia="仿宋_GB2312"/>
          <w:color w:val="000000"/>
          <w:sz w:val="32"/>
          <w:szCs w:val="32"/>
        </w:rPr>
      </w:pPr>
    </w:p>
    <w:p w14:paraId="18D56A25">
      <w:pPr>
        <w:pStyle w:val="4"/>
        <w:widowControl/>
        <w:autoSpaceDE w:val="0"/>
        <w:spacing w:beforeAutospacing="0" w:afterAutospacing="0" w:line="560" w:lineRule="exact"/>
        <w:ind w:firstLine="645"/>
        <w:jc w:val="both"/>
        <w:rPr>
          <w:rFonts w:ascii="Times New Roman" w:hAnsi="Times New Roman"/>
          <w:sz w:val="32"/>
          <w:szCs w:val="32"/>
        </w:rPr>
      </w:pPr>
      <w:r>
        <w:rPr>
          <w:rFonts w:ascii="Times New Roman" w:hAnsi="Times New Roman" w:eastAsia="仿宋_GB2312"/>
          <w:color w:val="000000"/>
          <w:sz w:val="32"/>
          <w:szCs w:val="32"/>
        </w:rPr>
        <w:t>根据《中华人民共和国政府信息公开条例》（国务院令第</w:t>
      </w:r>
      <w:r>
        <w:rPr>
          <w:rFonts w:ascii="Times New Roman" w:hAnsi="Times New Roman"/>
          <w:color w:val="000000"/>
          <w:sz w:val="32"/>
          <w:szCs w:val="32"/>
        </w:rPr>
        <w:t>711</w:t>
      </w:r>
      <w:r>
        <w:rPr>
          <w:rFonts w:ascii="Times New Roman" w:hAnsi="Times New Roman" w:eastAsia="仿宋_GB2312"/>
          <w:color w:val="000000"/>
          <w:sz w:val="32"/>
          <w:szCs w:val="32"/>
        </w:rPr>
        <w:t>号，以下简称《条例》）和《中华人民共和国政府信息公开工</w:t>
      </w:r>
      <w:r>
        <w:rPr>
          <w:rFonts w:ascii="Times New Roman" w:hAnsi="Times New Roman" w:eastAsia="仿宋_GB2312"/>
          <w:sz w:val="32"/>
          <w:szCs w:val="32"/>
        </w:rPr>
        <w:t>作年度报告格式》（国办公开办函〔</w:t>
      </w:r>
      <w:r>
        <w:rPr>
          <w:rFonts w:ascii="Times New Roman" w:hAnsi="Times New Roman"/>
          <w:sz w:val="32"/>
          <w:szCs w:val="32"/>
        </w:rPr>
        <w:t>2021</w:t>
      </w:r>
      <w:r>
        <w:rPr>
          <w:rFonts w:ascii="Times New Roman" w:hAnsi="Times New Roman" w:eastAsia="仿宋_GB2312"/>
          <w:sz w:val="32"/>
          <w:szCs w:val="32"/>
        </w:rPr>
        <w:t>〕30号）要求，结合</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年威海市环翠区</w:t>
      </w:r>
      <w:r>
        <w:rPr>
          <w:rFonts w:hint="eastAsia" w:ascii="Times New Roman" w:hAnsi="Times New Roman" w:eastAsia="仿宋_GB2312"/>
          <w:sz w:val="32"/>
          <w:szCs w:val="32"/>
        </w:rPr>
        <w:t>海洋发展局</w:t>
      </w:r>
      <w:r>
        <w:rPr>
          <w:rFonts w:ascii="Times New Roman" w:hAnsi="Times New Roman" w:eastAsia="仿宋_GB2312"/>
          <w:sz w:val="32"/>
          <w:szCs w:val="32"/>
        </w:rPr>
        <w:t>政府信息公开工作实际，编制发布本报告。</w:t>
      </w:r>
    </w:p>
    <w:p w14:paraId="096E8F47">
      <w:pPr>
        <w:pStyle w:val="4"/>
        <w:widowControl/>
        <w:autoSpaceDE w:val="0"/>
        <w:spacing w:beforeAutospacing="0" w:afterAutospacing="0" w:line="560" w:lineRule="exact"/>
        <w:ind w:firstLine="645"/>
        <w:jc w:val="both"/>
        <w:rPr>
          <w:rFonts w:ascii="Times New Roman" w:hAnsi="Times New Roman" w:eastAsia="仿宋_GB2312"/>
          <w:sz w:val="32"/>
          <w:szCs w:val="32"/>
        </w:rPr>
      </w:pPr>
      <w:r>
        <w:rPr>
          <w:rFonts w:ascii="Times New Roman" w:hAnsi="Times New Roman" w:eastAsia="仿宋_GB2312"/>
          <w:sz w:val="32"/>
          <w:szCs w:val="32"/>
        </w:rPr>
        <w:t>本报告内容包括：总体情况、主动公开政府信息情况、收到和处理政府信息公开申请情况、政府信息公开行政复议</w:t>
      </w:r>
      <w:r>
        <w:rPr>
          <w:rFonts w:hint="eastAsia" w:ascii="Times New Roman" w:hAnsi="Times New Roman" w:eastAsia="仿宋_GB2312"/>
          <w:sz w:val="32"/>
          <w:szCs w:val="32"/>
        </w:rPr>
        <w:t>及</w:t>
      </w:r>
      <w:r>
        <w:rPr>
          <w:rFonts w:ascii="Times New Roman" w:hAnsi="Times New Roman" w:eastAsia="仿宋_GB2312"/>
          <w:sz w:val="32"/>
          <w:szCs w:val="32"/>
        </w:rPr>
        <w:t>行政诉讼情况、存在的主要问题及改进情况、其他事项，以及相关指标统计附表等。报告中所列数据统计期限从202</w:t>
      </w:r>
      <w:r>
        <w:rPr>
          <w:rFonts w:hint="eastAsia" w:ascii="Times New Roman" w:hAnsi="Times New Roman" w:eastAsia="仿宋_GB2312"/>
          <w:sz w:val="32"/>
          <w:szCs w:val="32"/>
        </w:rPr>
        <w:t>3</w:t>
      </w:r>
      <w:r>
        <w:rPr>
          <w:rFonts w:ascii="Times New Roman" w:hAnsi="Times New Roman" w:eastAsia="仿宋_GB2312"/>
          <w:sz w:val="32"/>
          <w:szCs w:val="32"/>
        </w:rPr>
        <w:t>年1月1日到12月31日止。报告电子版可从</w:t>
      </w:r>
      <w:r>
        <w:rPr>
          <w:rFonts w:hint="eastAsia" w:ascii="Times New Roman" w:hAnsi="Times New Roman" w:eastAsia="仿宋_GB2312"/>
          <w:sz w:val="32"/>
          <w:szCs w:val="32"/>
        </w:rPr>
        <w:t>威海市环翠区人民政府网站</w:t>
      </w:r>
      <w:r>
        <w:rPr>
          <w:rFonts w:ascii="Times New Roman" w:hAnsi="Times New Roman" w:eastAsia="仿宋_GB2312"/>
          <w:sz w:val="32"/>
          <w:szCs w:val="32"/>
        </w:rPr>
        <w:t>（</w:t>
      </w:r>
      <w:r>
        <w:rPr>
          <w:rFonts w:hint="eastAsia" w:ascii="Times New Roman" w:hAnsi="Times New Roman" w:eastAsia="仿宋_GB2312"/>
          <w:sz w:val="32"/>
          <w:szCs w:val="32"/>
        </w:rPr>
        <w:t>网址：</w:t>
      </w:r>
      <w:r>
        <w:rPr>
          <w:rFonts w:ascii="Times New Roman" w:hAnsi="Times New Roman" w:eastAsia="仿宋_GB2312"/>
          <w:sz w:val="32"/>
          <w:szCs w:val="32"/>
        </w:rPr>
        <w:t>http://www.huancui.gov.cn）查阅或下载。公众如需进一步咨询了解相关信息，请与</w:t>
      </w:r>
      <w:r>
        <w:rPr>
          <w:rFonts w:hint="eastAsia" w:ascii="Times New Roman" w:hAnsi="Times New Roman" w:eastAsia="仿宋_GB2312"/>
          <w:sz w:val="32"/>
          <w:szCs w:val="32"/>
        </w:rPr>
        <w:t>威海市环翠区海洋发展局</w:t>
      </w:r>
      <w:r>
        <w:rPr>
          <w:rFonts w:ascii="Times New Roman" w:hAnsi="Times New Roman" w:eastAsia="仿宋_GB2312"/>
          <w:sz w:val="32"/>
          <w:szCs w:val="32"/>
        </w:rPr>
        <w:t>联系（地址：威海市环翠区渔港路68号五楼，电话：</w:t>
      </w:r>
      <w:r>
        <w:rPr>
          <w:rFonts w:hint="eastAsia" w:ascii="Times New Roman" w:hAnsi="Times New Roman" w:eastAsia="仿宋_GB2312"/>
          <w:sz w:val="32"/>
          <w:szCs w:val="32"/>
        </w:rPr>
        <w:t>0631-5322942</w:t>
      </w:r>
      <w:r>
        <w:rPr>
          <w:rFonts w:ascii="Times New Roman" w:hAnsi="Times New Roman" w:eastAsia="仿宋_GB2312"/>
          <w:sz w:val="32"/>
          <w:szCs w:val="32"/>
        </w:rPr>
        <w:t>）。</w:t>
      </w:r>
    </w:p>
    <w:p w14:paraId="10EBA1C0">
      <w:pPr>
        <w:pStyle w:val="4"/>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rPr>
      </w:pPr>
      <w:r>
        <w:rPr>
          <w:rFonts w:hint="eastAsia" w:ascii="黑体" w:hAnsi="黑体" w:eastAsia="黑体" w:cs="黑体"/>
          <w:bCs/>
          <w:color w:val="333333"/>
          <w:sz w:val="32"/>
          <w:szCs w:val="32"/>
          <w:shd w:val="clear" w:color="auto" w:fill="FFFFFF"/>
        </w:rPr>
        <w:t>一、总体情况</w:t>
      </w:r>
    </w:p>
    <w:p w14:paraId="704A5D48">
      <w:pPr>
        <w:pStyle w:val="4"/>
        <w:widowControl/>
        <w:autoSpaceDE w:val="0"/>
        <w:spacing w:beforeAutospacing="0" w:afterAutospacing="0" w:line="560" w:lineRule="exact"/>
        <w:ind w:firstLine="645"/>
        <w:jc w:val="both"/>
        <w:rPr>
          <w:rFonts w:ascii="Times New Roman" w:hAnsi="Times New Roman" w:eastAsia="仿宋_GB2312"/>
          <w:sz w:val="32"/>
          <w:szCs w:val="32"/>
        </w:rPr>
      </w:pPr>
      <w:r>
        <w:rPr>
          <w:rFonts w:ascii="Times New Roman" w:hAnsi="Times New Roman" w:eastAsia="仿宋_GB2312"/>
          <w:sz w:val="32"/>
          <w:szCs w:val="32"/>
        </w:rPr>
        <w:t>202</w:t>
      </w:r>
      <w:r>
        <w:rPr>
          <w:rFonts w:hint="eastAsia" w:ascii="Times New Roman" w:hAnsi="Times New Roman" w:eastAsia="仿宋_GB2312"/>
          <w:sz w:val="32"/>
          <w:szCs w:val="32"/>
        </w:rPr>
        <w:t>3</w:t>
      </w:r>
      <w:r>
        <w:rPr>
          <w:rFonts w:ascii="Times New Roman" w:hAnsi="Times New Roman" w:eastAsia="仿宋_GB2312"/>
          <w:sz w:val="32"/>
          <w:szCs w:val="32"/>
        </w:rPr>
        <w:t>年，</w:t>
      </w:r>
      <w:r>
        <w:rPr>
          <w:rFonts w:hint="eastAsia" w:ascii="Times New Roman" w:hAnsi="Times New Roman" w:eastAsia="仿宋_GB2312"/>
          <w:sz w:val="32"/>
          <w:szCs w:val="32"/>
        </w:rPr>
        <w:t>环翠区海洋发展局</w:t>
      </w:r>
      <w:r>
        <w:rPr>
          <w:rFonts w:ascii="Times New Roman" w:hAnsi="Times New Roman" w:eastAsia="仿宋_GB2312"/>
          <w:sz w:val="32"/>
          <w:szCs w:val="32"/>
        </w:rPr>
        <w:t>局深入贯彻落实国家、省、市</w:t>
      </w:r>
      <w:r>
        <w:rPr>
          <w:rFonts w:hint="eastAsia" w:ascii="Times New Roman" w:hAnsi="Times New Roman" w:eastAsia="仿宋_GB2312"/>
          <w:sz w:val="32"/>
          <w:szCs w:val="32"/>
        </w:rPr>
        <w:t>、区</w:t>
      </w:r>
      <w:r>
        <w:rPr>
          <w:rFonts w:ascii="Times New Roman" w:hAnsi="Times New Roman" w:eastAsia="仿宋_GB2312"/>
          <w:sz w:val="32"/>
          <w:szCs w:val="32"/>
        </w:rPr>
        <w:t>关于推进政务公开的部署要求，紧紧围绕</w:t>
      </w:r>
      <w:r>
        <w:rPr>
          <w:rFonts w:hint="eastAsia" w:ascii="Times New Roman" w:hAnsi="Times New Roman" w:eastAsia="仿宋_GB2312"/>
          <w:sz w:val="32"/>
          <w:szCs w:val="32"/>
        </w:rPr>
        <w:t>海洋发展</w:t>
      </w:r>
      <w:r>
        <w:rPr>
          <w:rFonts w:ascii="Times New Roman" w:hAnsi="Times New Roman" w:eastAsia="仿宋_GB2312"/>
          <w:sz w:val="32"/>
          <w:szCs w:val="32"/>
        </w:rPr>
        <w:t>中心工作，持续深化政务公开内容，全面提升政务公开质量，有效提高政务公开水平。</w:t>
      </w:r>
    </w:p>
    <w:p w14:paraId="13BC6E84">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1.</w:t>
      </w:r>
      <w:r>
        <w:rPr>
          <w:rFonts w:hint="eastAsia" w:ascii="楷体_GB2312" w:hAnsi="楷体_GB2312" w:eastAsia="楷体_GB2312" w:cs="楷体_GB2312"/>
          <w:bCs/>
          <w:sz w:val="32"/>
          <w:szCs w:val="32"/>
        </w:rPr>
        <w:t>主动公开方面。</w:t>
      </w:r>
      <w:r>
        <w:rPr>
          <w:rFonts w:ascii="Times New Roman" w:hAnsi="Times New Roman" w:eastAsia="仿宋_GB2312" w:cs="Times New Roman"/>
          <w:bCs/>
          <w:sz w:val="32"/>
          <w:szCs w:val="32"/>
        </w:rPr>
        <w:t>落实主动公开责任，及时公开</w:t>
      </w:r>
      <w:r>
        <w:rPr>
          <w:rFonts w:hint="eastAsia" w:ascii="Times New Roman" w:hAnsi="Times New Roman" w:eastAsia="仿宋_GB2312" w:cs="Times New Roman"/>
          <w:bCs/>
          <w:sz w:val="32"/>
          <w:szCs w:val="32"/>
        </w:rPr>
        <w:t>机构职能</w:t>
      </w:r>
      <w:r>
        <w:rPr>
          <w:rFonts w:ascii="Times New Roman" w:hAnsi="Times New Roman" w:eastAsia="仿宋_GB2312" w:cs="Times New Roman"/>
          <w:bCs/>
          <w:sz w:val="32"/>
          <w:szCs w:val="32"/>
        </w:rPr>
        <w:t>、工作动态、重点领域等信息。202</w:t>
      </w:r>
      <w:r>
        <w:rPr>
          <w:rFonts w:hint="eastAsia" w:ascii="Times New Roman" w:hAnsi="Times New Roman" w:eastAsia="仿宋_GB2312" w:cs="Times New Roman"/>
          <w:bCs/>
          <w:sz w:val="32"/>
          <w:szCs w:val="32"/>
        </w:rPr>
        <w:t>3</w:t>
      </w:r>
      <w:r>
        <w:rPr>
          <w:rFonts w:ascii="Times New Roman" w:hAnsi="Times New Roman" w:eastAsia="仿宋_GB2312" w:cs="Times New Roman"/>
          <w:bCs/>
          <w:sz w:val="32"/>
          <w:szCs w:val="32"/>
        </w:rPr>
        <w:t>年，我局通过</w:t>
      </w:r>
      <w:r>
        <w:rPr>
          <w:rFonts w:hint="eastAsia" w:ascii="Times New Roman" w:hAnsi="Times New Roman" w:eastAsia="仿宋_GB2312" w:cs="Times New Roman"/>
          <w:bCs/>
          <w:sz w:val="32"/>
          <w:szCs w:val="32"/>
        </w:rPr>
        <w:t>环翠政务网公开信息132条</w:t>
      </w:r>
      <w:r>
        <w:rPr>
          <w:rFonts w:ascii="Times New Roman" w:hAnsi="Times New Roman" w:eastAsia="仿宋_GB2312" w:cs="Times New Roman"/>
          <w:bCs/>
          <w:sz w:val="32"/>
          <w:szCs w:val="32"/>
        </w:rPr>
        <w:t>，</w:t>
      </w:r>
      <w:r>
        <w:rPr>
          <w:rFonts w:hint="eastAsia" w:ascii="Times New Roman" w:hAnsi="Times New Roman" w:eastAsia="仿宋_GB2312" w:cs="Times New Roman"/>
          <w:bCs/>
          <w:sz w:val="32"/>
          <w:szCs w:val="32"/>
        </w:rPr>
        <w:t>最威海是环翠APP政务号156条</w:t>
      </w:r>
      <w:r>
        <w:rPr>
          <w:rFonts w:ascii="Times New Roman" w:hAnsi="Times New Roman" w:eastAsia="仿宋_GB2312" w:cs="Times New Roman"/>
          <w:bCs/>
          <w:sz w:val="32"/>
          <w:szCs w:val="32"/>
        </w:rPr>
        <w:t>，</w:t>
      </w:r>
      <w:r>
        <w:rPr>
          <w:rFonts w:hint="eastAsia" w:ascii="Times New Roman" w:hAnsi="Times New Roman" w:eastAsia="仿宋_GB2312" w:cs="Times New Roman"/>
          <w:bCs/>
          <w:sz w:val="32"/>
          <w:szCs w:val="32"/>
        </w:rPr>
        <w:t>海上环翠</w:t>
      </w:r>
      <w:r>
        <w:rPr>
          <w:rFonts w:ascii="Times New Roman" w:hAnsi="Times New Roman" w:eastAsia="仿宋_GB2312" w:cs="Times New Roman"/>
          <w:bCs/>
          <w:sz w:val="32"/>
          <w:szCs w:val="32"/>
        </w:rPr>
        <w:t>新浪微博</w:t>
      </w:r>
      <w:r>
        <w:rPr>
          <w:rFonts w:hint="eastAsia" w:ascii="Times New Roman" w:hAnsi="Times New Roman" w:eastAsia="仿宋_GB2312" w:cs="Times New Roman"/>
          <w:bCs/>
          <w:sz w:val="32"/>
          <w:szCs w:val="32"/>
        </w:rPr>
        <w:t>94</w:t>
      </w:r>
      <w:r>
        <w:rPr>
          <w:rFonts w:ascii="Times New Roman" w:hAnsi="Times New Roman" w:eastAsia="仿宋_GB2312" w:cs="Times New Roman"/>
          <w:bCs/>
          <w:sz w:val="32"/>
          <w:szCs w:val="32"/>
        </w:rPr>
        <w:t>条</w:t>
      </w:r>
      <w:r>
        <w:rPr>
          <w:rFonts w:hint="eastAsia" w:ascii="Times New Roman" w:hAnsi="Times New Roman" w:eastAsia="仿宋_GB2312" w:cs="Times New Roman"/>
          <w:bCs/>
          <w:sz w:val="32"/>
          <w:szCs w:val="32"/>
        </w:rPr>
        <w:t>，较好地完成了本年度政务信息公开工作。</w:t>
      </w:r>
      <w:r>
        <w:rPr>
          <w:rFonts w:ascii="Times New Roman" w:hAnsi="Times New Roman" w:eastAsia="仿宋_GB2312" w:cs="Times New Roman"/>
          <w:bCs/>
          <w:sz w:val="32"/>
          <w:szCs w:val="32"/>
        </w:rPr>
        <w:t>加强政策解读，对</w:t>
      </w:r>
      <w:r>
        <w:rPr>
          <w:rFonts w:hint="eastAsia" w:ascii="Times New Roman" w:hAnsi="Times New Roman" w:eastAsia="仿宋_GB2312" w:cs="Times New Roman"/>
          <w:bCs/>
          <w:sz w:val="32"/>
          <w:szCs w:val="32"/>
        </w:rPr>
        <w:t>《2023年威海市环翠区海洋伏季休渔管理工作实施方案》、《威海市褚岛保护和利用规划》、《威海市环翠区海洋电子信息和智能装备产业发展三年行动计划（2023—2025））》</w:t>
      </w:r>
      <w:r>
        <w:rPr>
          <w:rFonts w:ascii="Times New Roman" w:hAnsi="Times New Roman" w:eastAsia="仿宋_GB2312" w:cs="Times New Roman"/>
          <w:bCs/>
          <w:sz w:val="32"/>
          <w:szCs w:val="32"/>
        </w:rPr>
        <w:t>等</w:t>
      </w:r>
      <w:r>
        <w:rPr>
          <w:rFonts w:hint="eastAsia" w:ascii="Times New Roman" w:hAnsi="Times New Roman" w:eastAsia="仿宋_GB2312" w:cs="Times New Roman"/>
          <w:bCs/>
          <w:sz w:val="32"/>
          <w:szCs w:val="32"/>
        </w:rPr>
        <w:t>3件文件</w:t>
      </w:r>
      <w:r>
        <w:rPr>
          <w:rFonts w:ascii="Times New Roman" w:hAnsi="Times New Roman" w:eastAsia="仿宋_GB2312" w:cs="Times New Roman"/>
          <w:bCs/>
          <w:sz w:val="32"/>
          <w:szCs w:val="32"/>
        </w:rPr>
        <w:t>发布图文解读</w:t>
      </w:r>
      <w:r>
        <w:rPr>
          <w:rFonts w:hint="eastAsia" w:ascii="Times New Roman" w:hAnsi="Times New Roman" w:eastAsia="仿宋_GB2312" w:cs="Times New Roman"/>
          <w:bCs/>
          <w:sz w:val="32"/>
          <w:szCs w:val="32"/>
        </w:rPr>
        <w:t>13</w:t>
      </w:r>
      <w:r>
        <w:rPr>
          <w:rFonts w:ascii="Times New Roman" w:hAnsi="Times New Roman" w:eastAsia="仿宋_GB2312" w:cs="Times New Roman"/>
          <w:bCs/>
          <w:sz w:val="32"/>
          <w:szCs w:val="32"/>
        </w:rPr>
        <w:t>篇。</w:t>
      </w:r>
      <w:r>
        <w:rPr>
          <w:rFonts w:hint="eastAsia" w:ascii="Times New Roman" w:hAnsi="Times New Roman" w:eastAsia="仿宋_GB2312" w:cs="Times New Roman"/>
          <w:bCs/>
          <w:sz w:val="32"/>
          <w:szCs w:val="32"/>
        </w:rPr>
        <w:t>组织开展“政府开放日”活动1次，邀请群众代表参观渔业安全救助信息指挥中心，进一步加强海洋领域政务公开工作，增强群众对海洋工作的认同感、满意感、获得感。</w:t>
      </w:r>
    </w:p>
    <w:p w14:paraId="2DA7E68B">
      <w:pPr>
        <w:spacing w:line="560" w:lineRule="exact"/>
        <w:ind w:firstLine="640" w:firstLineChars="200"/>
      </w:pPr>
      <w:r>
        <w:rPr>
          <w:rFonts w:ascii="Times New Roman" w:hAnsi="Times New Roman" w:eastAsia="仿宋_GB2312" w:cs="Times New Roman"/>
          <w:bCs/>
          <w:sz w:val="32"/>
          <w:szCs w:val="32"/>
        </w:rPr>
        <w:t>2.</w:t>
      </w:r>
      <w:r>
        <w:rPr>
          <w:rFonts w:ascii="楷体_GB2312" w:hAnsi="楷体_GB2312" w:eastAsia="楷体_GB2312" w:cs="楷体_GB2312"/>
          <w:bCs/>
          <w:sz w:val="32"/>
          <w:szCs w:val="32"/>
        </w:rPr>
        <w:t>依申请公开工作方面。</w:t>
      </w:r>
      <w:r>
        <w:rPr>
          <w:rFonts w:hint="eastAsia" w:ascii="Times New Roman" w:hAnsi="Times New Roman" w:eastAsia="仿宋_GB2312" w:cs="Times New Roman"/>
          <w:bCs/>
          <w:sz w:val="32"/>
          <w:szCs w:val="32"/>
        </w:rPr>
        <w:t>优化依申请公开办理流程，认真做好申请的受理、登记、办理、答复、归档等各个环节的工作，办理前主动对接申请人，贴心提供答疑服务，提高依申请公开的规范性和满意度。2023年，共受理政府信息公开申请3件，已全部办结，均予以公开，从申请内容看，主要涉及伏季休渔政策、海域管理管理等方面。</w:t>
      </w:r>
    </w:p>
    <w:p w14:paraId="5D3D0921">
      <w:pPr>
        <w:spacing w:line="560" w:lineRule="exact"/>
        <w:ind w:firstLine="640" w:firstLineChars="200"/>
        <w:rPr>
          <w:rFonts w:ascii="Times New Roman" w:hAnsi="Times New Roman" w:eastAsia="仿宋_GB2312" w:cs="Times New Roman"/>
          <w:bCs/>
          <w:sz w:val="32"/>
          <w:szCs w:val="32"/>
        </w:rPr>
      </w:pPr>
      <w:r>
        <w:rPr>
          <w:rFonts w:ascii="楷体_GB2312" w:hAnsi="楷体_GB2312" w:eastAsia="楷体_GB2312" w:cs="楷体_GB2312"/>
          <w:bCs/>
          <w:sz w:val="32"/>
          <w:szCs w:val="32"/>
        </w:rPr>
        <w:t>3.政府信息管理方面。</w:t>
      </w:r>
      <w:r>
        <w:rPr>
          <w:rFonts w:hint="eastAsia" w:ascii="Times New Roman" w:hAnsi="Times New Roman" w:eastAsia="仿宋_GB2312" w:cs="Times New Roman"/>
          <w:bCs/>
          <w:sz w:val="32"/>
          <w:szCs w:val="32"/>
        </w:rPr>
        <w:t>认真做好信息公开目录梳理工作，切实推进局门户网站信息公开专栏的特色建设，确保目录设置的科学性和规范性。落实政务公开专人负责机制，压紧压实责任，确保公开内容合法性、准确性、严肃性。同时，加强公文类信息管理，规范公开行为，确保公开的时效性。严格落实网站和新媒体内容发布审核机制，坚持先审后发原则，严禁未经审核擅自发布、修改、删除信息。</w:t>
      </w:r>
    </w:p>
    <w:p w14:paraId="1F3FBFE7">
      <w:pPr>
        <w:widowControl/>
        <w:spacing w:line="560" w:lineRule="exact"/>
        <w:ind w:firstLine="640" w:firstLineChars="200"/>
        <w:jc w:val="left"/>
        <w:rPr>
          <w:rFonts w:ascii="Times New Roman" w:hAnsi="Times New Roman" w:eastAsia="仿宋_GB2312" w:cs="Times New Roman"/>
          <w:color w:val="333333"/>
          <w:sz w:val="31"/>
          <w:szCs w:val="31"/>
        </w:rPr>
      </w:pPr>
      <w:r>
        <w:rPr>
          <w:rFonts w:ascii="Times New Roman" w:hAnsi="Times New Roman" w:eastAsia="仿宋_GB2312" w:cs="Times New Roman"/>
          <w:bCs/>
          <w:sz w:val="32"/>
          <w:szCs w:val="32"/>
        </w:rPr>
        <w:t>4.</w:t>
      </w:r>
      <w:r>
        <w:rPr>
          <w:rFonts w:ascii="Times New Roman" w:hAnsi="Times New Roman" w:eastAsia="楷体_GB2312" w:cs="Times New Roman"/>
          <w:bCs/>
          <w:sz w:val="32"/>
          <w:szCs w:val="32"/>
        </w:rPr>
        <w:t>平台建设方面。</w:t>
      </w:r>
      <w:r>
        <w:rPr>
          <w:rFonts w:ascii="Times New Roman" w:hAnsi="Times New Roman" w:eastAsia="仿宋_GB2312" w:cs="Times New Roman"/>
          <w:color w:val="333333"/>
          <w:sz w:val="31"/>
          <w:szCs w:val="31"/>
        </w:rPr>
        <w:t xml:space="preserve">依托环翠政务网对机构简介、机构设置、部门领导、人事任免等单位概况及时公开；对群众关心的扶持政策第一时间公开，并通过多种形式进行解读。同时，以“最威海是环翠APP--区海洋发展局”政务号为平台，积极拓宽群众关心海洋、认识海洋的途径，切实打造开放、透明、服务型政务 </w:t>
      </w:r>
    </w:p>
    <w:p w14:paraId="7A389A8E">
      <w:pPr>
        <w:pStyle w:val="4"/>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二、主动公开政府信息情况</w:t>
      </w:r>
    </w:p>
    <w:tbl>
      <w:tblPr>
        <w:tblStyle w:val="5"/>
        <w:tblW w:w="8824" w:type="dxa"/>
        <w:tblInd w:w="0" w:type="dxa"/>
        <w:tblLayout w:type="fixed"/>
        <w:tblCellMar>
          <w:top w:w="0" w:type="dxa"/>
          <w:left w:w="108" w:type="dxa"/>
          <w:bottom w:w="0" w:type="dxa"/>
          <w:right w:w="108" w:type="dxa"/>
        </w:tblCellMar>
      </w:tblPr>
      <w:tblGrid>
        <w:gridCol w:w="2206"/>
        <w:gridCol w:w="2206"/>
        <w:gridCol w:w="2206"/>
        <w:gridCol w:w="2206"/>
      </w:tblGrid>
      <w:tr w14:paraId="0F573C5F">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616D03A4">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14:paraId="15CB2B2F">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C8A4868">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6B96E06F">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286C168F">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777A71A9">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14:paraId="5F6773CE">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1C510C0">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4E42E3CD">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712A7A39">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35A9D152">
            <w:pPr>
              <w:widowControl/>
              <w:jc w:val="center"/>
              <w:rPr>
                <w:rFonts w:ascii="仿宋_GB2312" w:hAnsi="Calibri" w:eastAsia="仿宋_GB2312" w:cs="Calibri"/>
                <w:kern w:val="0"/>
                <w:szCs w:val="21"/>
              </w:rPr>
            </w:pPr>
            <w:r>
              <w:rPr>
                <w:rFonts w:hint="eastAsia" w:ascii="仿宋_GB2312" w:hAnsi="Calibri" w:eastAsia="仿宋_GB2312" w:cs="Calibri"/>
                <w:kern w:val="0"/>
                <w:szCs w:val="21"/>
              </w:rPr>
              <w:t>0</w:t>
            </w:r>
          </w:p>
        </w:tc>
      </w:tr>
      <w:tr w14:paraId="2CA30123">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5426283">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080DC388">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76EE8C45">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14:paraId="6BA3F6CD">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r>
      <w:tr w14:paraId="665D27C2">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7095FA2">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14:paraId="5F197963">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7CAAA89">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DA5AB0A">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1020165B">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CF3229F">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21694E32">
            <w:pPr>
              <w:widowControl/>
              <w:jc w:val="center"/>
              <w:rPr>
                <w:rFonts w:ascii="仿宋_GB2312" w:hAnsi="Calibri" w:eastAsia="仿宋_GB2312" w:cs="Calibri"/>
                <w:color w:val="000000"/>
                <w:kern w:val="0"/>
                <w:szCs w:val="21"/>
              </w:rPr>
            </w:pPr>
            <w:r>
              <w:rPr>
                <w:rFonts w:hint="eastAsia" w:ascii="仿宋_GB2312" w:hAnsi="Calibri" w:eastAsia="仿宋_GB2312" w:cs="Calibri"/>
                <w:color w:val="000000"/>
                <w:kern w:val="0"/>
                <w:szCs w:val="21"/>
              </w:rPr>
              <w:t>1510</w:t>
            </w:r>
          </w:p>
        </w:tc>
      </w:tr>
      <w:tr w14:paraId="19DFAA9A">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2389B7C4">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14:paraId="02466237">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08B17D9">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3126D42">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12928B24">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1E87D8E">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90B2412">
            <w:pPr>
              <w:widowControl/>
              <w:jc w:val="center"/>
              <w:rPr>
                <w:rFonts w:ascii="仿宋_GB2312" w:hAnsi="Calibri" w:eastAsia="仿宋_GB2312" w:cs="Calibri"/>
                <w:kern w:val="0"/>
                <w:szCs w:val="21"/>
              </w:rPr>
            </w:pPr>
            <w:r>
              <w:rPr>
                <w:rFonts w:hint="eastAsia" w:ascii="仿宋_GB2312" w:hAnsi="Calibri" w:eastAsia="仿宋_GB2312" w:cs="Calibri"/>
                <w:kern w:val="0"/>
                <w:szCs w:val="21"/>
              </w:rPr>
              <w:t>90</w:t>
            </w:r>
          </w:p>
        </w:tc>
      </w:tr>
      <w:tr w14:paraId="7409A162">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C35E07F">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0049737">
            <w:pPr>
              <w:widowControl/>
              <w:jc w:val="center"/>
              <w:rPr>
                <w:rFonts w:ascii="仿宋_GB2312" w:hAnsi="Calibri" w:eastAsia="仿宋_GB2312" w:cs="Calibri"/>
                <w:kern w:val="0"/>
                <w:szCs w:val="21"/>
              </w:rPr>
            </w:pPr>
            <w:r>
              <w:rPr>
                <w:rFonts w:hint="eastAsia" w:ascii="仿宋_GB2312" w:hAnsi="Calibri" w:eastAsia="仿宋_GB2312" w:cs="Calibri"/>
                <w:kern w:val="0"/>
                <w:szCs w:val="21"/>
              </w:rPr>
              <w:t>0</w:t>
            </w:r>
          </w:p>
        </w:tc>
      </w:tr>
      <w:tr w14:paraId="5AE5DAC5">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32D1145F">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14:paraId="4BB2B19F">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8D0D9E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94A4A74">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14:paraId="5E313F24">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E09C9BA">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FAF8E16">
            <w:pPr>
              <w:widowControl/>
              <w:jc w:val="center"/>
              <w:rPr>
                <w:rFonts w:ascii="仿宋_GB2312" w:hAnsi="Calibri" w:eastAsia="仿宋_GB2312" w:cs="Calibri"/>
                <w:kern w:val="0"/>
                <w:szCs w:val="21"/>
              </w:rPr>
            </w:pPr>
            <w:r>
              <w:rPr>
                <w:rFonts w:hint="eastAsia" w:ascii="仿宋_GB2312" w:hAnsi="Calibri" w:eastAsia="仿宋_GB2312" w:cs="Calibri"/>
                <w:kern w:val="0"/>
                <w:szCs w:val="21"/>
              </w:rPr>
              <w:t>0</w:t>
            </w:r>
          </w:p>
        </w:tc>
      </w:tr>
    </w:tbl>
    <w:p w14:paraId="28DFEA94">
      <w:pPr>
        <w:numPr>
          <w:numId w:val="0"/>
        </w:numPr>
        <w:spacing w:line="560" w:lineRule="exact"/>
        <w:rPr>
          <w:rFonts w:hint="eastAsia"/>
          <w:lang w:val="en-US" w:eastAsia="zh-CN"/>
        </w:rPr>
      </w:pPr>
    </w:p>
    <w:p w14:paraId="6D801D30">
      <w:pPr>
        <w:numPr>
          <w:numId w:val="0"/>
        </w:numPr>
        <w:spacing w:line="560" w:lineRule="exact"/>
        <w:rPr>
          <w:rFonts w:hint="eastAsia"/>
          <w:lang w:val="en-US" w:eastAsia="zh-CN"/>
        </w:rPr>
      </w:pPr>
    </w:p>
    <w:p w14:paraId="34C95FCC">
      <w:pPr>
        <w:numPr>
          <w:numId w:val="0"/>
        </w:numPr>
        <w:spacing w:line="560" w:lineRule="exact"/>
        <w:rPr>
          <w:rFonts w:hint="eastAsia"/>
          <w:lang w:val="en-US" w:eastAsia="zh-CN"/>
        </w:rPr>
      </w:pPr>
    </w:p>
    <w:p w14:paraId="1E505E96">
      <w:pPr>
        <w:numPr>
          <w:numId w:val="0"/>
        </w:numPr>
        <w:spacing w:line="560" w:lineRule="exact"/>
        <w:ind w:firstLine="640" w:firstLineChars="200"/>
        <w:rPr>
          <w:rFonts w:hint="eastAsia"/>
          <w:lang w:val="en-US" w:eastAsia="zh-CN"/>
        </w:rPr>
      </w:pPr>
      <w:r>
        <w:rPr>
          <w:rFonts w:hint="eastAsia" w:ascii="黑体" w:hAnsi="黑体" w:eastAsia="黑体" w:cs="黑体"/>
          <w:bCs/>
          <w:kern w:val="0"/>
          <w:sz w:val="32"/>
          <w:szCs w:val="32"/>
          <w:shd w:val="clear" w:color="auto" w:fill="FFFFFF"/>
          <w:lang w:eastAsia="zh-CN" w:bidi="ar"/>
        </w:rPr>
        <w:t>三、</w:t>
      </w:r>
      <w:r>
        <w:rPr>
          <w:rFonts w:hint="eastAsia" w:ascii="黑体" w:hAnsi="黑体" w:eastAsia="黑体" w:cs="黑体"/>
          <w:bCs/>
          <w:kern w:val="0"/>
          <w:sz w:val="32"/>
          <w:szCs w:val="32"/>
          <w:shd w:val="clear" w:color="auto" w:fill="FFFFFF"/>
          <w:lang w:bidi="ar"/>
        </w:rPr>
        <w:t>收</w:t>
      </w:r>
      <w:r>
        <w:rPr>
          <w:rFonts w:hint="eastAsia" w:ascii="黑体" w:hAnsi="黑体" w:eastAsia="黑体" w:cs="黑体"/>
          <w:bCs/>
          <w:color w:val="333333"/>
          <w:kern w:val="0"/>
          <w:sz w:val="32"/>
          <w:szCs w:val="32"/>
          <w:shd w:val="clear" w:color="auto" w:fill="FFFFFF"/>
          <w:lang w:bidi="ar"/>
        </w:rPr>
        <w:t>到和处理政府信息公开申请情况</w:t>
      </w:r>
    </w:p>
    <w:tbl>
      <w:tblPr>
        <w:tblStyle w:val="5"/>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2"/>
        <w:gridCol w:w="2"/>
        <w:gridCol w:w="4"/>
        <w:gridCol w:w="3"/>
        <w:gridCol w:w="3"/>
        <w:gridCol w:w="3"/>
        <w:gridCol w:w="518"/>
        <w:gridCol w:w="720"/>
        <w:gridCol w:w="675"/>
        <w:gridCol w:w="525"/>
        <w:gridCol w:w="1"/>
        <w:gridCol w:w="700"/>
      </w:tblGrid>
      <w:tr w14:paraId="0621BB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574B6DE6">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14:paraId="52F1E762">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21"/>
            <w:shd w:val="clear" w:color="auto" w:fill="auto"/>
            <w:tcMar>
              <w:left w:w="108" w:type="dxa"/>
              <w:right w:w="108" w:type="dxa"/>
            </w:tcMar>
            <w:vAlign w:val="center"/>
          </w:tcPr>
          <w:p w14:paraId="2BFCFF51">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14:paraId="6AEEA1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134F845A">
            <w:pPr>
              <w:jc w:val="center"/>
              <w:rPr>
                <w:rFonts w:ascii="仿宋_GB2312" w:hAnsi="Times New Roman" w:eastAsia="仿宋_GB2312"/>
                <w:szCs w:val="21"/>
              </w:rPr>
            </w:pPr>
          </w:p>
        </w:tc>
        <w:tc>
          <w:tcPr>
            <w:tcW w:w="747" w:type="dxa"/>
            <w:vMerge w:val="restart"/>
            <w:shd w:val="clear" w:color="auto" w:fill="auto"/>
            <w:tcMar>
              <w:left w:w="108" w:type="dxa"/>
              <w:right w:w="108" w:type="dxa"/>
            </w:tcMar>
            <w:vAlign w:val="center"/>
          </w:tcPr>
          <w:p w14:paraId="70B97DA8">
            <w:pPr>
              <w:widowControl/>
              <w:jc w:val="center"/>
              <w:rPr>
                <w:rFonts w:ascii="黑体" w:hAnsi="黑体" w:eastAsia="黑体"/>
                <w:szCs w:val="21"/>
              </w:rPr>
            </w:pPr>
            <w:r>
              <w:rPr>
                <w:rFonts w:hint="eastAsia" w:ascii="黑体" w:hAnsi="黑体" w:eastAsia="黑体"/>
                <w:kern w:val="0"/>
                <w:szCs w:val="21"/>
              </w:rPr>
              <w:t>自然人</w:t>
            </w:r>
          </w:p>
        </w:tc>
        <w:tc>
          <w:tcPr>
            <w:tcW w:w="3000" w:type="dxa"/>
            <w:gridSpan w:val="18"/>
            <w:shd w:val="clear" w:color="auto" w:fill="auto"/>
            <w:tcMar>
              <w:left w:w="108" w:type="dxa"/>
              <w:right w:w="108" w:type="dxa"/>
            </w:tcMar>
            <w:vAlign w:val="center"/>
          </w:tcPr>
          <w:p w14:paraId="44D6BD3B">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1" w:type="dxa"/>
            <w:gridSpan w:val="2"/>
            <w:vMerge w:val="restart"/>
            <w:shd w:val="clear" w:color="auto" w:fill="auto"/>
            <w:tcMar>
              <w:left w:w="108" w:type="dxa"/>
              <w:right w:w="108" w:type="dxa"/>
            </w:tcMar>
            <w:vAlign w:val="center"/>
          </w:tcPr>
          <w:p w14:paraId="2338E862">
            <w:pPr>
              <w:widowControl/>
              <w:jc w:val="center"/>
              <w:rPr>
                <w:rFonts w:ascii="黑体" w:hAnsi="黑体" w:eastAsia="黑体"/>
                <w:szCs w:val="21"/>
              </w:rPr>
            </w:pPr>
            <w:r>
              <w:rPr>
                <w:rFonts w:hint="eastAsia" w:ascii="黑体" w:hAnsi="黑体" w:eastAsia="黑体"/>
                <w:kern w:val="0"/>
                <w:szCs w:val="21"/>
              </w:rPr>
              <w:t>总计</w:t>
            </w:r>
          </w:p>
        </w:tc>
      </w:tr>
      <w:tr w14:paraId="0F6AAE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38DDECF8">
            <w:pPr>
              <w:jc w:val="center"/>
              <w:rPr>
                <w:rFonts w:ascii="仿宋_GB2312" w:hAnsi="Times New Roman" w:eastAsia="仿宋_GB2312"/>
                <w:szCs w:val="21"/>
              </w:rPr>
            </w:pPr>
          </w:p>
        </w:tc>
        <w:tc>
          <w:tcPr>
            <w:tcW w:w="747" w:type="dxa"/>
            <w:vMerge w:val="continue"/>
            <w:shd w:val="clear" w:color="auto" w:fill="auto"/>
            <w:tcMar>
              <w:left w:w="108" w:type="dxa"/>
              <w:right w:w="108" w:type="dxa"/>
            </w:tcMar>
            <w:vAlign w:val="center"/>
          </w:tcPr>
          <w:p w14:paraId="7C781F10">
            <w:pPr>
              <w:jc w:val="center"/>
              <w:rPr>
                <w:rFonts w:ascii="黑体" w:hAnsi="黑体" w:eastAsia="黑体"/>
                <w:szCs w:val="21"/>
              </w:rPr>
            </w:pPr>
          </w:p>
        </w:tc>
        <w:tc>
          <w:tcPr>
            <w:tcW w:w="540" w:type="dxa"/>
            <w:gridSpan w:val="7"/>
            <w:shd w:val="clear" w:color="auto" w:fill="auto"/>
            <w:tcMar>
              <w:left w:w="108" w:type="dxa"/>
              <w:right w:w="108" w:type="dxa"/>
            </w:tcMar>
            <w:vAlign w:val="center"/>
          </w:tcPr>
          <w:p w14:paraId="4E45122D">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40" w:type="dxa"/>
            <w:gridSpan w:val="8"/>
            <w:shd w:val="clear" w:color="auto" w:fill="auto"/>
            <w:tcMar>
              <w:left w:w="108" w:type="dxa"/>
              <w:right w:w="108" w:type="dxa"/>
            </w:tcMar>
            <w:vAlign w:val="center"/>
          </w:tcPr>
          <w:p w14:paraId="51040A7D">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14:paraId="2DEB6508">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14:paraId="0C47B8E6">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5" w:type="dxa"/>
            <w:shd w:val="clear" w:color="auto" w:fill="auto"/>
            <w:tcMar>
              <w:left w:w="108" w:type="dxa"/>
              <w:right w:w="108" w:type="dxa"/>
            </w:tcMar>
            <w:vAlign w:val="center"/>
          </w:tcPr>
          <w:p w14:paraId="6BACD357">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1" w:type="dxa"/>
            <w:gridSpan w:val="2"/>
            <w:vMerge w:val="continue"/>
            <w:shd w:val="clear" w:color="auto" w:fill="auto"/>
            <w:tcMar>
              <w:left w:w="108" w:type="dxa"/>
              <w:right w:w="108" w:type="dxa"/>
            </w:tcMar>
            <w:vAlign w:val="center"/>
          </w:tcPr>
          <w:p w14:paraId="79801935">
            <w:pPr>
              <w:jc w:val="center"/>
              <w:rPr>
                <w:rFonts w:ascii="仿宋_GB2312" w:hAnsi="Times New Roman" w:eastAsia="仿宋_GB2312"/>
                <w:szCs w:val="21"/>
              </w:rPr>
            </w:pPr>
          </w:p>
        </w:tc>
      </w:tr>
      <w:tr w14:paraId="4B8F08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5A63D0E1">
            <w:pPr>
              <w:widowControl/>
              <w:rPr>
                <w:rFonts w:ascii="黑体" w:hAnsi="黑体" w:eastAsia="黑体"/>
                <w:color w:val="000000" w:themeColor="text1"/>
                <w:szCs w:val="21"/>
                <w14:textFill>
                  <w14:solidFill>
                    <w14:schemeClr w14:val="tx1"/>
                  </w14:solidFill>
                </w14:textFill>
              </w:rPr>
            </w:pPr>
            <w:r>
              <w:rPr>
                <w:rFonts w:hint="eastAsia" w:ascii="黑体" w:hAnsi="黑体" w:eastAsia="黑体"/>
                <w:color w:val="000000" w:themeColor="text1"/>
                <w:kern w:val="0"/>
                <w:szCs w:val="21"/>
                <w14:textFill>
                  <w14:solidFill>
                    <w14:schemeClr w14:val="tx1"/>
                  </w14:solidFill>
                </w14:textFill>
              </w:rPr>
              <w:t>一、</w:t>
            </w:r>
            <w:bookmarkStart w:id="0" w:name="_Hlk66973412"/>
            <w:r>
              <w:rPr>
                <w:rFonts w:hint="eastAsia" w:ascii="黑体" w:hAnsi="黑体" w:eastAsia="黑体"/>
                <w:color w:val="000000" w:themeColor="text1"/>
                <w:kern w:val="0"/>
                <w:szCs w:val="21"/>
                <w14:textFill>
                  <w14:solidFill>
                    <w14:schemeClr w14:val="tx1"/>
                  </w14:solidFill>
                </w14:textFill>
              </w:rPr>
              <w:t>本年新收政府信息公开申请数量</w:t>
            </w:r>
            <w:bookmarkEnd w:id="0"/>
          </w:p>
        </w:tc>
        <w:tc>
          <w:tcPr>
            <w:tcW w:w="747" w:type="dxa"/>
            <w:shd w:val="clear" w:color="auto" w:fill="auto"/>
            <w:tcMar>
              <w:left w:w="108" w:type="dxa"/>
              <w:right w:w="108" w:type="dxa"/>
            </w:tcMar>
            <w:vAlign w:val="center"/>
          </w:tcPr>
          <w:p w14:paraId="146BD223">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3</w:t>
            </w:r>
          </w:p>
        </w:tc>
        <w:tc>
          <w:tcPr>
            <w:tcW w:w="540" w:type="dxa"/>
            <w:gridSpan w:val="7"/>
            <w:shd w:val="clear" w:color="auto" w:fill="auto"/>
            <w:tcMar>
              <w:left w:w="108" w:type="dxa"/>
              <w:right w:w="108" w:type="dxa"/>
            </w:tcMar>
            <w:vAlign w:val="center"/>
          </w:tcPr>
          <w:p w14:paraId="0B26077F">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c>
          <w:tcPr>
            <w:tcW w:w="540" w:type="dxa"/>
            <w:gridSpan w:val="8"/>
            <w:shd w:val="clear" w:color="auto" w:fill="auto"/>
            <w:tcMar>
              <w:left w:w="108" w:type="dxa"/>
              <w:right w:w="108" w:type="dxa"/>
            </w:tcMar>
            <w:vAlign w:val="center"/>
          </w:tcPr>
          <w:p w14:paraId="17E8658C">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694E85CB">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20C8F965">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c>
          <w:tcPr>
            <w:tcW w:w="525" w:type="dxa"/>
            <w:shd w:val="clear" w:color="auto" w:fill="auto"/>
            <w:tcMar>
              <w:left w:w="108" w:type="dxa"/>
              <w:right w:w="108" w:type="dxa"/>
            </w:tcMar>
            <w:vAlign w:val="center"/>
          </w:tcPr>
          <w:p w14:paraId="32E5B9FF">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c>
          <w:tcPr>
            <w:tcW w:w="701" w:type="dxa"/>
            <w:gridSpan w:val="2"/>
            <w:shd w:val="clear" w:color="auto" w:fill="auto"/>
            <w:tcMar>
              <w:left w:w="108" w:type="dxa"/>
              <w:right w:w="108" w:type="dxa"/>
            </w:tcMar>
            <w:vAlign w:val="center"/>
          </w:tcPr>
          <w:p w14:paraId="4DD253C7">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3</w:t>
            </w:r>
          </w:p>
        </w:tc>
      </w:tr>
      <w:tr w14:paraId="2E1C28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28F828B7">
            <w:pPr>
              <w:widowControl/>
              <w:rPr>
                <w:rFonts w:ascii="黑体" w:hAnsi="黑体" w:eastAsia="黑体"/>
                <w:color w:val="000000" w:themeColor="text1"/>
                <w:szCs w:val="21"/>
                <w14:textFill>
                  <w14:solidFill>
                    <w14:schemeClr w14:val="tx1"/>
                  </w14:solidFill>
                </w14:textFill>
              </w:rPr>
            </w:pPr>
            <w:r>
              <w:rPr>
                <w:rFonts w:hint="eastAsia" w:ascii="黑体" w:hAnsi="黑体" w:eastAsia="黑体"/>
                <w:color w:val="000000" w:themeColor="text1"/>
                <w:kern w:val="0"/>
                <w:szCs w:val="21"/>
                <w14:textFill>
                  <w14:solidFill>
                    <w14:schemeClr w14:val="tx1"/>
                  </w14:solidFill>
                </w14:textFill>
              </w:rPr>
              <w:t>二、上年结转政府信息公开申请数量</w:t>
            </w:r>
          </w:p>
        </w:tc>
        <w:tc>
          <w:tcPr>
            <w:tcW w:w="747" w:type="dxa"/>
            <w:shd w:val="clear" w:color="auto" w:fill="auto"/>
            <w:tcMar>
              <w:left w:w="108" w:type="dxa"/>
              <w:right w:w="108" w:type="dxa"/>
            </w:tcMar>
            <w:vAlign w:val="center"/>
          </w:tcPr>
          <w:p w14:paraId="2B26071F">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c>
          <w:tcPr>
            <w:tcW w:w="540" w:type="dxa"/>
            <w:gridSpan w:val="7"/>
            <w:shd w:val="clear" w:color="auto" w:fill="auto"/>
            <w:tcMar>
              <w:left w:w="108" w:type="dxa"/>
              <w:right w:w="108" w:type="dxa"/>
            </w:tcMar>
            <w:vAlign w:val="center"/>
          </w:tcPr>
          <w:p w14:paraId="3FC336C0">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c>
          <w:tcPr>
            <w:tcW w:w="540" w:type="dxa"/>
            <w:gridSpan w:val="8"/>
            <w:shd w:val="clear" w:color="auto" w:fill="auto"/>
            <w:tcMar>
              <w:left w:w="108" w:type="dxa"/>
              <w:right w:w="108" w:type="dxa"/>
            </w:tcMar>
            <w:vAlign w:val="center"/>
          </w:tcPr>
          <w:p w14:paraId="40656E5E">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21D84683">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09F4F2E5">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c>
          <w:tcPr>
            <w:tcW w:w="525" w:type="dxa"/>
            <w:shd w:val="clear" w:color="auto" w:fill="auto"/>
            <w:tcMar>
              <w:left w:w="108" w:type="dxa"/>
              <w:right w:w="108" w:type="dxa"/>
            </w:tcMar>
            <w:vAlign w:val="center"/>
          </w:tcPr>
          <w:p w14:paraId="31345128">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c>
          <w:tcPr>
            <w:tcW w:w="701" w:type="dxa"/>
            <w:gridSpan w:val="2"/>
            <w:shd w:val="clear" w:color="auto" w:fill="auto"/>
            <w:tcMar>
              <w:left w:w="108" w:type="dxa"/>
              <w:right w:w="108" w:type="dxa"/>
            </w:tcMar>
            <w:vAlign w:val="center"/>
          </w:tcPr>
          <w:p w14:paraId="446B8A23">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r>
      <w:tr w14:paraId="4AAFC9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76FA1535">
            <w:pPr>
              <w:widowControl/>
              <w:spacing w:after="180"/>
              <w:rPr>
                <w:rFonts w:ascii="黑体" w:hAnsi="黑体" w:eastAsia="黑体"/>
                <w:color w:val="000000" w:themeColor="text1"/>
                <w:szCs w:val="21"/>
                <w14:textFill>
                  <w14:solidFill>
                    <w14:schemeClr w14:val="tx1"/>
                  </w14:solidFill>
                </w14:textFill>
              </w:rPr>
            </w:pPr>
            <w:r>
              <w:rPr>
                <w:rFonts w:hint="eastAsia" w:ascii="黑体" w:hAnsi="黑体" w:eastAsia="黑体"/>
                <w:color w:val="000000" w:themeColor="text1"/>
                <w:kern w:val="0"/>
                <w:szCs w:val="21"/>
                <w14:textFill>
                  <w14:solidFill>
                    <w14:schemeClr w14:val="tx1"/>
                  </w14:solidFill>
                </w14:textFill>
              </w:rPr>
              <w:t>三、本年度办理结果</w:t>
            </w:r>
          </w:p>
        </w:tc>
        <w:tc>
          <w:tcPr>
            <w:tcW w:w="4677" w:type="dxa"/>
            <w:gridSpan w:val="2"/>
            <w:shd w:val="clear" w:color="auto" w:fill="auto"/>
            <w:tcMar>
              <w:left w:w="108" w:type="dxa"/>
              <w:right w:w="108" w:type="dxa"/>
            </w:tcMar>
            <w:vAlign w:val="center"/>
          </w:tcPr>
          <w:p w14:paraId="369FB8CA">
            <w:pPr>
              <w:widowControl/>
              <w:rPr>
                <w:rFonts w:ascii="黑体" w:hAnsi="黑体" w:eastAsia="黑体"/>
                <w:color w:val="000000" w:themeColor="text1"/>
                <w:szCs w:val="21"/>
                <w14:textFill>
                  <w14:solidFill>
                    <w14:schemeClr w14:val="tx1"/>
                  </w14:solidFill>
                </w14:textFill>
              </w:rPr>
            </w:pPr>
            <w:r>
              <w:rPr>
                <w:rFonts w:hint="eastAsia" w:ascii="黑体" w:hAnsi="黑体" w:eastAsia="黑体"/>
                <w:color w:val="000000" w:themeColor="text1"/>
                <w:kern w:val="0"/>
                <w:szCs w:val="21"/>
                <w14:textFill>
                  <w14:solidFill>
                    <w14:schemeClr w14:val="tx1"/>
                  </w14:solidFill>
                </w14:textFill>
              </w:rPr>
              <w:t>（一）予以公开</w:t>
            </w:r>
          </w:p>
        </w:tc>
        <w:tc>
          <w:tcPr>
            <w:tcW w:w="747" w:type="dxa"/>
            <w:shd w:val="clear" w:color="auto" w:fill="auto"/>
            <w:tcMar>
              <w:left w:w="108" w:type="dxa"/>
              <w:right w:w="108" w:type="dxa"/>
            </w:tcMar>
            <w:vAlign w:val="center"/>
          </w:tcPr>
          <w:p w14:paraId="04415E26">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default" w:ascii="仿宋_GB2312" w:hAnsi="Times New Roman" w:eastAsia="仿宋_GB2312"/>
                <w:szCs w:val="21"/>
              </w:rPr>
              <w:t>3</w:t>
            </w:r>
          </w:p>
        </w:tc>
        <w:tc>
          <w:tcPr>
            <w:tcW w:w="547" w:type="dxa"/>
            <w:gridSpan w:val="9"/>
            <w:shd w:val="clear" w:color="auto" w:fill="auto"/>
            <w:tcMar>
              <w:left w:w="108" w:type="dxa"/>
              <w:right w:w="108" w:type="dxa"/>
            </w:tcMar>
            <w:vAlign w:val="center"/>
          </w:tcPr>
          <w:p w14:paraId="1F82FEB5">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c>
          <w:tcPr>
            <w:tcW w:w="533" w:type="dxa"/>
            <w:gridSpan w:val="6"/>
            <w:shd w:val="clear" w:color="auto" w:fill="auto"/>
            <w:tcMar>
              <w:left w:w="108" w:type="dxa"/>
              <w:right w:w="108" w:type="dxa"/>
            </w:tcMar>
            <w:vAlign w:val="center"/>
          </w:tcPr>
          <w:p w14:paraId="5AD4C093">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4B1CCC8F">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6579D03F">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c>
          <w:tcPr>
            <w:tcW w:w="525" w:type="dxa"/>
            <w:shd w:val="clear" w:color="auto" w:fill="auto"/>
            <w:tcMar>
              <w:left w:w="108" w:type="dxa"/>
              <w:right w:w="108" w:type="dxa"/>
            </w:tcMar>
            <w:vAlign w:val="center"/>
          </w:tcPr>
          <w:p w14:paraId="06D0849C">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0</w:t>
            </w:r>
          </w:p>
        </w:tc>
        <w:tc>
          <w:tcPr>
            <w:tcW w:w="701" w:type="dxa"/>
            <w:gridSpan w:val="2"/>
            <w:shd w:val="clear" w:color="auto" w:fill="auto"/>
            <w:tcMar>
              <w:left w:w="108" w:type="dxa"/>
              <w:right w:w="108" w:type="dxa"/>
            </w:tcMar>
            <w:vAlign w:val="center"/>
          </w:tcPr>
          <w:p w14:paraId="7C82F57F">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3</w:t>
            </w:r>
          </w:p>
        </w:tc>
      </w:tr>
      <w:tr w14:paraId="0E328F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A967696">
            <w:pPr>
              <w:rPr>
                <w:rFonts w:ascii="黑体" w:hAnsi="黑体" w:eastAsia="黑体"/>
                <w:color w:val="000000" w:themeColor="text1"/>
                <w:szCs w:val="21"/>
                <w14:textFill>
                  <w14:solidFill>
                    <w14:schemeClr w14:val="tx1"/>
                  </w14:solidFill>
                </w14:textFill>
              </w:rPr>
            </w:pPr>
          </w:p>
        </w:tc>
        <w:tc>
          <w:tcPr>
            <w:tcW w:w="4677" w:type="dxa"/>
            <w:gridSpan w:val="2"/>
            <w:shd w:val="clear" w:color="auto" w:fill="auto"/>
            <w:tcMar>
              <w:left w:w="108" w:type="dxa"/>
              <w:right w:w="108" w:type="dxa"/>
            </w:tcMar>
            <w:vAlign w:val="center"/>
          </w:tcPr>
          <w:p w14:paraId="25188BBD">
            <w:pPr>
              <w:widowControl/>
              <w:rPr>
                <w:rFonts w:ascii="黑体" w:hAnsi="黑体" w:eastAsia="黑体"/>
                <w:color w:val="000000" w:themeColor="text1"/>
                <w:szCs w:val="21"/>
                <w14:textFill>
                  <w14:solidFill>
                    <w14:schemeClr w14:val="tx1"/>
                  </w14:solidFill>
                </w14:textFill>
              </w:rPr>
            </w:pPr>
            <w:r>
              <w:rPr>
                <w:rFonts w:hint="eastAsia" w:ascii="黑体" w:hAnsi="黑体" w:eastAsia="黑体"/>
                <w:color w:val="000000" w:themeColor="text1"/>
                <w:kern w:val="0"/>
                <w:szCs w:val="21"/>
                <w14:textFill>
                  <w14:solidFill>
                    <w14:schemeClr w14:val="tx1"/>
                  </w14:solidFill>
                </w14:textFill>
              </w:rPr>
              <w:t>（二）部分公开（</w:t>
            </w:r>
            <w:bookmarkStart w:id="1" w:name="_Hlk66973981"/>
            <w:r>
              <w:rPr>
                <w:rFonts w:hint="eastAsia" w:ascii="黑体" w:hAnsi="黑体" w:eastAsia="黑体"/>
                <w:color w:val="000000" w:themeColor="text1"/>
                <w:kern w:val="0"/>
                <w:szCs w:val="21"/>
                <w14:textFill>
                  <w14:solidFill>
                    <w14:schemeClr w14:val="tx1"/>
                  </w14:solidFill>
                </w14:textFill>
              </w:rPr>
              <w:t>区分处理的，只计这一情形，不计其他情形</w:t>
            </w:r>
            <w:bookmarkEnd w:id="1"/>
            <w:r>
              <w:rPr>
                <w:rFonts w:hint="eastAsia" w:ascii="黑体" w:hAnsi="黑体" w:eastAsia="黑体"/>
                <w:color w:val="000000" w:themeColor="text1"/>
                <w:kern w:val="0"/>
                <w:szCs w:val="21"/>
                <w14:textFill>
                  <w14:solidFill>
                    <w14:schemeClr w14:val="tx1"/>
                  </w14:solidFill>
                </w14:textFill>
              </w:rPr>
              <w:t>）</w:t>
            </w:r>
          </w:p>
        </w:tc>
        <w:tc>
          <w:tcPr>
            <w:tcW w:w="752" w:type="dxa"/>
            <w:gridSpan w:val="2"/>
            <w:shd w:val="clear" w:color="auto" w:fill="auto"/>
            <w:tcMar>
              <w:left w:w="108" w:type="dxa"/>
              <w:right w:w="108" w:type="dxa"/>
            </w:tcMar>
            <w:vAlign w:val="center"/>
          </w:tcPr>
          <w:p w14:paraId="6673E14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14:paraId="2E9E3B1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5" w:type="dxa"/>
            <w:gridSpan w:val="7"/>
            <w:shd w:val="clear" w:color="auto" w:fill="auto"/>
            <w:tcMar>
              <w:left w:w="108" w:type="dxa"/>
              <w:right w:w="108" w:type="dxa"/>
            </w:tcMar>
            <w:vAlign w:val="center"/>
          </w:tcPr>
          <w:p w14:paraId="52CBC6C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1DB5868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6A15B6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4C06DAA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2B37B54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48795B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06A7F1C">
            <w:pPr>
              <w:rPr>
                <w:rFonts w:ascii="黑体" w:hAnsi="黑体" w:eastAsia="黑体"/>
                <w:color w:val="000000" w:themeColor="text1"/>
                <w:szCs w:val="21"/>
                <w14:textFill>
                  <w14:solidFill>
                    <w14:schemeClr w14:val="tx1"/>
                  </w14:solidFill>
                </w14:textFill>
              </w:rPr>
            </w:pPr>
          </w:p>
        </w:tc>
        <w:tc>
          <w:tcPr>
            <w:tcW w:w="1701" w:type="dxa"/>
            <w:vMerge w:val="restart"/>
            <w:shd w:val="clear" w:color="auto" w:fill="auto"/>
            <w:tcMar>
              <w:left w:w="108" w:type="dxa"/>
              <w:right w:w="108" w:type="dxa"/>
            </w:tcMar>
            <w:vAlign w:val="center"/>
          </w:tcPr>
          <w:p w14:paraId="41232161">
            <w:pPr>
              <w:widowControl/>
              <w:spacing w:line="200" w:lineRule="exact"/>
              <w:ind w:left="-107" w:leftChars="-51"/>
              <w:rPr>
                <w:rFonts w:ascii="黑体" w:hAnsi="黑体" w:eastAsia="黑体"/>
                <w:color w:val="000000" w:themeColor="text1"/>
                <w:szCs w:val="21"/>
                <w14:textFill>
                  <w14:solidFill>
                    <w14:schemeClr w14:val="tx1"/>
                  </w14:solidFill>
                </w14:textFill>
              </w:rPr>
            </w:pPr>
            <w:r>
              <w:rPr>
                <w:rFonts w:hint="eastAsia" w:ascii="黑体" w:hAnsi="黑体" w:eastAsia="黑体"/>
                <w:color w:val="000000" w:themeColor="text1"/>
                <w:kern w:val="0"/>
                <w:szCs w:val="21"/>
                <w14:textFill>
                  <w14:solidFill>
                    <w14:schemeClr w14:val="tx1"/>
                  </w14:solidFill>
                </w14:textFill>
              </w:rPr>
              <w:t>（三）不予公开</w:t>
            </w:r>
          </w:p>
        </w:tc>
        <w:tc>
          <w:tcPr>
            <w:tcW w:w="2976" w:type="dxa"/>
            <w:shd w:val="clear" w:color="auto" w:fill="auto"/>
            <w:tcMar>
              <w:left w:w="108" w:type="dxa"/>
              <w:right w:w="108" w:type="dxa"/>
            </w:tcMar>
            <w:vAlign w:val="center"/>
          </w:tcPr>
          <w:p w14:paraId="16613883">
            <w:pPr>
              <w:widowControl/>
              <w:spacing w:line="200" w:lineRule="exact"/>
              <w:rPr>
                <w:rFonts w:ascii="仿宋_GB2312" w:hAnsi="黑体" w:eastAsia="仿宋_GB2312"/>
                <w:color w:val="000000" w:themeColor="text1"/>
                <w:kern w:val="0"/>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1.属于国家秘密</w:t>
            </w:r>
          </w:p>
        </w:tc>
        <w:tc>
          <w:tcPr>
            <w:tcW w:w="752" w:type="dxa"/>
            <w:gridSpan w:val="2"/>
            <w:shd w:val="clear" w:color="auto" w:fill="auto"/>
            <w:tcMar>
              <w:left w:w="108" w:type="dxa"/>
              <w:right w:w="108" w:type="dxa"/>
            </w:tcMar>
            <w:vAlign w:val="center"/>
          </w:tcPr>
          <w:p w14:paraId="4C10CC5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40" w:type="dxa"/>
            <w:gridSpan w:val="7"/>
            <w:shd w:val="clear" w:color="auto" w:fill="auto"/>
            <w:tcMar>
              <w:left w:w="108" w:type="dxa"/>
              <w:right w:w="108" w:type="dxa"/>
            </w:tcMar>
            <w:vAlign w:val="center"/>
          </w:tcPr>
          <w:p w14:paraId="66C470B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5" w:type="dxa"/>
            <w:gridSpan w:val="7"/>
            <w:shd w:val="clear" w:color="auto" w:fill="auto"/>
            <w:tcMar>
              <w:left w:w="108" w:type="dxa"/>
              <w:right w:w="108" w:type="dxa"/>
            </w:tcMar>
            <w:vAlign w:val="center"/>
          </w:tcPr>
          <w:p w14:paraId="790FF52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70B1C23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08169EC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0F8E9E6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6D4BCF1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23A2CD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D2C998D">
            <w:pPr>
              <w:rPr>
                <w:rFonts w:ascii="黑体" w:hAnsi="黑体" w:eastAsia="黑体"/>
                <w:color w:val="000000" w:themeColor="text1"/>
                <w:szCs w:val="21"/>
                <w14:textFill>
                  <w14:solidFill>
                    <w14:schemeClr w14:val="tx1"/>
                  </w14:solidFill>
                </w14:textFill>
              </w:rPr>
            </w:pPr>
          </w:p>
        </w:tc>
        <w:tc>
          <w:tcPr>
            <w:tcW w:w="1701" w:type="dxa"/>
            <w:vMerge w:val="continue"/>
            <w:shd w:val="clear" w:color="auto" w:fill="auto"/>
            <w:tcMar>
              <w:left w:w="108" w:type="dxa"/>
              <w:right w:w="108" w:type="dxa"/>
            </w:tcMar>
            <w:vAlign w:val="center"/>
          </w:tcPr>
          <w:p w14:paraId="2388FAF8">
            <w:pPr>
              <w:spacing w:line="200" w:lineRule="exact"/>
              <w:rPr>
                <w:rFonts w:ascii="黑体" w:hAnsi="黑体" w:eastAsia="黑体"/>
                <w:color w:val="000000" w:themeColor="text1"/>
                <w:szCs w:val="21"/>
                <w14:textFill>
                  <w14:solidFill>
                    <w14:schemeClr w14:val="tx1"/>
                  </w14:solidFill>
                </w14:textFill>
              </w:rPr>
            </w:pPr>
          </w:p>
        </w:tc>
        <w:tc>
          <w:tcPr>
            <w:tcW w:w="2976" w:type="dxa"/>
            <w:shd w:val="clear" w:color="auto" w:fill="auto"/>
            <w:tcMar>
              <w:left w:w="108" w:type="dxa"/>
              <w:right w:w="108" w:type="dxa"/>
            </w:tcMar>
            <w:vAlign w:val="center"/>
          </w:tcPr>
          <w:p w14:paraId="0274E291">
            <w:pPr>
              <w:widowControl/>
              <w:spacing w:line="200" w:lineRule="exact"/>
              <w:rPr>
                <w:rFonts w:ascii="仿宋_GB2312" w:hAnsi="黑体" w:eastAsia="仿宋_GB2312"/>
                <w:color w:val="000000" w:themeColor="text1"/>
                <w:kern w:val="0"/>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2.</w:t>
            </w:r>
            <w:bookmarkStart w:id="2" w:name="_Hlk66974104"/>
            <w:r>
              <w:rPr>
                <w:rFonts w:hint="eastAsia" w:ascii="仿宋_GB2312" w:hAnsi="黑体" w:eastAsia="仿宋_GB2312"/>
                <w:color w:val="000000" w:themeColor="text1"/>
                <w:kern w:val="0"/>
                <w:szCs w:val="21"/>
                <w14:textFill>
                  <w14:solidFill>
                    <w14:schemeClr w14:val="tx1"/>
                  </w14:solidFill>
                </w14:textFill>
              </w:rPr>
              <w:t>其他法律行政法规禁止公开</w:t>
            </w:r>
            <w:bookmarkEnd w:id="2"/>
          </w:p>
        </w:tc>
        <w:tc>
          <w:tcPr>
            <w:tcW w:w="757" w:type="dxa"/>
            <w:gridSpan w:val="3"/>
            <w:shd w:val="clear" w:color="auto" w:fill="auto"/>
            <w:tcMar>
              <w:left w:w="108" w:type="dxa"/>
              <w:right w:w="108" w:type="dxa"/>
            </w:tcMar>
            <w:vAlign w:val="center"/>
          </w:tcPr>
          <w:p w14:paraId="1DCF9AE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8"/>
            <w:shd w:val="clear" w:color="auto" w:fill="auto"/>
            <w:tcMar>
              <w:left w:w="108" w:type="dxa"/>
              <w:right w:w="108" w:type="dxa"/>
            </w:tcMar>
            <w:vAlign w:val="center"/>
          </w:tcPr>
          <w:p w14:paraId="629B36A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1" w:type="dxa"/>
            <w:gridSpan w:val="5"/>
            <w:shd w:val="clear" w:color="auto" w:fill="auto"/>
            <w:tcMar>
              <w:left w:w="108" w:type="dxa"/>
              <w:right w:w="108" w:type="dxa"/>
            </w:tcMar>
            <w:vAlign w:val="center"/>
          </w:tcPr>
          <w:p w14:paraId="64E395B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34DBCD8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0FA65E7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6E0642D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1FC4D76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13DA59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62FED47">
            <w:pPr>
              <w:rPr>
                <w:rFonts w:ascii="黑体" w:hAnsi="黑体" w:eastAsia="黑体"/>
                <w:color w:val="000000" w:themeColor="text1"/>
                <w:szCs w:val="21"/>
                <w14:textFill>
                  <w14:solidFill>
                    <w14:schemeClr w14:val="tx1"/>
                  </w14:solidFill>
                </w14:textFill>
              </w:rPr>
            </w:pPr>
          </w:p>
        </w:tc>
        <w:tc>
          <w:tcPr>
            <w:tcW w:w="1701" w:type="dxa"/>
            <w:vMerge w:val="continue"/>
            <w:shd w:val="clear" w:color="auto" w:fill="auto"/>
            <w:tcMar>
              <w:left w:w="108" w:type="dxa"/>
              <w:right w:w="108" w:type="dxa"/>
            </w:tcMar>
            <w:vAlign w:val="center"/>
          </w:tcPr>
          <w:p w14:paraId="0225F450">
            <w:pPr>
              <w:spacing w:line="200" w:lineRule="exact"/>
              <w:rPr>
                <w:rFonts w:ascii="黑体" w:hAnsi="黑体" w:eastAsia="黑体"/>
                <w:color w:val="000000" w:themeColor="text1"/>
                <w:szCs w:val="21"/>
                <w14:textFill>
                  <w14:solidFill>
                    <w14:schemeClr w14:val="tx1"/>
                  </w14:solidFill>
                </w14:textFill>
              </w:rPr>
            </w:pPr>
          </w:p>
        </w:tc>
        <w:tc>
          <w:tcPr>
            <w:tcW w:w="2976" w:type="dxa"/>
            <w:shd w:val="clear" w:color="auto" w:fill="auto"/>
            <w:tcMar>
              <w:left w:w="108" w:type="dxa"/>
              <w:right w:w="108" w:type="dxa"/>
            </w:tcMar>
            <w:vAlign w:val="center"/>
          </w:tcPr>
          <w:p w14:paraId="3ABFF383">
            <w:pPr>
              <w:widowControl/>
              <w:spacing w:line="200" w:lineRule="exact"/>
              <w:rPr>
                <w:rFonts w:ascii="仿宋_GB2312" w:hAnsi="黑体" w:eastAsia="仿宋_GB2312"/>
                <w:color w:val="000000" w:themeColor="text1"/>
                <w:kern w:val="0"/>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3.危及“三安全一稳定”</w:t>
            </w:r>
          </w:p>
        </w:tc>
        <w:tc>
          <w:tcPr>
            <w:tcW w:w="757" w:type="dxa"/>
            <w:gridSpan w:val="3"/>
            <w:shd w:val="clear" w:color="auto" w:fill="auto"/>
            <w:tcMar>
              <w:left w:w="108" w:type="dxa"/>
              <w:right w:w="108" w:type="dxa"/>
            </w:tcMar>
            <w:vAlign w:val="center"/>
          </w:tcPr>
          <w:p w14:paraId="5DAB300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8"/>
            <w:shd w:val="clear" w:color="auto" w:fill="auto"/>
            <w:tcMar>
              <w:left w:w="108" w:type="dxa"/>
              <w:right w:w="108" w:type="dxa"/>
            </w:tcMar>
            <w:vAlign w:val="center"/>
          </w:tcPr>
          <w:p w14:paraId="457FB80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1" w:type="dxa"/>
            <w:gridSpan w:val="5"/>
            <w:shd w:val="clear" w:color="auto" w:fill="auto"/>
            <w:tcMar>
              <w:left w:w="108" w:type="dxa"/>
              <w:right w:w="108" w:type="dxa"/>
            </w:tcMar>
            <w:vAlign w:val="center"/>
          </w:tcPr>
          <w:p w14:paraId="5DAF1E4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20AC42F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EF5AFC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6AA24DE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2CC3B02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6629AB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6FC913D">
            <w:pPr>
              <w:rPr>
                <w:rFonts w:ascii="黑体" w:hAnsi="黑体" w:eastAsia="黑体"/>
                <w:color w:val="000000" w:themeColor="text1"/>
                <w:szCs w:val="21"/>
                <w14:textFill>
                  <w14:solidFill>
                    <w14:schemeClr w14:val="tx1"/>
                  </w14:solidFill>
                </w14:textFill>
              </w:rPr>
            </w:pPr>
          </w:p>
        </w:tc>
        <w:tc>
          <w:tcPr>
            <w:tcW w:w="1701" w:type="dxa"/>
            <w:vMerge w:val="continue"/>
            <w:shd w:val="clear" w:color="auto" w:fill="auto"/>
            <w:tcMar>
              <w:left w:w="108" w:type="dxa"/>
              <w:right w:w="108" w:type="dxa"/>
            </w:tcMar>
            <w:vAlign w:val="center"/>
          </w:tcPr>
          <w:p w14:paraId="45E61A7F">
            <w:pPr>
              <w:spacing w:line="200" w:lineRule="exact"/>
              <w:rPr>
                <w:rFonts w:ascii="黑体" w:hAnsi="黑体" w:eastAsia="黑体"/>
                <w:color w:val="000000" w:themeColor="text1"/>
                <w:szCs w:val="21"/>
                <w14:textFill>
                  <w14:solidFill>
                    <w14:schemeClr w14:val="tx1"/>
                  </w14:solidFill>
                </w14:textFill>
              </w:rPr>
            </w:pPr>
          </w:p>
        </w:tc>
        <w:tc>
          <w:tcPr>
            <w:tcW w:w="2976" w:type="dxa"/>
            <w:shd w:val="clear" w:color="auto" w:fill="auto"/>
            <w:tcMar>
              <w:left w:w="108" w:type="dxa"/>
              <w:right w:w="108" w:type="dxa"/>
            </w:tcMar>
            <w:vAlign w:val="center"/>
          </w:tcPr>
          <w:p w14:paraId="79B4B737">
            <w:pPr>
              <w:widowControl/>
              <w:spacing w:line="200" w:lineRule="exact"/>
              <w:rPr>
                <w:rFonts w:ascii="仿宋_GB2312" w:hAnsi="黑体" w:eastAsia="仿宋_GB2312"/>
                <w:color w:val="000000" w:themeColor="text1"/>
                <w:kern w:val="0"/>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4.</w:t>
            </w:r>
            <w:bookmarkStart w:id="3" w:name="_Hlk66974290"/>
            <w:r>
              <w:rPr>
                <w:rFonts w:hint="eastAsia" w:ascii="仿宋_GB2312" w:hAnsi="黑体" w:eastAsia="仿宋_GB2312"/>
                <w:color w:val="000000" w:themeColor="text1"/>
                <w:kern w:val="0"/>
                <w:szCs w:val="21"/>
                <w14:textFill>
                  <w14:solidFill>
                    <w14:schemeClr w14:val="tx1"/>
                  </w14:solidFill>
                </w14:textFill>
              </w:rPr>
              <w:t>保护第三方合法权益</w:t>
            </w:r>
            <w:bookmarkEnd w:id="3"/>
          </w:p>
        </w:tc>
        <w:tc>
          <w:tcPr>
            <w:tcW w:w="757" w:type="dxa"/>
            <w:gridSpan w:val="3"/>
            <w:shd w:val="clear" w:color="auto" w:fill="auto"/>
            <w:tcMar>
              <w:left w:w="108" w:type="dxa"/>
              <w:right w:w="108" w:type="dxa"/>
            </w:tcMar>
            <w:vAlign w:val="center"/>
          </w:tcPr>
          <w:p w14:paraId="545574A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8"/>
            <w:shd w:val="clear" w:color="auto" w:fill="auto"/>
            <w:tcMar>
              <w:left w:w="108" w:type="dxa"/>
              <w:right w:w="108" w:type="dxa"/>
            </w:tcMar>
            <w:vAlign w:val="center"/>
          </w:tcPr>
          <w:p w14:paraId="503F04A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1" w:type="dxa"/>
            <w:gridSpan w:val="5"/>
            <w:shd w:val="clear" w:color="auto" w:fill="auto"/>
            <w:tcMar>
              <w:left w:w="108" w:type="dxa"/>
              <w:right w:w="108" w:type="dxa"/>
            </w:tcMar>
            <w:vAlign w:val="center"/>
          </w:tcPr>
          <w:p w14:paraId="6036F45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528C04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5A8F0D1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172A9CC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56F1513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3887CE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3FC5416">
            <w:pPr>
              <w:rPr>
                <w:rFonts w:ascii="黑体" w:hAnsi="黑体" w:eastAsia="黑体"/>
                <w:color w:val="000000" w:themeColor="text1"/>
                <w:szCs w:val="21"/>
                <w14:textFill>
                  <w14:solidFill>
                    <w14:schemeClr w14:val="tx1"/>
                  </w14:solidFill>
                </w14:textFill>
              </w:rPr>
            </w:pPr>
          </w:p>
        </w:tc>
        <w:tc>
          <w:tcPr>
            <w:tcW w:w="1701" w:type="dxa"/>
            <w:vMerge w:val="continue"/>
            <w:shd w:val="clear" w:color="auto" w:fill="auto"/>
            <w:tcMar>
              <w:left w:w="108" w:type="dxa"/>
              <w:right w:w="108" w:type="dxa"/>
            </w:tcMar>
            <w:vAlign w:val="center"/>
          </w:tcPr>
          <w:p w14:paraId="0DAFEB72">
            <w:pPr>
              <w:spacing w:line="200" w:lineRule="exact"/>
              <w:rPr>
                <w:rFonts w:ascii="黑体" w:hAnsi="黑体" w:eastAsia="黑体"/>
                <w:color w:val="000000" w:themeColor="text1"/>
                <w:szCs w:val="21"/>
                <w14:textFill>
                  <w14:solidFill>
                    <w14:schemeClr w14:val="tx1"/>
                  </w14:solidFill>
                </w14:textFill>
              </w:rPr>
            </w:pPr>
          </w:p>
        </w:tc>
        <w:tc>
          <w:tcPr>
            <w:tcW w:w="2976" w:type="dxa"/>
            <w:shd w:val="clear" w:color="auto" w:fill="auto"/>
            <w:tcMar>
              <w:left w:w="108" w:type="dxa"/>
              <w:right w:w="108" w:type="dxa"/>
            </w:tcMar>
            <w:vAlign w:val="center"/>
          </w:tcPr>
          <w:p w14:paraId="1EA85188">
            <w:pPr>
              <w:widowControl/>
              <w:spacing w:line="200" w:lineRule="exact"/>
              <w:rPr>
                <w:rFonts w:ascii="仿宋_GB2312" w:hAnsi="黑体" w:eastAsia="仿宋_GB2312"/>
                <w:color w:val="000000" w:themeColor="text1"/>
                <w:kern w:val="0"/>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5.属于三类内部事务信息</w:t>
            </w:r>
          </w:p>
        </w:tc>
        <w:tc>
          <w:tcPr>
            <w:tcW w:w="761" w:type="dxa"/>
            <w:gridSpan w:val="4"/>
            <w:shd w:val="clear" w:color="auto" w:fill="auto"/>
            <w:tcMar>
              <w:left w:w="108" w:type="dxa"/>
              <w:right w:w="108" w:type="dxa"/>
            </w:tcMar>
            <w:vAlign w:val="center"/>
          </w:tcPr>
          <w:p w14:paraId="64312C2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8"/>
            <w:shd w:val="clear" w:color="auto" w:fill="auto"/>
            <w:tcMar>
              <w:left w:w="108" w:type="dxa"/>
              <w:right w:w="108" w:type="dxa"/>
            </w:tcMar>
            <w:vAlign w:val="center"/>
          </w:tcPr>
          <w:p w14:paraId="06FDF4E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10037B2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5D4EE43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28923F6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24BD032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1E473CE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5577DF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4F07D46">
            <w:pPr>
              <w:rPr>
                <w:rFonts w:ascii="黑体" w:hAnsi="黑体" w:eastAsia="黑体"/>
                <w:color w:val="000000" w:themeColor="text1"/>
                <w:szCs w:val="21"/>
                <w14:textFill>
                  <w14:solidFill>
                    <w14:schemeClr w14:val="tx1"/>
                  </w14:solidFill>
                </w14:textFill>
              </w:rPr>
            </w:pPr>
          </w:p>
        </w:tc>
        <w:tc>
          <w:tcPr>
            <w:tcW w:w="1701" w:type="dxa"/>
            <w:vMerge w:val="continue"/>
            <w:shd w:val="clear" w:color="auto" w:fill="auto"/>
            <w:tcMar>
              <w:left w:w="108" w:type="dxa"/>
              <w:right w:w="108" w:type="dxa"/>
            </w:tcMar>
            <w:vAlign w:val="center"/>
          </w:tcPr>
          <w:p w14:paraId="6DE104E4">
            <w:pPr>
              <w:spacing w:line="200" w:lineRule="exact"/>
              <w:rPr>
                <w:rFonts w:ascii="黑体" w:hAnsi="黑体" w:eastAsia="黑体"/>
                <w:color w:val="000000" w:themeColor="text1"/>
                <w:szCs w:val="21"/>
                <w14:textFill>
                  <w14:solidFill>
                    <w14:schemeClr w14:val="tx1"/>
                  </w14:solidFill>
                </w14:textFill>
              </w:rPr>
            </w:pPr>
          </w:p>
        </w:tc>
        <w:tc>
          <w:tcPr>
            <w:tcW w:w="2976" w:type="dxa"/>
            <w:shd w:val="clear" w:color="auto" w:fill="auto"/>
            <w:tcMar>
              <w:left w:w="108" w:type="dxa"/>
              <w:right w:w="108" w:type="dxa"/>
            </w:tcMar>
            <w:vAlign w:val="center"/>
          </w:tcPr>
          <w:p w14:paraId="73DDE073">
            <w:pPr>
              <w:widowControl/>
              <w:spacing w:line="200" w:lineRule="exact"/>
              <w:rPr>
                <w:rFonts w:ascii="仿宋_GB2312" w:hAnsi="黑体" w:eastAsia="仿宋_GB2312"/>
                <w:color w:val="000000" w:themeColor="text1"/>
                <w:kern w:val="0"/>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6.</w:t>
            </w:r>
            <w:bookmarkStart w:id="4" w:name="_Hlk66974555"/>
            <w:r>
              <w:rPr>
                <w:rFonts w:hint="eastAsia" w:ascii="仿宋_GB2312" w:hAnsi="黑体" w:eastAsia="仿宋_GB2312"/>
                <w:color w:val="000000" w:themeColor="text1"/>
                <w:kern w:val="0"/>
                <w:szCs w:val="21"/>
                <w14:textFill>
                  <w14:solidFill>
                    <w14:schemeClr w14:val="tx1"/>
                  </w14:solidFill>
                </w14:textFill>
              </w:rPr>
              <w:t>属于四类过程性信息</w:t>
            </w:r>
            <w:bookmarkEnd w:id="4"/>
          </w:p>
        </w:tc>
        <w:tc>
          <w:tcPr>
            <w:tcW w:w="761" w:type="dxa"/>
            <w:gridSpan w:val="4"/>
            <w:shd w:val="clear" w:color="auto" w:fill="auto"/>
            <w:tcMar>
              <w:left w:w="108" w:type="dxa"/>
              <w:right w:w="108" w:type="dxa"/>
            </w:tcMar>
            <w:vAlign w:val="center"/>
          </w:tcPr>
          <w:p w14:paraId="20E33B5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8"/>
            <w:shd w:val="clear" w:color="auto" w:fill="auto"/>
            <w:tcMar>
              <w:left w:w="108" w:type="dxa"/>
              <w:right w:w="108" w:type="dxa"/>
            </w:tcMar>
            <w:vAlign w:val="center"/>
          </w:tcPr>
          <w:p w14:paraId="12D75C9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47F10FF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70F7E0E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5A4B6A7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78B73C2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3F8738B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19D153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B15D3CD">
            <w:pPr>
              <w:rPr>
                <w:rFonts w:ascii="黑体" w:hAnsi="黑体" w:eastAsia="黑体"/>
                <w:color w:val="000000" w:themeColor="text1"/>
                <w:szCs w:val="21"/>
                <w14:textFill>
                  <w14:solidFill>
                    <w14:schemeClr w14:val="tx1"/>
                  </w14:solidFill>
                </w14:textFill>
              </w:rPr>
            </w:pPr>
          </w:p>
        </w:tc>
        <w:tc>
          <w:tcPr>
            <w:tcW w:w="1701" w:type="dxa"/>
            <w:vMerge w:val="continue"/>
            <w:shd w:val="clear" w:color="auto" w:fill="auto"/>
            <w:tcMar>
              <w:left w:w="108" w:type="dxa"/>
              <w:right w:w="108" w:type="dxa"/>
            </w:tcMar>
            <w:vAlign w:val="center"/>
          </w:tcPr>
          <w:p w14:paraId="10AFAB03">
            <w:pPr>
              <w:spacing w:line="200" w:lineRule="exact"/>
              <w:rPr>
                <w:rFonts w:ascii="黑体" w:hAnsi="黑体" w:eastAsia="黑体"/>
                <w:color w:val="000000" w:themeColor="text1"/>
                <w:szCs w:val="21"/>
                <w14:textFill>
                  <w14:solidFill>
                    <w14:schemeClr w14:val="tx1"/>
                  </w14:solidFill>
                </w14:textFill>
              </w:rPr>
            </w:pPr>
          </w:p>
        </w:tc>
        <w:tc>
          <w:tcPr>
            <w:tcW w:w="2976" w:type="dxa"/>
            <w:shd w:val="clear" w:color="auto" w:fill="auto"/>
            <w:tcMar>
              <w:left w:w="108" w:type="dxa"/>
              <w:right w:w="108" w:type="dxa"/>
            </w:tcMar>
            <w:vAlign w:val="center"/>
          </w:tcPr>
          <w:p w14:paraId="08DE7FF9">
            <w:pPr>
              <w:widowControl/>
              <w:spacing w:line="200" w:lineRule="exact"/>
              <w:rPr>
                <w:rFonts w:ascii="仿宋_GB2312" w:hAnsi="黑体" w:eastAsia="仿宋_GB2312"/>
                <w:color w:val="000000" w:themeColor="text1"/>
                <w:kern w:val="0"/>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7.属于行政执法案卷</w:t>
            </w:r>
          </w:p>
        </w:tc>
        <w:tc>
          <w:tcPr>
            <w:tcW w:w="761" w:type="dxa"/>
            <w:gridSpan w:val="4"/>
            <w:shd w:val="clear" w:color="auto" w:fill="auto"/>
            <w:tcMar>
              <w:left w:w="108" w:type="dxa"/>
              <w:right w:w="108" w:type="dxa"/>
            </w:tcMar>
            <w:vAlign w:val="center"/>
          </w:tcPr>
          <w:p w14:paraId="345C27B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8"/>
            <w:shd w:val="clear" w:color="auto" w:fill="auto"/>
            <w:tcMar>
              <w:left w:w="108" w:type="dxa"/>
              <w:right w:w="108" w:type="dxa"/>
            </w:tcMar>
            <w:vAlign w:val="center"/>
          </w:tcPr>
          <w:p w14:paraId="2450E54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0BFDE54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5A6869E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7D903FD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1EF3100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77E5FE9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031EE7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179B496">
            <w:pPr>
              <w:rPr>
                <w:rFonts w:ascii="黑体" w:hAnsi="黑体" w:eastAsia="黑体"/>
                <w:color w:val="000000" w:themeColor="text1"/>
                <w:szCs w:val="21"/>
                <w14:textFill>
                  <w14:solidFill>
                    <w14:schemeClr w14:val="tx1"/>
                  </w14:solidFill>
                </w14:textFill>
              </w:rPr>
            </w:pPr>
          </w:p>
        </w:tc>
        <w:tc>
          <w:tcPr>
            <w:tcW w:w="1701" w:type="dxa"/>
            <w:vMerge w:val="continue"/>
            <w:shd w:val="clear" w:color="auto" w:fill="auto"/>
            <w:tcMar>
              <w:left w:w="108" w:type="dxa"/>
              <w:right w:w="108" w:type="dxa"/>
            </w:tcMar>
            <w:vAlign w:val="center"/>
          </w:tcPr>
          <w:p w14:paraId="67196997">
            <w:pPr>
              <w:spacing w:line="200" w:lineRule="exact"/>
              <w:rPr>
                <w:rFonts w:ascii="黑体" w:hAnsi="黑体" w:eastAsia="黑体"/>
                <w:color w:val="000000" w:themeColor="text1"/>
                <w:szCs w:val="21"/>
                <w14:textFill>
                  <w14:solidFill>
                    <w14:schemeClr w14:val="tx1"/>
                  </w14:solidFill>
                </w14:textFill>
              </w:rPr>
            </w:pPr>
          </w:p>
        </w:tc>
        <w:tc>
          <w:tcPr>
            <w:tcW w:w="2976" w:type="dxa"/>
            <w:shd w:val="clear" w:color="auto" w:fill="auto"/>
            <w:tcMar>
              <w:left w:w="108" w:type="dxa"/>
              <w:right w:w="108" w:type="dxa"/>
            </w:tcMar>
            <w:vAlign w:val="center"/>
          </w:tcPr>
          <w:p w14:paraId="583C612E">
            <w:pPr>
              <w:widowControl/>
              <w:spacing w:line="200" w:lineRule="exact"/>
              <w:rPr>
                <w:rFonts w:ascii="仿宋_GB2312" w:hAnsi="黑体" w:eastAsia="仿宋_GB2312"/>
                <w:color w:val="000000" w:themeColor="text1"/>
                <w:kern w:val="0"/>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8.</w:t>
            </w:r>
            <w:bookmarkStart w:id="5" w:name="_Hlk66975211"/>
            <w:r>
              <w:rPr>
                <w:rFonts w:hint="eastAsia" w:ascii="仿宋_GB2312" w:hAnsi="黑体" w:eastAsia="仿宋_GB2312"/>
                <w:color w:val="000000" w:themeColor="text1"/>
                <w:kern w:val="0"/>
                <w:szCs w:val="21"/>
                <w14:textFill>
                  <w14:solidFill>
                    <w14:schemeClr w14:val="tx1"/>
                  </w14:solidFill>
                </w14:textFill>
              </w:rPr>
              <w:t>属于行政查询事项</w:t>
            </w:r>
            <w:bookmarkEnd w:id="5"/>
          </w:p>
        </w:tc>
        <w:tc>
          <w:tcPr>
            <w:tcW w:w="761" w:type="dxa"/>
            <w:gridSpan w:val="4"/>
            <w:shd w:val="clear" w:color="auto" w:fill="auto"/>
            <w:tcMar>
              <w:left w:w="108" w:type="dxa"/>
              <w:right w:w="108" w:type="dxa"/>
            </w:tcMar>
            <w:vAlign w:val="center"/>
          </w:tcPr>
          <w:p w14:paraId="1DDFDF9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9" w:type="dxa"/>
            <w:gridSpan w:val="8"/>
            <w:shd w:val="clear" w:color="auto" w:fill="auto"/>
            <w:tcMar>
              <w:left w:w="108" w:type="dxa"/>
              <w:right w:w="108" w:type="dxa"/>
            </w:tcMar>
            <w:vAlign w:val="center"/>
          </w:tcPr>
          <w:p w14:paraId="54515C2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1AE9AE5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51C14FD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2998E84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2448CCA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53FE818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4BC1D2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B67B4B8">
            <w:pPr>
              <w:rPr>
                <w:rFonts w:ascii="黑体" w:hAnsi="黑体" w:eastAsia="黑体"/>
                <w:color w:val="000000" w:themeColor="text1"/>
                <w:szCs w:val="21"/>
                <w14:textFill>
                  <w14:solidFill>
                    <w14:schemeClr w14:val="tx1"/>
                  </w14:solidFill>
                </w14:textFill>
              </w:rPr>
            </w:pPr>
          </w:p>
        </w:tc>
        <w:tc>
          <w:tcPr>
            <w:tcW w:w="1701" w:type="dxa"/>
            <w:vMerge w:val="restart"/>
            <w:shd w:val="clear" w:color="auto" w:fill="auto"/>
            <w:tcMar>
              <w:left w:w="108" w:type="dxa"/>
              <w:right w:w="108" w:type="dxa"/>
            </w:tcMar>
            <w:vAlign w:val="center"/>
          </w:tcPr>
          <w:p w14:paraId="39800F27">
            <w:pPr>
              <w:widowControl/>
              <w:spacing w:line="200" w:lineRule="exact"/>
              <w:ind w:left="-107" w:leftChars="-51"/>
              <w:rPr>
                <w:rFonts w:ascii="黑体" w:hAnsi="黑体" w:eastAsia="黑体"/>
                <w:color w:val="000000" w:themeColor="text1"/>
                <w:szCs w:val="21"/>
                <w14:textFill>
                  <w14:solidFill>
                    <w14:schemeClr w14:val="tx1"/>
                  </w14:solidFill>
                </w14:textFill>
              </w:rPr>
            </w:pPr>
            <w:r>
              <w:rPr>
                <w:rFonts w:hint="eastAsia" w:ascii="黑体" w:hAnsi="黑体" w:eastAsia="黑体"/>
                <w:color w:val="000000" w:themeColor="text1"/>
                <w:kern w:val="0"/>
                <w:szCs w:val="21"/>
                <w14:textFill>
                  <w14:solidFill>
                    <w14:schemeClr w14:val="tx1"/>
                  </w14:solidFill>
                </w14:textFill>
              </w:rPr>
              <w:t>（四）无法提供</w:t>
            </w:r>
          </w:p>
        </w:tc>
        <w:tc>
          <w:tcPr>
            <w:tcW w:w="2976" w:type="dxa"/>
            <w:shd w:val="clear" w:color="auto" w:fill="auto"/>
            <w:tcMar>
              <w:left w:w="108" w:type="dxa"/>
              <w:right w:w="108" w:type="dxa"/>
            </w:tcMar>
            <w:vAlign w:val="center"/>
          </w:tcPr>
          <w:p w14:paraId="36E17045">
            <w:pPr>
              <w:widowControl/>
              <w:spacing w:line="200" w:lineRule="exact"/>
              <w:rPr>
                <w:rFonts w:ascii="仿宋_GB2312" w:hAnsi="黑体" w:eastAsia="仿宋_GB2312"/>
                <w:color w:val="000000" w:themeColor="text1"/>
                <w:kern w:val="0"/>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1.本机关不掌握相关政府信息</w:t>
            </w:r>
          </w:p>
        </w:tc>
        <w:tc>
          <w:tcPr>
            <w:tcW w:w="765" w:type="dxa"/>
            <w:gridSpan w:val="5"/>
            <w:shd w:val="clear" w:color="auto" w:fill="auto"/>
            <w:tcMar>
              <w:left w:w="108" w:type="dxa"/>
              <w:right w:w="108" w:type="dxa"/>
            </w:tcMar>
            <w:vAlign w:val="center"/>
          </w:tcPr>
          <w:p w14:paraId="67510C8B">
            <w:pPr>
              <w:widowControl/>
              <w:spacing w:line="240" w:lineRule="exact"/>
              <w:jc w:val="center"/>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3</w:t>
            </w:r>
          </w:p>
        </w:tc>
        <w:tc>
          <w:tcPr>
            <w:tcW w:w="538" w:type="dxa"/>
            <w:gridSpan w:val="8"/>
            <w:shd w:val="clear" w:color="auto" w:fill="auto"/>
            <w:tcMar>
              <w:left w:w="108" w:type="dxa"/>
              <w:right w:w="108" w:type="dxa"/>
            </w:tcMar>
            <w:vAlign w:val="center"/>
          </w:tcPr>
          <w:p w14:paraId="7F485214">
            <w:pPr>
              <w:widowControl/>
              <w:spacing w:line="240" w:lineRule="exact"/>
              <w:jc w:val="center"/>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szCs w:val="21"/>
              </w:rPr>
              <w:t>0</w:t>
            </w:r>
          </w:p>
        </w:tc>
        <w:tc>
          <w:tcPr>
            <w:tcW w:w="524" w:type="dxa"/>
            <w:gridSpan w:val="3"/>
            <w:shd w:val="clear" w:color="auto" w:fill="auto"/>
            <w:tcMar>
              <w:left w:w="108" w:type="dxa"/>
              <w:right w:w="108" w:type="dxa"/>
            </w:tcMar>
            <w:vAlign w:val="center"/>
          </w:tcPr>
          <w:p w14:paraId="5C13CF43">
            <w:pPr>
              <w:widowControl/>
              <w:spacing w:line="240" w:lineRule="exact"/>
              <w:jc w:val="center"/>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0EDF4D61">
            <w:pPr>
              <w:widowControl/>
              <w:spacing w:line="240" w:lineRule="exact"/>
              <w:jc w:val="center"/>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61773CF6">
            <w:pPr>
              <w:widowControl/>
              <w:spacing w:line="240" w:lineRule="exact"/>
              <w:jc w:val="center"/>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szCs w:val="21"/>
              </w:rPr>
              <w:t>0</w:t>
            </w:r>
          </w:p>
        </w:tc>
        <w:tc>
          <w:tcPr>
            <w:tcW w:w="526" w:type="dxa"/>
            <w:gridSpan w:val="2"/>
            <w:shd w:val="clear" w:color="auto" w:fill="auto"/>
            <w:tcMar>
              <w:left w:w="108" w:type="dxa"/>
              <w:right w:w="108" w:type="dxa"/>
            </w:tcMar>
            <w:vAlign w:val="center"/>
          </w:tcPr>
          <w:p w14:paraId="5B56DF1E">
            <w:pPr>
              <w:widowControl/>
              <w:spacing w:line="240" w:lineRule="exact"/>
              <w:jc w:val="center"/>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78D8DB69">
            <w:pPr>
              <w:widowControl/>
              <w:spacing w:line="240" w:lineRule="exact"/>
              <w:jc w:val="center"/>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3</w:t>
            </w:r>
          </w:p>
        </w:tc>
      </w:tr>
      <w:tr w14:paraId="420F1F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B2A2395">
            <w:pPr>
              <w:rPr>
                <w:rFonts w:ascii="黑体" w:hAnsi="黑体" w:eastAsia="黑体"/>
                <w:color w:val="000000" w:themeColor="text1"/>
                <w:szCs w:val="21"/>
                <w14:textFill>
                  <w14:solidFill>
                    <w14:schemeClr w14:val="tx1"/>
                  </w14:solidFill>
                </w14:textFill>
              </w:rPr>
            </w:pPr>
          </w:p>
        </w:tc>
        <w:tc>
          <w:tcPr>
            <w:tcW w:w="1701" w:type="dxa"/>
            <w:vMerge w:val="continue"/>
            <w:shd w:val="clear" w:color="auto" w:fill="auto"/>
            <w:tcMar>
              <w:left w:w="108" w:type="dxa"/>
              <w:right w:w="108" w:type="dxa"/>
            </w:tcMar>
            <w:vAlign w:val="center"/>
          </w:tcPr>
          <w:p w14:paraId="5716DD0C">
            <w:pPr>
              <w:spacing w:line="200" w:lineRule="exact"/>
              <w:ind w:left="-107" w:leftChars="-51"/>
              <w:rPr>
                <w:rFonts w:ascii="黑体" w:hAnsi="黑体" w:eastAsia="黑体"/>
                <w:color w:val="000000" w:themeColor="text1"/>
                <w:szCs w:val="21"/>
                <w14:textFill>
                  <w14:solidFill>
                    <w14:schemeClr w14:val="tx1"/>
                  </w14:solidFill>
                </w14:textFill>
              </w:rPr>
            </w:pPr>
          </w:p>
        </w:tc>
        <w:tc>
          <w:tcPr>
            <w:tcW w:w="2976" w:type="dxa"/>
            <w:shd w:val="clear" w:color="auto" w:fill="auto"/>
            <w:tcMar>
              <w:left w:w="108" w:type="dxa"/>
              <w:right w:w="108" w:type="dxa"/>
            </w:tcMar>
            <w:vAlign w:val="center"/>
          </w:tcPr>
          <w:p w14:paraId="0FB29C74">
            <w:pPr>
              <w:widowControl/>
              <w:spacing w:line="200" w:lineRule="exact"/>
              <w:rPr>
                <w:rFonts w:ascii="仿宋_GB2312" w:hAnsi="黑体" w:eastAsia="仿宋_GB2312"/>
                <w:color w:val="000000" w:themeColor="text1"/>
                <w:kern w:val="0"/>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2.</w:t>
            </w:r>
            <w:bookmarkStart w:id="6" w:name="_Hlk66975392"/>
            <w:r>
              <w:rPr>
                <w:rFonts w:hint="eastAsia" w:ascii="仿宋_GB2312" w:hAnsi="黑体" w:eastAsia="仿宋_GB2312"/>
                <w:color w:val="000000" w:themeColor="text1"/>
                <w:kern w:val="0"/>
                <w:szCs w:val="21"/>
                <w14:textFill>
                  <w14:solidFill>
                    <w14:schemeClr w14:val="tx1"/>
                  </w14:solidFill>
                </w14:textFill>
              </w:rPr>
              <w:t>没有现成信息需要另行制作</w:t>
            </w:r>
            <w:bookmarkEnd w:id="6"/>
          </w:p>
        </w:tc>
        <w:tc>
          <w:tcPr>
            <w:tcW w:w="765" w:type="dxa"/>
            <w:gridSpan w:val="5"/>
            <w:shd w:val="clear" w:color="auto" w:fill="auto"/>
            <w:tcMar>
              <w:left w:w="108" w:type="dxa"/>
              <w:right w:w="108" w:type="dxa"/>
            </w:tcMar>
            <w:vAlign w:val="center"/>
          </w:tcPr>
          <w:p w14:paraId="148521F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8"/>
            <w:shd w:val="clear" w:color="auto" w:fill="auto"/>
            <w:tcMar>
              <w:left w:w="108" w:type="dxa"/>
              <w:right w:w="108" w:type="dxa"/>
            </w:tcMar>
            <w:vAlign w:val="center"/>
          </w:tcPr>
          <w:p w14:paraId="58FC584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4" w:type="dxa"/>
            <w:gridSpan w:val="3"/>
            <w:shd w:val="clear" w:color="auto" w:fill="auto"/>
            <w:tcMar>
              <w:left w:w="108" w:type="dxa"/>
              <w:right w:w="108" w:type="dxa"/>
            </w:tcMar>
            <w:vAlign w:val="center"/>
          </w:tcPr>
          <w:p w14:paraId="020B6D3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26FB2D2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760803A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7667570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16787D6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239A8D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406E714">
            <w:pPr>
              <w:rPr>
                <w:rFonts w:ascii="黑体" w:hAnsi="黑体" w:eastAsia="黑体"/>
                <w:color w:val="000000" w:themeColor="text1"/>
                <w:szCs w:val="21"/>
                <w14:textFill>
                  <w14:solidFill>
                    <w14:schemeClr w14:val="tx1"/>
                  </w14:solidFill>
                </w14:textFill>
              </w:rPr>
            </w:pPr>
          </w:p>
        </w:tc>
        <w:tc>
          <w:tcPr>
            <w:tcW w:w="1701" w:type="dxa"/>
            <w:vMerge w:val="continue"/>
            <w:shd w:val="clear" w:color="auto" w:fill="auto"/>
            <w:tcMar>
              <w:left w:w="108" w:type="dxa"/>
              <w:right w:w="108" w:type="dxa"/>
            </w:tcMar>
            <w:vAlign w:val="center"/>
          </w:tcPr>
          <w:p w14:paraId="12384D5A">
            <w:pPr>
              <w:spacing w:line="200" w:lineRule="exact"/>
              <w:ind w:left="-107" w:leftChars="-51"/>
              <w:rPr>
                <w:rFonts w:ascii="黑体" w:hAnsi="黑体" w:eastAsia="黑体"/>
                <w:color w:val="000000" w:themeColor="text1"/>
                <w:szCs w:val="21"/>
                <w14:textFill>
                  <w14:solidFill>
                    <w14:schemeClr w14:val="tx1"/>
                  </w14:solidFill>
                </w14:textFill>
              </w:rPr>
            </w:pPr>
          </w:p>
        </w:tc>
        <w:tc>
          <w:tcPr>
            <w:tcW w:w="2976" w:type="dxa"/>
            <w:shd w:val="clear" w:color="auto" w:fill="auto"/>
            <w:tcMar>
              <w:left w:w="108" w:type="dxa"/>
              <w:right w:w="108" w:type="dxa"/>
            </w:tcMar>
            <w:vAlign w:val="center"/>
          </w:tcPr>
          <w:p w14:paraId="3314D839">
            <w:pPr>
              <w:widowControl/>
              <w:spacing w:line="200" w:lineRule="exact"/>
              <w:rPr>
                <w:rFonts w:ascii="仿宋_GB2312" w:hAnsi="黑体" w:eastAsia="仿宋_GB2312"/>
                <w:color w:val="000000" w:themeColor="text1"/>
                <w:kern w:val="0"/>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3.</w:t>
            </w:r>
            <w:bookmarkStart w:id="7" w:name="_Hlk66975466"/>
            <w:r>
              <w:rPr>
                <w:rFonts w:hint="eastAsia" w:ascii="仿宋_GB2312" w:hAnsi="黑体" w:eastAsia="仿宋_GB2312"/>
                <w:color w:val="000000" w:themeColor="text1"/>
                <w:kern w:val="0"/>
                <w:szCs w:val="21"/>
                <w14:textFill>
                  <w14:solidFill>
                    <w14:schemeClr w14:val="tx1"/>
                  </w14:solidFill>
                </w14:textFill>
              </w:rPr>
              <w:t>补正后申请内容仍不明确</w:t>
            </w:r>
            <w:bookmarkEnd w:id="7"/>
          </w:p>
        </w:tc>
        <w:tc>
          <w:tcPr>
            <w:tcW w:w="765" w:type="dxa"/>
            <w:gridSpan w:val="5"/>
            <w:shd w:val="clear" w:color="auto" w:fill="auto"/>
            <w:tcMar>
              <w:left w:w="108" w:type="dxa"/>
              <w:right w:w="108" w:type="dxa"/>
            </w:tcMar>
            <w:vAlign w:val="center"/>
          </w:tcPr>
          <w:p w14:paraId="7851CA1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8"/>
            <w:shd w:val="clear" w:color="auto" w:fill="auto"/>
            <w:tcMar>
              <w:left w:w="108" w:type="dxa"/>
              <w:right w:w="108" w:type="dxa"/>
            </w:tcMar>
            <w:vAlign w:val="center"/>
          </w:tcPr>
          <w:p w14:paraId="3A7ADBD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4" w:type="dxa"/>
            <w:gridSpan w:val="3"/>
            <w:shd w:val="clear" w:color="auto" w:fill="auto"/>
            <w:tcMar>
              <w:left w:w="108" w:type="dxa"/>
              <w:right w:w="108" w:type="dxa"/>
            </w:tcMar>
            <w:vAlign w:val="center"/>
          </w:tcPr>
          <w:p w14:paraId="053B45C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417FBE2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08AA07E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0727495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3806F9A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411F58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3095843">
            <w:pPr>
              <w:rPr>
                <w:rFonts w:ascii="黑体" w:hAnsi="黑体" w:eastAsia="黑体"/>
                <w:color w:val="000000" w:themeColor="text1"/>
                <w:szCs w:val="21"/>
                <w14:textFill>
                  <w14:solidFill>
                    <w14:schemeClr w14:val="tx1"/>
                  </w14:solidFill>
                </w14:textFill>
              </w:rPr>
            </w:pPr>
          </w:p>
        </w:tc>
        <w:tc>
          <w:tcPr>
            <w:tcW w:w="1701" w:type="dxa"/>
            <w:vMerge w:val="restart"/>
            <w:shd w:val="clear" w:color="auto" w:fill="auto"/>
            <w:tcMar>
              <w:left w:w="108" w:type="dxa"/>
              <w:right w:w="108" w:type="dxa"/>
            </w:tcMar>
            <w:vAlign w:val="center"/>
          </w:tcPr>
          <w:p w14:paraId="0F6FACDA">
            <w:pPr>
              <w:widowControl/>
              <w:spacing w:line="200" w:lineRule="exact"/>
              <w:ind w:left="-107" w:leftChars="-51"/>
              <w:rPr>
                <w:rFonts w:ascii="黑体" w:hAnsi="黑体" w:eastAsia="黑体"/>
                <w:color w:val="000000" w:themeColor="text1"/>
                <w:szCs w:val="21"/>
                <w14:textFill>
                  <w14:solidFill>
                    <w14:schemeClr w14:val="tx1"/>
                  </w14:solidFill>
                </w14:textFill>
              </w:rPr>
            </w:pPr>
            <w:r>
              <w:rPr>
                <w:rFonts w:hint="eastAsia" w:ascii="黑体" w:hAnsi="黑体" w:eastAsia="黑体"/>
                <w:color w:val="000000" w:themeColor="text1"/>
                <w:kern w:val="0"/>
                <w:szCs w:val="21"/>
                <w14:textFill>
                  <w14:solidFill>
                    <w14:schemeClr w14:val="tx1"/>
                  </w14:solidFill>
                </w14:textFill>
              </w:rPr>
              <w:t>（五）不予处理</w:t>
            </w:r>
          </w:p>
        </w:tc>
        <w:tc>
          <w:tcPr>
            <w:tcW w:w="2976" w:type="dxa"/>
            <w:shd w:val="clear" w:color="auto" w:fill="auto"/>
            <w:tcMar>
              <w:left w:w="108" w:type="dxa"/>
              <w:right w:w="108" w:type="dxa"/>
            </w:tcMar>
            <w:vAlign w:val="center"/>
          </w:tcPr>
          <w:p w14:paraId="27A1FC32">
            <w:pPr>
              <w:widowControl/>
              <w:spacing w:line="200" w:lineRule="exact"/>
              <w:rPr>
                <w:rFonts w:ascii="仿宋_GB2312" w:hAnsi="黑体" w:eastAsia="仿宋_GB2312"/>
                <w:color w:val="000000" w:themeColor="text1"/>
                <w:kern w:val="0"/>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1.</w:t>
            </w:r>
            <w:bookmarkStart w:id="8" w:name="_Hlk66975537"/>
            <w:r>
              <w:rPr>
                <w:rFonts w:hint="eastAsia" w:ascii="仿宋_GB2312" w:hAnsi="黑体" w:eastAsia="仿宋_GB2312"/>
                <w:color w:val="000000" w:themeColor="text1"/>
                <w:kern w:val="0"/>
                <w:szCs w:val="21"/>
                <w14:textFill>
                  <w14:solidFill>
                    <w14:schemeClr w14:val="tx1"/>
                  </w14:solidFill>
                </w14:textFill>
              </w:rPr>
              <w:t>信访举报投诉类申请</w:t>
            </w:r>
            <w:bookmarkEnd w:id="8"/>
          </w:p>
        </w:tc>
        <w:tc>
          <w:tcPr>
            <w:tcW w:w="765" w:type="dxa"/>
            <w:gridSpan w:val="5"/>
            <w:shd w:val="clear" w:color="auto" w:fill="auto"/>
            <w:tcMar>
              <w:left w:w="108" w:type="dxa"/>
              <w:right w:w="108" w:type="dxa"/>
            </w:tcMar>
            <w:vAlign w:val="center"/>
          </w:tcPr>
          <w:p w14:paraId="087A3CC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8"/>
            <w:shd w:val="clear" w:color="auto" w:fill="auto"/>
            <w:tcMar>
              <w:left w:w="108" w:type="dxa"/>
              <w:right w:w="108" w:type="dxa"/>
            </w:tcMar>
            <w:vAlign w:val="center"/>
          </w:tcPr>
          <w:p w14:paraId="01C7DB4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4" w:type="dxa"/>
            <w:gridSpan w:val="3"/>
            <w:shd w:val="clear" w:color="auto" w:fill="auto"/>
            <w:tcMar>
              <w:left w:w="108" w:type="dxa"/>
              <w:right w:w="108" w:type="dxa"/>
            </w:tcMar>
            <w:vAlign w:val="center"/>
          </w:tcPr>
          <w:p w14:paraId="79B4B26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7B4711B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5764AF3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4D6915B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26C1667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46947C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4D8FC2A">
            <w:pPr>
              <w:rPr>
                <w:rFonts w:ascii="黑体" w:hAnsi="黑体" w:eastAsia="黑体"/>
                <w:color w:val="000000" w:themeColor="text1"/>
                <w:szCs w:val="21"/>
                <w14:textFill>
                  <w14:solidFill>
                    <w14:schemeClr w14:val="tx1"/>
                  </w14:solidFill>
                </w14:textFill>
              </w:rPr>
            </w:pPr>
          </w:p>
        </w:tc>
        <w:tc>
          <w:tcPr>
            <w:tcW w:w="1701" w:type="dxa"/>
            <w:vMerge w:val="continue"/>
            <w:shd w:val="clear" w:color="auto" w:fill="auto"/>
            <w:tcMar>
              <w:left w:w="108" w:type="dxa"/>
              <w:right w:w="108" w:type="dxa"/>
            </w:tcMar>
            <w:vAlign w:val="center"/>
          </w:tcPr>
          <w:p w14:paraId="3113FE0C">
            <w:pPr>
              <w:spacing w:line="200" w:lineRule="exact"/>
              <w:rPr>
                <w:rFonts w:ascii="黑体" w:hAnsi="黑体" w:eastAsia="黑体"/>
                <w:color w:val="000000" w:themeColor="text1"/>
                <w:szCs w:val="21"/>
                <w14:textFill>
                  <w14:solidFill>
                    <w14:schemeClr w14:val="tx1"/>
                  </w14:solidFill>
                </w14:textFill>
              </w:rPr>
            </w:pPr>
          </w:p>
        </w:tc>
        <w:tc>
          <w:tcPr>
            <w:tcW w:w="2976" w:type="dxa"/>
            <w:shd w:val="clear" w:color="auto" w:fill="auto"/>
            <w:tcMar>
              <w:left w:w="108" w:type="dxa"/>
              <w:right w:w="108" w:type="dxa"/>
            </w:tcMar>
            <w:vAlign w:val="center"/>
          </w:tcPr>
          <w:p w14:paraId="300134DB">
            <w:pPr>
              <w:widowControl/>
              <w:spacing w:line="200" w:lineRule="exact"/>
              <w:rPr>
                <w:rFonts w:ascii="仿宋_GB2312" w:hAnsi="黑体" w:eastAsia="仿宋_GB2312"/>
                <w:color w:val="000000" w:themeColor="text1"/>
                <w:kern w:val="0"/>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2.重复申请</w:t>
            </w:r>
          </w:p>
        </w:tc>
        <w:tc>
          <w:tcPr>
            <w:tcW w:w="768" w:type="dxa"/>
            <w:gridSpan w:val="6"/>
            <w:shd w:val="clear" w:color="auto" w:fill="auto"/>
            <w:tcMar>
              <w:left w:w="108" w:type="dxa"/>
              <w:right w:w="108" w:type="dxa"/>
            </w:tcMar>
            <w:vAlign w:val="center"/>
          </w:tcPr>
          <w:p w14:paraId="0BB5527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8"/>
            <w:shd w:val="clear" w:color="auto" w:fill="auto"/>
            <w:tcMar>
              <w:left w:w="108" w:type="dxa"/>
              <w:right w:w="108" w:type="dxa"/>
            </w:tcMar>
            <w:vAlign w:val="center"/>
          </w:tcPr>
          <w:p w14:paraId="19F6143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1" w:type="dxa"/>
            <w:gridSpan w:val="2"/>
            <w:shd w:val="clear" w:color="auto" w:fill="auto"/>
            <w:tcMar>
              <w:left w:w="108" w:type="dxa"/>
              <w:right w:w="108" w:type="dxa"/>
            </w:tcMar>
            <w:vAlign w:val="center"/>
          </w:tcPr>
          <w:p w14:paraId="57B34F6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4C3B119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15A99A9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2DDFD27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5BB77A1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652681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7899E6B">
            <w:pPr>
              <w:rPr>
                <w:rFonts w:ascii="黑体" w:hAnsi="黑体" w:eastAsia="黑体"/>
                <w:color w:val="000000" w:themeColor="text1"/>
                <w:szCs w:val="21"/>
                <w14:textFill>
                  <w14:solidFill>
                    <w14:schemeClr w14:val="tx1"/>
                  </w14:solidFill>
                </w14:textFill>
              </w:rPr>
            </w:pPr>
          </w:p>
        </w:tc>
        <w:tc>
          <w:tcPr>
            <w:tcW w:w="1701" w:type="dxa"/>
            <w:vMerge w:val="continue"/>
            <w:shd w:val="clear" w:color="auto" w:fill="auto"/>
            <w:tcMar>
              <w:left w:w="108" w:type="dxa"/>
              <w:right w:w="108" w:type="dxa"/>
            </w:tcMar>
            <w:vAlign w:val="center"/>
          </w:tcPr>
          <w:p w14:paraId="4321DF1A">
            <w:pPr>
              <w:spacing w:line="200" w:lineRule="exact"/>
              <w:rPr>
                <w:rFonts w:ascii="黑体" w:hAnsi="黑体" w:eastAsia="黑体"/>
                <w:color w:val="000000" w:themeColor="text1"/>
                <w:szCs w:val="21"/>
                <w14:textFill>
                  <w14:solidFill>
                    <w14:schemeClr w14:val="tx1"/>
                  </w14:solidFill>
                </w14:textFill>
              </w:rPr>
            </w:pPr>
          </w:p>
        </w:tc>
        <w:tc>
          <w:tcPr>
            <w:tcW w:w="2976" w:type="dxa"/>
            <w:shd w:val="clear" w:color="auto" w:fill="auto"/>
            <w:tcMar>
              <w:left w:w="108" w:type="dxa"/>
              <w:right w:w="108" w:type="dxa"/>
            </w:tcMar>
            <w:vAlign w:val="center"/>
          </w:tcPr>
          <w:p w14:paraId="0689D3B5">
            <w:pPr>
              <w:widowControl/>
              <w:spacing w:line="200" w:lineRule="exact"/>
              <w:rPr>
                <w:rFonts w:ascii="仿宋_GB2312" w:hAnsi="黑体" w:eastAsia="仿宋_GB2312"/>
                <w:color w:val="000000" w:themeColor="text1"/>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3.要求提供公开出版物</w:t>
            </w:r>
          </w:p>
        </w:tc>
        <w:tc>
          <w:tcPr>
            <w:tcW w:w="768" w:type="dxa"/>
            <w:gridSpan w:val="6"/>
            <w:shd w:val="clear" w:color="auto" w:fill="auto"/>
            <w:tcMar>
              <w:left w:w="108" w:type="dxa"/>
              <w:right w:w="108" w:type="dxa"/>
            </w:tcMar>
            <w:vAlign w:val="center"/>
          </w:tcPr>
          <w:p w14:paraId="2B12F8C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8"/>
            <w:shd w:val="clear" w:color="auto" w:fill="auto"/>
            <w:tcMar>
              <w:left w:w="108" w:type="dxa"/>
              <w:right w:w="108" w:type="dxa"/>
            </w:tcMar>
            <w:vAlign w:val="center"/>
          </w:tcPr>
          <w:p w14:paraId="65F56FC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1" w:type="dxa"/>
            <w:gridSpan w:val="2"/>
            <w:shd w:val="clear" w:color="auto" w:fill="auto"/>
            <w:tcMar>
              <w:left w:w="108" w:type="dxa"/>
              <w:right w:w="108" w:type="dxa"/>
            </w:tcMar>
            <w:vAlign w:val="center"/>
          </w:tcPr>
          <w:p w14:paraId="2026A74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5818042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4BEBD87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29C4FCC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273CAF9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6400A0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398BABDF">
            <w:pPr>
              <w:rPr>
                <w:rFonts w:ascii="黑体" w:hAnsi="黑体" w:eastAsia="黑体"/>
                <w:color w:val="000000" w:themeColor="text1"/>
                <w:szCs w:val="21"/>
                <w14:textFill>
                  <w14:solidFill>
                    <w14:schemeClr w14:val="tx1"/>
                  </w14:solidFill>
                </w14:textFill>
              </w:rPr>
            </w:pPr>
          </w:p>
        </w:tc>
        <w:tc>
          <w:tcPr>
            <w:tcW w:w="1701" w:type="dxa"/>
            <w:vMerge w:val="continue"/>
            <w:shd w:val="clear" w:color="auto" w:fill="auto"/>
            <w:tcMar>
              <w:left w:w="108" w:type="dxa"/>
              <w:right w:w="108" w:type="dxa"/>
            </w:tcMar>
            <w:vAlign w:val="center"/>
          </w:tcPr>
          <w:p w14:paraId="70274FE1">
            <w:pPr>
              <w:spacing w:line="200" w:lineRule="exact"/>
              <w:rPr>
                <w:rFonts w:ascii="黑体" w:hAnsi="黑体" w:eastAsia="黑体"/>
                <w:color w:val="000000" w:themeColor="text1"/>
                <w:szCs w:val="21"/>
                <w14:textFill>
                  <w14:solidFill>
                    <w14:schemeClr w14:val="tx1"/>
                  </w14:solidFill>
                </w14:textFill>
              </w:rPr>
            </w:pPr>
          </w:p>
        </w:tc>
        <w:tc>
          <w:tcPr>
            <w:tcW w:w="2976" w:type="dxa"/>
            <w:shd w:val="clear" w:color="auto" w:fill="auto"/>
            <w:tcMar>
              <w:left w:w="108" w:type="dxa"/>
              <w:right w:w="108" w:type="dxa"/>
            </w:tcMar>
            <w:vAlign w:val="center"/>
          </w:tcPr>
          <w:p w14:paraId="0121EA35">
            <w:pPr>
              <w:widowControl/>
              <w:spacing w:line="200" w:lineRule="exact"/>
              <w:rPr>
                <w:rFonts w:ascii="仿宋_GB2312" w:hAnsi="黑体" w:eastAsia="仿宋_GB2312"/>
                <w:color w:val="000000" w:themeColor="text1"/>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4.无正当理由大量反复申请</w:t>
            </w:r>
          </w:p>
        </w:tc>
        <w:tc>
          <w:tcPr>
            <w:tcW w:w="768" w:type="dxa"/>
            <w:gridSpan w:val="6"/>
            <w:shd w:val="clear" w:color="auto" w:fill="auto"/>
            <w:tcMar>
              <w:left w:w="108" w:type="dxa"/>
              <w:right w:w="108" w:type="dxa"/>
            </w:tcMar>
            <w:vAlign w:val="center"/>
          </w:tcPr>
          <w:p w14:paraId="0DD7378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8"/>
            <w:shd w:val="clear" w:color="auto" w:fill="auto"/>
            <w:tcMar>
              <w:left w:w="108" w:type="dxa"/>
              <w:right w:w="108" w:type="dxa"/>
            </w:tcMar>
            <w:vAlign w:val="center"/>
          </w:tcPr>
          <w:p w14:paraId="17797FA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1" w:type="dxa"/>
            <w:gridSpan w:val="2"/>
            <w:shd w:val="clear" w:color="auto" w:fill="auto"/>
            <w:tcMar>
              <w:left w:w="108" w:type="dxa"/>
              <w:right w:w="108" w:type="dxa"/>
            </w:tcMar>
            <w:vAlign w:val="center"/>
          </w:tcPr>
          <w:p w14:paraId="0C94938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5751EDE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698049D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42F647A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3B9E3E7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61316E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06DED7A7">
            <w:pPr>
              <w:rPr>
                <w:rFonts w:ascii="黑体" w:hAnsi="黑体" w:eastAsia="黑体"/>
                <w:color w:val="000000" w:themeColor="text1"/>
                <w:szCs w:val="21"/>
                <w14:textFill>
                  <w14:solidFill>
                    <w14:schemeClr w14:val="tx1"/>
                  </w14:solidFill>
                </w14:textFill>
              </w:rPr>
            </w:pPr>
          </w:p>
        </w:tc>
        <w:tc>
          <w:tcPr>
            <w:tcW w:w="1701" w:type="dxa"/>
            <w:vMerge w:val="continue"/>
            <w:shd w:val="clear" w:color="auto" w:fill="auto"/>
            <w:tcMar>
              <w:left w:w="108" w:type="dxa"/>
              <w:right w:w="108" w:type="dxa"/>
            </w:tcMar>
            <w:vAlign w:val="center"/>
          </w:tcPr>
          <w:p w14:paraId="04BC477C">
            <w:pPr>
              <w:spacing w:line="200" w:lineRule="exact"/>
              <w:rPr>
                <w:rFonts w:ascii="黑体" w:hAnsi="黑体" w:eastAsia="黑体"/>
                <w:color w:val="000000" w:themeColor="text1"/>
                <w:szCs w:val="21"/>
                <w14:textFill>
                  <w14:solidFill>
                    <w14:schemeClr w14:val="tx1"/>
                  </w14:solidFill>
                </w14:textFill>
              </w:rPr>
            </w:pPr>
          </w:p>
        </w:tc>
        <w:tc>
          <w:tcPr>
            <w:tcW w:w="2976" w:type="dxa"/>
            <w:shd w:val="clear" w:color="auto" w:fill="auto"/>
            <w:tcMar>
              <w:left w:w="108" w:type="dxa"/>
              <w:right w:w="108" w:type="dxa"/>
            </w:tcMar>
            <w:vAlign w:val="center"/>
          </w:tcPr>
          <w:p w14:paraId="614B01A1">
            <w:pPr>
              <w:widowControl/>
              <w:spacing w:line="300" w:lineRule="exact"/>
              <w:rPr>
                <w:rFonts w:ascii="仿宋_GB2312" w:hAnsi="黑体" w:eastAsia="仿宋_GB2312"/>
                <w:color w:val="000000" w:themeColor="text1"/>
                <w:kern w:val="0"/>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5.要求行政机关确认或重新</w:t>
            </w:r>
          </w:p>
          <w:p w14:paraId="132B9305">
            <w:pPr>
              <w:widowControl/>
              <w:spacing w:line="300" w:lineRule="exact"/>
              <w:ind w:firstLine="210" w:firstLineChars="100"/>
              <w:rPr>
                <w:rFonts w:ascii="仿宋_GB2312" w:hAnsi="黑体" w:eastAsia="仿宋_GB2312"/>
                <w:color w:val="000000" w:themeColor="text1"/>
                <w:szCs w:val="21"/>
                <w14:textFill>
                  <w14:solidFill>
                    <w14:schemeClr w14:val="tx1"/>
                  </w14:solidFill>
                </w14:textFill>
              </w:rPr>
            </w:pPr>
            <w:r>
              <w:rPr>
                <w:rFonts w:hint="eastAsia" w:ascii="仿宋_GB2312" w:hAnsi="黑体" w:eastAsia="仿宋_GB2312"/>
                <w:color w:val="000000" w:themeColor="text1"/>
                <w:kern w:val="0"/>
                <w:szCs w:val="21"/>
                <w14:textFill>
                  <w14:solidFill>
                    <w14:schemeClr w14:val="tx1"/>
                  </w14:solidFill>
                </w14:textFill>
              </w:rPr>
              <w:t>出具已获取信息</w:t>
            </w:r>
          </w:p>
        </w:tc>
        <w:tc>
          <w:tcPr>
            <w:tcW w:w="768" w:type="dxa"/>
            <w:gridSpan w:val="6"/>
            <w:shd w:val="clear" w:color="auto" w:fill="auto"/>
            <w:tcMar>
              <w:left w:w="108" w:type="dxa"/>
              <w:right w:w="108" w:type="dxa"/>
            </w:tcMar>
            <w:vAlign w:val="center"/>
          </w:tcPr>
          <w:p w14:paraId="7F79903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8"/>
            <w:shd w:val="clear" w:color="auto" w:fill="auto"/>
            <w:tcMar>
              <w:left w:w="108" w:type="dxa"/>
              <w:right w:w="108" w:type="dxa"/>
            </w:tcMar>
            <w:vAlign w:val="center"/>
          </w:tcPr>
          <w:p w14:paraId="3733110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1" w:type="dxa"/>
            <w:gridSpan w:val="2"/>
            <w:shd w:val="clear" w:color="auto" w:fill="auto"/>
            <w:tcMar>
              <w:left w:w="108" w:type="dxa"/>
              <w:right w:w="108" w:type="dxa"/>
            </w:tcMar>
            <w:vAlign w:val="center"/>
          </w:tcPr>
          <w:p w14:paraId="78562F9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0EBAB40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385C3C4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4FAE411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44905ED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08BC47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C43B72B">
            <w:pPr>
              <w:rPr>
                <w:rFonts w:ascii="黑体" w:hAnsi="黑体" w:eastAsia="黑体"/>
                <w:color w:val="000000" w:themeColor="text1"/>
                <w:szCs w:val="21"/>
                <w14:textFill>
                  <w14:solidFill>
                    <w14:schemeClr w14:val="tx1"/>
                  </w14:solidFill>
                </w14:textFill>
              </w:rPr>
            </w:pPr>
          </w:p>
        </w:tc>
        <w:tc>
          <w:tcPr>
            <w:tcW w:w="1701" w:type="dxa"/>
            <w:vMerge w:val="restart"/>
            <w:shd w:val="clear" w:color="auto" w:fill="auto"/>
            <w:tcMar>
              <w:left w:w="108" w:type="dxa"/>
              <w:right w:w="108" w:type="dxa"/>
            </w:tcMar>
            <w:vAlign w:val="center"/>
          </w:tcPr>
          <w:p w14:paraId="11FD6FD9">
            <w:pPr>
              <w:widowControl/>
              <w:spacing w:line="300" w:lineRule="exact"/>
              <w:rPr>
                <w:rFonts w:ascii="黑体" w:hAnsi="黑体" w:eastAsia="黑体"/>
                <w:color w:val="000000" w:themeColor="text1"/>
                <w:kern w:val="0"/>
                <w:szCs w:val="21"/>
                <w14:textFill>
                  <w14:solidFill>
                    <w14:schemeClr w14:val="tx1"/>
                  </w14:solidFill>
                </w14:textFill>
              </w:rPr>
            </w:pPr>
            <w:r>
              <w:rPr>
                <w:rFonts w:hint="eastAsia" w:ascii="黑体" w:hAnsi="黑体" w:eastAsia="黑体"/>
                <w:color w:val="000000" w:themeColor="text1"/>
                <w:kern w:val="0"/>
                <w:szCs w:val="21"/>
                <w14:textFill>
                  <w14:solidFill>
                    <w14:schemeClr w14:val="tx1"/>
                  </w14:solidFill>
                </w14:textFill>
              </w:rPr>
              <w:t>（六）其他处理</w:t>
            </w:r>
          </w:p>
        </w:tc>
        <w:tc>
          <w:tcPr>
            <w:tcW w:w="2976" w:type="dxa"/>
            <w:shd w:val="clear" w:color="auto" w:fill="auto"/>
            <w:vAlign w:val="center"/>
          </w:tcPr>
          <w:p w14:paraId="7311BDF5">
            <w:pPr>
              <w:widowControl/>
              <w:spacing w:line="300" w:lineRule="exact"/>
              <w:rPr>
                <w:rFonts w:ascii="仿宋_GB2312" w:hAnsi="楷体" w:eastAsia="仿宋_GB2312"/>
                <w:color w:val="000000" w:themeColor="text1"/>
                <w14:textFill>
                  <w14:solidFill>
                    <w14:schemeClr w14:val="tx1"/>
                  </w14:solidFill>
                </w14:textFill>
              </w:rPr>
            </w:pPr>
            <w:r>
              <w:rPr>
                <w:rFonts w:hint="eastAsia" w:ascii="仿宋_GB2312" w:hAnsi="楷体" w:eastAsia="仿宋_GB2312"/>
                <w:color w:val="000000" w:themeColor="text1"/>
                <w14:textFill>
                  <w14:solidFill>
                    <w14:schemeClr w14:val="tx1"/>
                  </w14:solidFill>
                </w14:textFill>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14:paraId="5850F93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8"/>
            <w:shd w:val="clear" w:color="auto" w:fill="auto"/>
            <w:tcMar>
              <w:left w:w="108" w:type="dxa"/>
              <w:right w:w="108" w:type="dxa"/>
            </w:tcMar>
            <w:vAlign w:val="center"/>
          </w:tcPr>
          <w:p w14:paraId="6BCD887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18" w:type="dxa"/>
            <w:shd w:val="clear" w:color="auto" w:fill="auto"/>
            <w:tcMar>
              <w:left w:w="108" w:type="dxa"/>
              <w:right w:w="108" w:type="dxa"/>
            </w:tcMar>
            <w:vAlign w:val="center"/>
          </w:tcPr>
          <w:p w14:paraId="64F3A4C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795E09B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72BBF4D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7EAC884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23E8A48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bookmarkStart w:id="10" w:name="_GoBack"/>
            <w:bookmarkEnd w:id="10"/>
          </w:p>
        </w:tc>
      </w:tr>
      <w:tr w14:paraId="310C51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68D2CE09">
            <w:pPr>
              <w:rPr>
                <w:rFonts w:ascii="黑体" w:hAnsi="黑体" w:eastAsia="黑体"/>
                <w:szCs w:val="21"/>
              </w:rPr>
            </w:pPr>
          </w:p>
        </w:tc>
        <w:tc>
          <w:tcPr>
            <w:tcW w:w="1701" w:type="dxa"/>
            <w:vMerge w:val="continue"/>
            <w:shd w:val="clear" w:color="auto" w:fill="auto"/>
            <w:tcMar>
              <w:left w:w="108" w:type="dxa"/>
              <w:right w:w="108" w:type="dxa"/>
            </w:tcMar>
            <w:vAlign w:val="center"/>
          </w:tcPr>
          <w:p w14:paraId="44BAE9F6">
            <w:pPr>
              <w:widowControl/>
              <w:spacing w:line="300" w:lineRule="exact"/>
              <w:rPr>
                <w:rFonts w:ascii="黑体" w:hAnsi="黑体" w:eastAsia="黑体"/>
                <w:kern w:val="0"/>
                <w:szCs w:val="21"/>
              </w:rPr>
            </w:pPr>
          </w:p>
        </w:tc>
        <w:tc>
          <w:tcPr>
            <w:tcW w:w="2976" w:type="dxa"/>
            <w:shd w:val="clear" w:color="auto" w:fill="auto"/>
            <w:vAlign w:val="center"/>
          </w:tcPr>
          <w:p w14:paraId="19D80477">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14:paraId="75868FC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8"/>
            <w:shd w:val="clear" w:color="auto" w:fill="auto"/>
            <w:tcMar>
              <w:left w:w="108" w:type="dxa"/>
              <w:right w:w="108" w:type="dxa"/>
            </w:tcMar>
            <w:vAlign w:val="center"/>
          </w:tcPr>
          <w:p w14:paraId="06B26DD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18" w:type="dxa"/>
            <w:shd w:val="clear" w:color="auto" w:fill="auto"/>
            <w:tcMar>
              <w:left w:w="108" w:type="dxa"/>
              <w:right w:w="108" w:type="dxa"/>
            </w:tcMar>
            <w:vAlign w:val="center"/>
          </w:tcPr>
          <w:p w14:paraId="4526951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0560F4D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28A7E5D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24B3BC0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3F8094C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47A1CD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14734BB">
            <w:pPr>
              <w:rPr>
                <w:rFonts w:ascii="黑体" w:hAnsi="黑体" w:eastAsia="黑体"/>
                <w:szCs w:val="21"/>
              </w:rPr>
            </w:pPr>
          </w:p>
        </w:tc>
        <w:tc>
          <w:tcPr>
            <w:tcW w:w="1701" w:type="dxa"/>
            <w:vMerge w:val="continue"/>
            <w:shd w:val="clear" w:color="auto" w:fill="auto"/>
            <w:tcMar>
              <w:left w:w="108" w:type="dxa"/>
              <w:right w:w="108" w:type="dxa"/>
            </w:tcMar>
            <w:vAlign w:val="center"/>
          </w:tcPr>
          <w:p w14:paraId="5731C901">
            <w:pPr>
              <w:widowControl/>
              <w:spacing w:line="300" w:lineRule="exact"/>
              <w:rPr>
                <w:rFonts w:ascii="黑体" w:hAnsi="黑体" w:eastAsia="黑体"/>
                <w:kern w:val="0"/>
                <w:szCs w:val="21"/>
              </w:rPr>
            </w:pPr>
          </w:p>
        </w:tc>
        <w:tc>
          <w:tcPr>
            <w:tcW w:w="2976" w:type="dxa"/>
            <w:shd w:val="clear" w:color="auto" w:fill="auto"/>
            <w:vAlign w:val="center"/>
          </w:tcPr>
          <w:p w14:paraId="26426AA3">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771" w:type="dxa"/>
            <w:gridSpan w:val="7"/>
            <w:shd w:val="clear" w:color="auto" w:fill="auto"/>
            <w:tcMar>
              <w:left w:w="108" w:type="dxa"/>
              <w:right w:w="108" w:type="dxa"/>
            </w:tcMar>
            <w:vAlign w:val="center"/>
          </w:tcPr>
          <w:p w14:paraId="75ABDB2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38" w:type="dxa"/>
            <w:gridSpan w:val="8"/>
            <w:shd w:val="clear" w:color="auto" w:fill="auto"/>
            <w:tcMar>
              <w:left w:w="108" w:type="dxa"/>
              <w:right w:w="108" w:type="dxa"/>
            </w:tcMar>
            <w:vAlign w:val="center"/>
          </w:tcPr>
          <w:p w14:paraId="39749F6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18" w:type="dxa"/>
            <w:shd w:val="clear" w:color="auto" w:fill="auto"/>
            <w:tcMar>
              <w:left w:w="108" w:type="dxa"/>
              <w:right w:w="108" w:type="dxa"/>
            </w:tcMar>
            <w:vAlign w:val="center"/>
          </w:tcPr>
          <w:p w14:paraId="6CA9B15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417B7E0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33784D6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32F4CDB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1823980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r w14:paraId="5C7117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65F0808">
            <w:pPr>
              <w:rPr>
                <w:rFonts w:ascii="黑体" w:hAnsi="黑体" w:eastAsia="黑体"/>
                <w:szCs w:val="21"/>
              </w:rPr>
            </w:pPr>
          </w:p>
        </w:tc>
        <w:tc>
          <w:tcPr>
            <w:tcW w:w="4677" w:type="dxa"/>
            <w:gridSpan w:val="2"/>
            <w:shd w:val="clear" w:color="auto" w:fill="auto"/>
            <w:tcMar>
              <w:left w:w="108" w:type="dxa"/>
              <w:right w:w="108" w:type="dxa"/>
            </w:tcMar>
            <w:vAlign w:val="center"/>
          </w:tcPr>
          <w:p w14:paraId="0ABCA2E7">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771" w:type="dxa"/>
            <w:gridSpan w:val="7"/>
            <w:shd w:val="clear" w:color="auto" w:fill="auto"/>
            <w:tcMar>
              <w:left w:w="108" w:type="dxa"/>
              <w:right w:w="108" w:type="dxa"/>
            </w:tcMar>
            <w:vAlign w:val="center"/>
          </w:tcPr>
          <w:p w14:paraId="46B4CFF6">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3</w:t>
            </w:r>
          </w:p>
        </w:tc>
        <w:tc>
          <w:tcPr>
            <w:tcW w:w="529" w:type="dxa"/>
            <w:gridSpan w:val="5"/>
            <w:shd w:val="clear" w:color="auto" w:fill="auto"/>
            <w:tcMar>
              <w:left w:w="108" w:type="dxa"/>
              <w:right w:w="108" w:type="dxa"/>
            </w:tcMar>
            <w:vAlign w:val="center"/>
          </w:tcPr>
          <w:p w14:paraId="4CD11BCE">
            <w:pPr>
              <w:widowControl/>
              <w:spacing w:line="240" w:lineRule="exact"/>
              <w:jc w:val="center"/>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szCs w:val="21"/>
              </w:rPr>
              <w:t>0</w:t>
            </w:r>
          </w:p>
        </w:tc>
        <w:tc>
          <w:tcPr>
            <w:tcW w:w="527" w:type="dxa"/>
            <w:gridSpan w:val="4"/>
            <w:shd w:val="clear" w:color="auto" w:fill="auto"/>
            <w:tcMar>
              <w:left w:w="108" w:type="dxa"/>
              <w:right w:w="108" w:type="dxa"/>
            </w:tcMar>
            <w:vAlign w:val="center"/>
          </w:tcPr>
          <w:p w14:paraId="0978B4AF">
            <w:pPr>
              <w:widowControl/>
              <w:spacing w:line="240" w:lineRule="exact"/>
              <w:jc w:val="center"/>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14:paraId="735CD4BE">
            <w:pPr>
              <w:widowControl/>
              <w:spacing w:line="240" w:lineRule="exact"/>
              <w:jc w:val="center"/>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14:paraId="27157E09">
            <w:pPr>
              <w:widowControl/>
              <w:spacing w:line="240" w:lineRule="exact"/>
              <w:jc w:val="center"/>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szCs w:val="21"/>
              </w:rPr>
              <w:t>0</w:t>
            </w:r>
          </w:p>
        </w:tc>
        <w:tc>
          <w:tcPr>
            <w:tcW w:w="526" w:type="dxa"/>
            <w:gridSpan w:val="2"/>
            <w:shd w:val="clear" w:color="auto" w:fill="auto"/>
            <w:tcMar>
              <w:left w:w="108" w:type="dxa"/>
              <w:right w:w="108" w:type="dxa"/>
            </w:tcMar>
            <w:vAlign w:val="center"/>
          </w:tcPr>
          <w:p w14:paraId="74A88638">
            <w:pPr>
              <w:widowControl/>
              <w:spacing w:line="240" w:lineRule="exact"/>
              <w:jc w:val="center"/>
              <w:rPr>
                <w:rFonts w:hint="eastAsia" w:ascii="仿宋_GB2312" w:hAnsi="Times New Roman" w:eastAsia="仿宋_GB2312" w:cstheme="minorBidi"/>
                <w:color w:val="000000" w:themeColor="text1"/>
                <w:kern w:val="2"/>
                <w:sz w:val="21"/>
                <w:szCs w:val="21"/>
                <w:lang w:val="en-US" w:eastAsia="zh-CN" w:bidi="ar-SA"/>
                <w14:textFill>
                  <w14:solidFill>
                    <w14:schemeClr w14:val="tx1"/>
                  </w14:solidFill>
                </w14:textFill>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14:paraId="428230CF">
            <w:pPr>
              <w:widowControl/>
              <w:spacing w:line="240" w:lineRule="exact"/>
              <w:jc w:val="center"/>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szCs w:val="21"/>
              </w:rPr>
              <w:t>3</w:t>
            </w:r>
          </w:p>
        </w:tc>
      </w:tr>
      <w:tr w14:paraId="26762D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292E014D">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771" w:type="dxa"/>
            <w:gridSpan w:val="7"/>
            <w:shd w:val="clear" w:color="auto" w:fill="auto"/>
            <w:tcMar>
              <w:left w:w="108" w:type="dxa"/>
              <w:right w:w="108" w:type="dxa"/>
            </w:tcMar>
            <w:vAlign w:val="center"/>
          </w:tcPr>
          <w:p w14:paraId="5A15118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9" w:type="dxa"/>
            <w:gridSpan w:val="5"/>
            <w:shd w:val="clear" w:color="auto" w:fill="auto"/>
            <w:tcMar>
              <w:left w:w="108" w:type="dxa"/>
              <w:right w:w="108" w:type="dxa"/>
            </w:tcMar>
            <w:vAlign w:val="center"/>
          </w:tcPr>
          <w:p w14:paraId="36A6415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7" w:type="dxa"/>
            <w:gridSpan w:val="4"/>
            <w:shd w:val="clear" w:color="auto" w:fill="auto"/>
            <w:tcMar>
              <w:left w:w="108" w:type="dxa"/>
              <w:right w:w="108" w:type="dxa"/>
            </w:tcMar>
            <w:vAlign w:val="center"/>
          </w:tcPr>
          <w:p w14:paraId="46F0D9A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20" w:type="dxa"/>
            <w:shd w:val="clear" w:color="auto" w:fill="auto"/>
            <w:tcMar>
              <w:left w:w="108" w:type="dxa"/>
              <w:right w:w="108" w:type="dxa"/>
            </w:tcMar>
            <w:vAlign w:val="center"/>
          </w:tcPr>
          <w:p w14:paraId="7336A43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675" w:type="dxa"/>
            <w:shd w:val="clear" w:color="auto" w:fill="auto"/>
            <w:tcMar>
              <w:left w:w="108" w:type="dxa"/>
              <w:right w:w="108" w:type="dxa"/>
            </w:tcMar>
            <w:vAlign w:val="center"/>
          </w:tcPr>
          <w:p w14:paraId="0C95338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526" w:type="dxa"/>
            <w:gridSpan w:val="2"/>
            <w:shd w:val="clear" w:color="auto" w:fill="auto"/>
            <w:tcMar>
              <w:left w:w="108" w:type="dxa"/>
              <w:right w:w="108" w:type="dxa"/>
            </w:tcMar>
            <w:vAlign w:val="center"/>
          </w:tcPr>
          <w:p w14:paraId="09E41D0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c>
          <w:tcPr>
            <w:tcW w:w="700" w:type="dxa"/>
            <w:shd w:val="clear" w:color="auto" w:fill="auto"/>
            <w:tcMar>
              <w:left w:w="108" w:type="dxa"/>
              <w:right w:w="108" w:type="dxa"/>
            </w:tcMar>
            <w:vAlign w:val="center"/>
          </w:tcPr>
          <w:p w14:paraId="7E429D4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000000" w:themeColor="text1"/>
                <w:szCs w:val="21"/>
                <w:lang w:val="en-US" w:eastAsia="zh-CN"/>
                <w14:textFill>
                  <w14:solidFill>
                    <w14:schemeClr w14:val="tx1"/>
                  </w14:solidFill>
                </w14:textFill>
              </w:rPr>
            </w:pPr>
            <w:r>
              <w:rPr>
                <w:rFonts w:hint="eastAsia" w:ascii="仿宋_GB2312" w:hAnsi="Times New Roman" w:eastAsia="仿宋_GB2312"/>
                <w:color w:val="000000" w:themeColor="text1"/>
                <w:szCs w:val="21"/>
                <w:lang w:val="en-US" w:eastAsia="zh-CN"/>
                <w14:textFill>
                  <w14:solidFill>
                    <w14:schemeClr w14:val="tx1"/>
                  </w14:solidFill>
                </w14:textFill>
              </w:rPr>
              <w:t>0</w:t>
            </w:r>
          </w:p>
        </w:tc>
      </w:tr>
    </w:tbl>
    <w:p w14:paraId="43A96923">
      <w:pPr>
        <w:spacing w:line="560" w:lineRule="exact"/>
        <w:ind w:firstLine="640" w:firstLineChars="200"/>
        <w:rPr>
          <w:rFonts w:ascii="黑体" w:hAnsi="黑体" w:eastAsia="黑体" w:cs="黑体"/>
          <w:bCs/>
          <w:color w:val="333333"/>
          <w:kern w:val="0"/>
          <w:sz w:val="32"/>
          <w:szCs w:val="32"/>
          <w:shd w:val="clear" w:color="auto" w:fill="FFFFFF"/>
          <w:lang w:bidi="ar"/>
        </w:rPr>
      </w:pPr>
      <w:r>
        <w:rPr>
          <w:rFonts w:hint="eastAsia" w:ascii="黑体" w:hAnsi="黑体" w:eastAsia="黑体" w:cs="黑体"/>
          <w:bCs/>
          <w:color w:val="333333"/>
          <w:kern w:val="0"/>
          <w:sz w:val="32"/>
          <w:szCs w:val="32"/>
          <w:shd w:val="clear" w:color="auto" w:fill="FFFFFF"/>
          <w:lang w:bidi="ar"/>
        </w:rPr>
        <w:t>四、政府信息公开行政复议、行政诉讼情况</w:t>
      </w:r>
    </w:p>
    <w:tbl>
      <w:tblPr>
        <w:tblStyle w:val="5"/>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2FA0D90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4A80387">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0B7480B">
            <w:pPr>
              <w:widowControl/>
              <w:jc w:val="center"/>
              <w:rPr>
                <w:rFonts w:ascii="黑体" w:hAnsi="黑体" w:eastAsia="黑体"/>
              </w:rPr>
            </w:pPr>
            <w:r>
              <w:rPr>
                <w:rFonts w:ascii="黑体" w:hAnsi="黑体" w:eastAsia="黑体"/>
                <w:kern w:val="0"/>
                <w:sz w:val="20"/>
                <w:szCs w:val="20"/>
              </w:rPr>
              <w:t>行政诉讼</w:t>
            </w:r>
          </w:p>
        </w:tc>
      </w:tr>
      <w:tr w14:paraId="3156D52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3C3AF8A">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14:paraId="0A2BBED7">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7BB4D770">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34083F9">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8D0D6C5">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14:paraId="46EA9825">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121F53E">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14:paraId="2F0C2E6F">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B0AF3A8">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A49ABCF">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14:paraId="00C7904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D50C84F">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1F3E6D74">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3866C97">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BFCD1AB">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9416FF4">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09624E69">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07E76C0">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E3AE9B2">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14:paraId="6B4493F5">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7140C91">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14:paraId="4E38717A">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984C0B8">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460A72D">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20957A1">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14:paraId="60197F90">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0D90AD4">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14:paraId="2410A4D7">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FAAB83A">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B5306AD">
            <w:pPr>
              <w:widowControl/>
              <w:jc w:val="center"/>
              <w:rPr>
                <w:rFonts w:ascii="黑体" w:hAnsi="黑体" w:eastAsia="黑体"/>
              </w:rPr>
            </w:pPr>
            <w:r>
              <w:rPr>
                <w:rFonts w:ascii="黑体" w:hAnsi="黑体" w:eastAsia="黑体"/>
                <w:kern w:val="0"/>
                <w:sz w:val="20"/>
                <w:szCs w:val="20"/>
              </w:rPr>
              <w:t>总计</w:t>
            </w:r>
          </w:p>
        </w:tc>
      </w:tr>
      <w:tr w14:paraId="2C152F6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8AFB7CF">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25445B74">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20F7015C">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A0D2AF2">
            <w:pPr>
              <w:widowControl/>
              <w:spacing w:after="180"/>
              <w:jc w:val="center"/>
              <w:rPr>
                <w:rFonts w:ascii="Times New Roman" w:hAnsi="Times New Roman"/>
              </w:rPr>
            </w:pPr>
            <w:r>
              <w:rPr>
                <w:rFonts w:hint="eastAsia" w:ascii="Times New Roman" w:hAnsi="Times New Roma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5B3C63C1">
            <w:pPr>
              <w:widowControl/>
              <w:spacing w:after="180"/>
              <w:jc w:val="center"/>
              <w:rPr>
                <w:rFonts w:ascii="Times New Roman" w:hAnsi="Times New Roman"/>
              </w:rPr>
            </w:pPr>
            <w:r>
              <w:rPr>
                <w:rFonts w:hint="eastAsia" w:ascii="Times New Roman" w:hAnsi="Times New Roma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0819BF8F">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F225DFA">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A7B2367">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A2279E2">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7D56ADD">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F156C82">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D46CD5F">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5241847">
            <w:pPr>
              <w:widowControl/>
              <w:spacing w:after="180"/>
              <w:jc w:val="center"/>
              <w:rPr>
                <w:rFonts w:ascii="Times New Roman" w:hAnsi="Times New Roman"/>
              </w:rPr>
            </w:pPr>
            <w:r>
              <w:rPr>
                <w:rFonts w:hint="eastAsia" w:ascii="Times New Roman" w:hAnsi="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41DA8707">
            <w:pPr>
              <w:widowControl/>
              <w:spacing w:after="180"/>
              <w:jc w:val="center"/>
              <w:rPr>
                <w:rFonts w:ascii="Times New Roman" w:hAnsi="Times New Roman"/>
              </w:rPr>
            </w:pPr>
            <w:r>
              <w:rPr>
                <w:rFonts w:hint="eastAsia" w:ascii="Times New Roman" w:hAnsi="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1DB03EF7">
            <w:pPr>
              <w:widowControl/>
              <w:spacing w:after="180"/>
              <w:jc w:val="center"/>
              <w:rPr>
                <w:rFonts w:ascii="Times New Roman" w:hAnsi="Times New Roman"/>
              </w:rPr>
            </w:pPr>
            <w:r>
              <w:rPr>
                <w:rFonts w:hint="eastAsia" w:ascii="Times New Roman" w:hAnsi="Times New Roman"/>
              </w:rPr>
              <w:t>0</w:t>
            </w:r>
          </w:p>
        </w:tc>
      </w:tr>
    </w:tbl>
    <w:p w14:paraId="50C65EDC">
      <w:pPr>
        <w:widowControl/>
        <w:jc w:val="left"/>
        <w:rPr>
          <w:rFonts w:ascii="仿宋_GB2312" w:hAnsi="Calibri" w:eastAsia="仿宋_GB2312" w:cs="Calibri"/>
          <w:color w:val="FF0000"/>
          <w:kern w:val="0"/>
          <w:szCs w:val="21"/>
        </w:rPr>
      </w:pPr>
    </w:p>
    <w:p w14:paraId="328DAC13">
      <w:pPr>
        <w:pStyle w:val="4"/>
        <w:widowControl/>
        <w:numPr>
          <w:ilvl w:val="0"/>
          <w:numId w:val="1"/>
        </w:numPr>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lang w:bidi="ar"/>
        </w:rPr>
      </w:pPr>
      <w:r>
        <w:rPr>
          <w:rFonts w:hint="eastAsia" w:ascii="黑体" w:hAnsi="黑体" w:eastAsia="黑体" w:cs="黑体"/>
          <w:bCs/>
          <w:color w:val="333333"/>
          <w:sz w:val="32"/>
          <w:szCs w:val="32"/>
          <w:shd w:val="clear" w:color="auto" w:fill="FFFFFF"/>
          <w:lang w:bidi="ar"/>
        </w:rPr>
        <w:t>存在的主要问题及改进情况</w:t>
      </w:r>
    </w:p>
    <w:p w14:paraId="60F2D651">
      <w:pPr>
        <w:pStyle w:val="4"/>
        <w:widowControl/>
        <w:autoSpaceDE w:val="0"/>
        <w:spacing w:beforeAutospacing="0" w:afterAutospacing="0" w:line="560" w:lineRule="exact"/>
        <w:ind w:firstLine="645"/>
        <w:jc w:val="both"/>
        <w:rPr>
          <w:rFonts w:ascii="Times New Roman" w:hAnsi="Times New Roman" w:eastAsia="仿宋_GB2312"/>
          <w:sz w:val="32"/>
          <w:szCs w:val="32"/>
        </w:rPr>
      </w:pPr>
      <w:r>
        <w:rPr>
          <w:rFonts w:hint="eastAsia" w:ascii="Times New Roman" w:hAnsi="Times New Roman" w:eastAsia="仿宋_GB2312"/>
          <w:sz w:val="32"/>
          <w:szCs w:val="32"/>
        </w:rPr>
        <w:t>存在的主要问题：一是栏目内容更新不及时；二是重点领域栏目内容不完善。</w:t>
      </w:r>
    </w:p>
    <w:p w14:paraId="7EB694F7">
      <w:pPr>
        <w:pStyle w:val="4"/>
        <w:widowControl/>
        <w:autoSpaceDE w:val="0"/>
        <w:spacing w:beforeAutospacing="0" w:afterAutospacing="0" w:line="560" w:lineRule="exact"/>
        <w:ind w:firstLine="645"/>
        <w:jc w:val="both"/>
        <w:rPr>
          <w:rFonts w:ascii="Times New Roman" w:hAnsi="Times New Roman" w:eastAsia="仿宋_GB2312"/>
          <w:sz w:val="32"/>
          <w:szCs w:val="32"/>
        </w:rPr>
      </w:pPr>
      <w:r>
        <w:rPr>
          <w:rFonts w:hint="eastAsia" w:ascii="Times New Roman" w:hAnsi="Times New Roman" w:eastAsia="仿宋_GB2312"/>
          <w:sz w:val="32"/>
          <w:szCs w:val="32"/>
        </w:rPr>
        <w:t>针对以上问题，我局下一步将改进措施，一是及时更新。继续组织专人对栏目信息进行逐项逐篇检查，保证栏目内容时效性；同时开展日常网站运维排查，及时更正文字表述错误，确保网站内容的有效性。二是完善内容。为进一步针对重点领域栏目内容进行细化分类，帮助群众更加全面直观地了解我局工作重点领域。三是提升质量。深入解读重要政策措施，提升重大政策解读质量，为环翠区海洋经济发展提供良好政务环境。</w:t>
      </w:r>
    </w:p>
    <w:p w14:paraId="25633777">
      <w:pPr>
        <w:pStyle w:val="4"/>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lang w:bidi="ar"/>
        </w:rPr>
      </w:pPr>
      <w:r>
        <w:rPr>
          <w:rFonts w:hint="eastAsia" w:ascii="黑体" w:hAnsi="黑体" w:eastAsia="黑体" w:cs="黑体"/>
          <w:bCs/>
          <w:color w:val="333333"/>
          <w:sz w:val="32"/>
          <w:szCs w:val="32"/>
          <w:shd w:val="clear" w:color="auto" w:fill="FFFFFF"/>
          <w:lang w:bidi="ar"/>
        </w:rPr>
        <w:t>六、其他需要报告的事项</w:t>
      </w:r>
    </w:p>
    <w:p w14:paraId="7EC6028C">
      <w:pPr>
        <w:pStyle w:val="4"/>
        <w:widowControl/>
        <w:autoSpaceDE w:val="0"/>
        <w:spacing w:beforeAutospacing="0" w:afterAutospacing="0" w:line="560" w:lineRule="exact"/>
        <w:ind w:firstLine="645"/>
        <w:jc w:val="both"/>
        <w:rPr>
          <w:rFonts w:ascii="Times New Roman" w:hAnsi="Times New Roman" w:eastAsia="仿宋_GB2312"/>
          <w:sz w:val="32"/>
          <w:szCs w:val="32"/>
        </w:rPr>
      </w:pPr>
      <w:r>
        <w:rPr>
          <w:rFonts w:ascii="Times New Roman" w:hAnsi="Times New Roman"/>
          <w:sz w:val="32"/>
          <w:szCs w:val="32"/>
        </w:rPr>
        <w:t>1</w:t>
      </w:r>
      <w:r>
        <w:rPr>
          <w:rFonts w:ascii="Times New Roman" w:hAnsi="Times New Roman" w:eastAsia="仿宋_GB2312"/>
          <w:sz w:val="32"/>
          <w:szCs w:val="32"/>
        </w:rPr>
        <w:t>.</w:t>
      </w:r>
      <w:r>
        <w:rPr>
          <w:rFonts w:ascii="Times New Roman" w:hAnsi="Times New Roman" w:eastAsia="楷体_GB2312"/>
          <w:sz w:val="32"/>
          <w:szCs w:val="32"/>
        </w:rPr>
        <w:t>政府信息公开收费方面：</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hint="eastAsia" w:ascii="Times New Roman" w:hAnsi="Times New Roman" w:eastAsia="仿宋_GB2312"/>
          <w:sz w:val="32"/>
          <w:szCs w:val="32"/>
        </w:rPr>
        <w:t>威海市环翠区海洋发展局</w:t>
      </w:r>
      <w:r>
        <w:rPr>
          <w:rFonts w:ascii="Times New Roman" w:hAnsi="Times New Roman" w:eastAsia="仿宋_GB2312"/>
          <w:sz w:val="32"/>
          <w:szCs w:val="32"/>
        </w:rPr>
        <w:t>未收取政府信息公开信息处理费。</w:t>
      </w:r>
    </w:p>
    <w:p w14:paraId="25727509">
      <w:pPr>
        <w:pStyle w:val="4"/>
        <w:widowControl/>
        <w:autoSpaceDE w:val="0"/>
        <w:spacing w:beforeAutospacing="0" w:afterAutospacing="0" w:line="560" w:lineRule="exact"/>
        <w:ind w:firstLine="645"/>
        <w:jc w:val="both"/>
        <w:rPr>
          <w:rFonts w:ascii="Times New Roman" w:hAnsi="Times New Roman" w:eastAsia="仿宋_GB2312"/>
          <w:sz w:val="32"/>
          <w:szCs w:val="32"/>
        </w:rPr>
      </w:pPr>
      <w:r>
        <w:rPr>
          <w:rFonts w:ascii="Times New Roman" w:hAnsi="Times New Roman"/>
          <w:sz w:val="32"/>
          <w:szCs w:val="32"/>
        </w:rPr>
        <w:t>2</w:t>
      </w:r>
      <w:r>
        <w:rPr>
          <w:rFonts w:ascii="Times New Roman" w:hAnsi="Times New Roman" w:eastAsia="仿宋_GB2312"/>
          <w:sz w:val="32"/>
          <w:szCs w:val="32"/>
        </w:rPr>
        <w:t>.</w:t>
      </w:r>
      <w:r>
        <w:rPr>
          <w:rFonts w:ascii="Times New Roman" w:hAnsi="Times New Roman" w:eastAsia="楷体_GB2312"/>
          <w:sz w:val="32"/>
          <w:szCs w:val="32"/>
        </w:rPr>
        <w:t>人大代表、政协委员提案办理方面：</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hint="eastAsia" w:ascii="Times New Roman" w:hAnsi="Times New Roman" w:eastAsia="仿宋_GB2312"/>
          <w:sz w:val="32"/>
          <w:szCs w:val="32"/>
        </w:rPr>
        <w:t>威海市环翠区海洋发展局未</w:t>
      </w:r>
      <w:r>
        <w:rPr>
          <w:rFonts w:ascii="Times New Roman" w:hAnsi="Times New Roman" w:eastAsia="仿宋_GB2312"/>
          <w:sz w:val="32"/>
          <w:szCs w:val="32"/>
        </w:rPr>
        <w:t>承办人大代表建议</w:t>
      </w:r>
      <w:r>
        <w:rPr>
          <w:rFonts w:hint="eastAsia" w:ascii="Times New Roman" w:hAnsi="Times New Roman" w:eastAsia="仿宋_GB2312"/>
          <w:sz w:val="32"/>
          <w:szCs w:val="32"/>
        </w:rPr>
        <w:t>和</w:t>
      </w:r>
      <w:r>
        <w:rPr>
          <w:rFonts w:ascii="Times New Roman" w:hAnsi="Times New Roman" w:eastAsia="仿宋_GB2312"/>
          <w:sz w:val="32"/>
          <w:szCs w:val="32"/>
        </w:rPr>
        <w:t>政协提案</w:t>
      </w:r>
      <w:r>
        <w:rPr>
          <w:rFonts w:hint="eastAsia" w:ascii="Times New Roman" w:hAnsi="Times New Roman" w:eastAsia="仿宋_GB2312"/>
          <w:sz w:val="32"/>
          <w:szCs w:val="32"/>
        </w:rPr>
        <w:t>。</w:t>
      </w:r>
    </w:p>
    <w:p w14:paraId="5DF1AD50">
      <w:pPr>
        <w:pStyle w:val="4"/>
        <w:widowControl/>
        <w:spacing w:beforeAutospacing="0" w:afterAutospacing="0" w:line="560" w:lineRule="exact"/>
        <w:ind w:firstLine="420"/>
        <w:rPr>
          <w:rFonts w:ascii="仿宋_GB2312" w:hAnsi="仿宋_GB2312" w:eastAsia="仿宋_GB2312" w:cs="仿宋_GB2312"/>
          <w:sz w:val="32"/>
          <w:szCs w:val="32"/>
        </w:rPr>
      </w:pPr>
      <w:r>
        <w:rPr>
          <w:rFonts w:ascii="Times New Roman" w:hAnsi="Times New Roman" w:eastAsia="仿宋_GB2312"/>
          <w:sz w:val="32"/>
          <w:szCs w:val="32"/>
        </w:rPr>
        <w:t>3.</w:t>
      </w:r>
      <w:r>
        <w:rPr>
          <w:rFonts w:ascii="Times New Roman" w:hAnsi="Times New Roman" w:eastAsia="楷体_GB2312"/>
          <w:sz w:val="32"/>
          <w:szCs w:val="32"/>
        </w:rPr>
        <w:t>其他方面：</w:t>
      </w:r>
      <w:r>
        <w:rPr>
          <w:rFonts w:hint="eastAsia" w:ascii="Times New Roman" w:hAnsi="Times New Roman" w:eastAsia="仿宋_GB2312"/>
          <w:sz w:val="32"/>
          <w:szCs w:val="32"/>
        </w:rPr>
        <w:t>一是为确保惠渔政策宣传到每一位渔民，全力打造线上线下全方位宣传体系，线上第一时间将各级惠渔政策在政务公开栏目进行专题宣传，同时通过微信群、短信通知等方式及时告知渔民，切实把好政策宣传出去。线下在政务服务中心显著位置开设政策宣传专区集中摆放各级政策文件，定期更新政策图解海报，同时在办事窗口摆放政策明白纸，加大窗口宣传力度，为办事人发放讲解政策明白纸，进一步提升渔民的政策知晓率。二是</w:t>
      </w:r>
      <w:r>
        <w:rPr>
          <w:rFonts w:ascii="Times New Roman" w:hAnsi="Times New Roman" w:eastAsia="仿宋_GB2312"/>
          <w:sz w:val="32"/>
          <w:szCs w:val="32"/>
        </w:rPr>
        <w:t>结合“政府公开日”，“6.6”全国放鱼日增殖放流志愿服务活动、“养护渔业资源·共建生态文明”志愿服务活动，在活动中组织专业人员通过摆放宣传展板、发放宣传单页等方式，现场向参与群众讲解增殖放流的相关知识，强调放流注意事项，让群众更深入地了解我局业务工作，拉近与人民群众之间的距离，提高其关爱海洋生态，养护水生资源的意识与责任，扩大政务公开宣传效果。</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1AF18C8"/>
    <w:rsid w:val="004834EF"/>
    <w:rsid w:val="0087047C"/>
    <w:rsid w:val="016920AE"/>
    <w:rsid w:val="07CF6002"/>
    <w:rsid w:val="08D157AC"/>
    <w:rsid w:val="10AA3286"/>
    <w:rsid w:val="10AFA3C6"/>
    <w:rsid w:val="11AF18C8"/>
    <w:rsid w:val="1A6A77C7"/>
    <w:rsid w:val="21E9640B"/>
    <w:rsid w:val="3F7F6D07"/>
    <w:rsid w:val="458A31C5"/>
    <w:rsid w:val="464F74E8"/>
    <w:rsid w:val="4B82154D"/>
    <w:rsid w:val="511E6463"/>
    <w:rsid w:val="52562A9A"/>
    <w:rsid w:val="54F23AC6"/>
    <w:rsid w:val="56F344A5"/>
    <w:rsid w:val="5B2F2252"/>
    <w:rsid w:val="657F7FC2"/>
    <w:rsid w:val="68C9088B"/>
    <w:rsid w:val="6C7C7FF0"/>
    <w:rsid w:val="77181135"/>
    <w:rsid w:val="7BFC1E22"/>
    <w:rsid w:val="7E2277F5"/>
    <w:rsid w:val="7F5D0D7A"/>
    <w:rsid w:val="7FECB664"/>
    <w:rsid w:val="7FF3217F"/>
    <w:rsid w:val="B6ACD53E"/>
    <w:rsid w:val="CFD98EC0"/>
    <w:rsid w:val="F95F4281"/>
    <w:rsid w:val="FABFFB74"/>
    <w:rsid w:val="FBBB773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0"/>
    <w:pPr>
      <w:spacing w:beforeAutospacing="1" w:afterAutospacing="1"/>
      <w:jc w:val="left"/>
      <w:outlineLvl w:val="0"/>
    </w:pPr>
    <w:rPr>
      <w:rFonts w:hint="eastAsia" w:ascii="宋体" w:hAnsi="宋体" w:eastAsia="宋体" w:cs="Times New Roman"/>
      <w:b/>
      <w:kern w:val="44"/>
      <w:sz w:val="48"/>
      <w:szCs w:val="48"/>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4">
    <w:name w:val="Normal (Web)"/>
    <w:basedOn w:val="1"/>
    <w:qFormat/>
    <w:uiPriority w:val="0"/>
    <w:pPr>
      <w:spacing w:beforeAutospacing="1" w:afterAutospacing="1"/>
      <w:jc w:val="left"/>
    </w:pPr>
    <w:rPr>
      <w:rFonts w:cs="Times New Roman"/>
      <w:kern w:val="0"/>
      <w:sz w:val="24"/>
    </w:rPr>
  </w:style>
  <w:style w:type="character" w:styleId="7">
    <w:name w:val="FollowedHyperlink"/>
    <w:basedOn w:val="6"/>
    <w:qFormat/>
    <w:uiPriority w:val="0"/>
    <w:rPr>
      <w:color w:val="800080"/>
      <w:u w:val="single"/>
    </w:rPr>
  </w:style>
  <w:style w:type="character" w:styleId="8">
    <w:name w:val="Hyperlink"/>
    <w:basedOn w:val="6"/>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Pages>
  <Words>2738</Words>
  <Characters>2863</Characters>
  <Lines>22</Lines>
  <Paragraphs>6</Paragraphs>
  <TotalTime>296</TotalTime>
  <ScaleCrop>false</ScaleCrop>
  <LinksUpToDate>false</LinksUpToDate>
  <CharactersWithSpaces>2864</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2023-01-16T23:45:00Z</dcterms:created>
  <dc:creator>诗人与熊</dc:creator>
  <cp:lastModifiedBy>Administrator</cp:lastModifiedBy>
  <cp:lastPrinted>2023-01-17T01:08:00Z</cp:lastPrinted>
  <dcterms:modified xsi:type="dcterms:W3CDTF">2024-11-26T06:30:15Z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CFF31A7724A14330A0C2286F8B6FA07F_13</vt:lpwstr>
  </property>
</Properties>
</file>