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黑体" w:cs="仿宋_GB2312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黑体" w:cs="仿宋_GB2312"/>
          <w:color w:val="000000"/>
          <w:sz w:val="32"/>
          <w:szCs w:val="32"/>
        </w:rPr>
        <w:t>附</w:t>
      </w:r>
      <w:r>
        <w:rPr>
          <w:rFonts w:hint="eastAsia" w:ascii="Times New Roman" w:hAnsi="Times New Roman" w:eastAsia="黑体" w:cs="仿宋_GB2312"/>
          <w:color w:val="000000"/>
          <w:sz w:val="32"/>
          <w:szCs w:val="32"/>
          <w:lang w:eastAsia="zh-CN"/>
        </w:rPr>
        <w:t>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文星简小标宋" w:hAnsi="文星简小标宋" w:eastAsia="文星简小标宋" w:cs="文星简小标宋"/>
          <w:kern w:val="0"/>
          <w:sz w:val="44"/>
          <w:szCs w:val="44"/>
        </w:rPr>
      </w:pPr>
      <w:r>
        <w:rPr>
          <w:rFonts w:hint="eastAsia" w:ascii="文星简小标宋" w:hAnsi="文星简小标宋" w:eastAsia="文星简小标宋" w:cs="文星简小标宋"/>
          <w:kern w:val="0"/>
          <w:sz w:val="44"/>
          <w:szCs w:val="44"/>
        </w:rPr>
        <w:t>2020年</w:t>
      </w:r>
      <w:r>
        <w:rPr>
          <w:rFonts w:hint="eastAsia" w:ascii="文星简小标宋" w:hAnsi="文星简小标宋" w:eastAsia="文星简小标宋" w:cs="文星简小标宋"/>
          <w:kern w:val="0"/>
          <w:sz w:val="44"/>
          <w:szCs w:val="44"/>
          <w:lang w:eastAsia="zh-CN"/>
        </w:rPr>
        <w:t>区</w:t>
      </w:r>
      <w:r>
        <w:rPr>
          <w:rFonts w:hint="eastAsia" w:ascii="文星简小标宋" w:hAnsi="文星简小标宋" w:eastAsia="文星简小标宋" w:cs="文星简小标宋"/>
          <w:kern w:val="0"/>
          <w:sz w:val="44"/>
          <w:szCs w:val="44"/>
        </w:rPr>
        <w:t>级预算支出分类管理清单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ascii="Times New Roman" w:hAnsi="Times New Roman" w:eastAsia="方正小标宋简体" w:cs="宋体"/>
          <w:kern w:val="0"/>
          <w:sz w:val="40"/>
          <w:szCs w:val="44"/>
        </w:rPr>
      </w:pPr>
    </w:p>
    <w:tbl>
      <w:tblPr>
        <w:tblStyle w:val="11"/>
        <w:tblW w:w="893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58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黑体" w:cs="宋体"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宋体"/>
                <w:bCs/>
                <w:kern w:val="0"/>
                <w:sz w:val="24"/>
              </w:rPr>
              <w:t>类别</w:t>
            </w:r>
            <w:r>
              <w:rPr>
                <w:rFonts w:ascii="Times New Roman" w:hAnsi="Times New Roman" w:eastAsia="黑体" w:cs="宋体"/>
                <w:bCs/>
                <w:kern w:val="0"/>
                <w:sz w:val="24"/>
              </w:rPr>
              <w:t>/项目</w:t>
            </w:r>
          </w:p>
        </w:tc>
        <w:tc>
          <w:tcPr>
            <w:tcW w:w="58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黑体" w:cs="宋体"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宋体"/>
                <w:bCs/>
                <w:kern w:val="0"/>
                <w:sz w:val="24"/>
              </w:rPr>
              <w:t>内</w:t>
            </w:r>
            <w:r>
              <w:rPr>
                <w:rFonts w:ascii="Times New Roman" w:hAnsi="Times New Roman" w:eastAsia="黑体" w:cs="宋体"/>
                <w:bCs/>
                <w:kern w:val="0"/>
                <w:sz w:val="24"/>
              </w:rPr>
              <w:t xml:space="preserve">   </w:t>
            </w:r>
            <w:r>
              <w:rPr>
                <w:rFonts w:hint="eastAsia" w:ascii="Times New Roman" w:hAnsi="Times New Roman" w:eastAsia="黑体" w:cs="宋体"/>
                <w:bCs/>
                <w:kern w:val="0"/>
                <w:sz w:val="24"/>
              </w:rPr>
              <w:t>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b/>
                <w:bCs/>
                <w:kern w:val="0"/>
                <w:sz w:val="24"/>
              </w:rPr>
              <w:t>一、重点保障类</w:t>
            </w:r>
            <w:r>
              <w:rPr>
                <w:rFonts w:hint="eastAsia" w:ascii="Times New Roman" w:hAnsi="Times New Roman"/>
                <w:b/>
                <w:bCs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31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（一）据实结算类民生支出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中央</w:t>
            </w:r>
            <w:r>
              <w:rPr>
                <w:rFonts w:hint="eastAsia" w:ascii="Times New Roman" w:hAnsi="Times New Roman" w:cs="宋体"/>
                <w:kern w:val="0"/>
                <w:sz w:val="24"/>
                <w:lang w:eastAsia="zh-CN"/>
              </w:rPr>
              <w:t>、</w:t>
            </w:r>
            <w:r>
              <w:rPr>
                <w:rFonts w:hint="eastAsia" w:ascii="Times New Roman" w:hAnsi="Times New Roman" w:cs="宋体"/>
                <w:kern w:val="0"/>
                <w:sz w:val="24"/>
              </w:rPr>
              <w:t>省</w:t>
            </w:r>
            <w:r>
              <w:rPr>
                <w:rFonts w:hint="eastAsia" w:ascii="Times New Roman" w:hAnsi="Times New Roman" w:cs="宋体"/>
                <w:kern w:val="0"/>
                <w:sz w:val="24"/>
                <w:lang w:eastAsia="zh-CN"/>
              </w:rPr>
              <w:t>、市和区委、区政府</w:t>
            </w:r>
            <w:r>
              <w:rPr>
                <w:rFonts w:hint="eastAsia" w:ascii="Times New Roman" w:hAnsi="Times New Roman" w:cs="宋体"/>
                <w:kern w:val="0"/>
                <w:sz w:val="24"/>
              </w:rPr>
              <w:t>确定的，补助对象和标准明确的民生类政策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31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（二）重点领域支出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“六稳”、“六保”、教育、</w:t>
            </w:r>
            <w:r>
              <w:rPr>
                <w:rFonts w:hint="eastAsia" w:ascii="Times New Roman" w:hAnsi="Times New Roman" w:cs="宋体"/>
                <w:kern w:val="0"/>
                <w:sz w:val="24"/>
                <w:lang w:eastAsia="zh-CN"/>
              </w:rPr>
              <w:t>人才</w:t>
            </w:r>
            <w:r>
              <w:rPr>
                <w:rFonts w:hint="eastAsia" w:ascii="Times New Roman" w:hAnsi="Times New Roman" w:cs="宋体"/>
                <w:kern w:val="0"/>
                <w:sz w:val="24"/>
              </w:rPr>
              <w:t>、扶贫、就业以及疫情防控和复工复产支出等支出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31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（三）重点项目建设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lang w:eastAsia="zh-CN"/>
              </w:rPr>
              <w:t>区</w:t>
            </w:r>
            <w:r>
              <w:rPr>
                <w:rFonts w:hint="eastAsia" w:ascii="Times New Roman" w:hAnsi="Times New Roman" w:cs="宋体"/>
                <w:kern w:val="0"/>
                <w:sz w:val="24"/>
              </w:rPr>
              <w:t>委、</w:t>
            </w:r>
            <w:r>
              <w:rPr>
                <w:rFonts w:hint="eastAsia" w:ascii="Times New Roman" w:hAnsi="Times New Roman" w:cs="宋体"/>
                <w:kern w:val="0"/>
                <w:sz w:val="24"/>
                <w:lang w:eastAsia="zh-CN"/>
              </w:rPr>
              <w:t>区</w:t>
            </w:r>
            <w:r>
              <w:rPr>
                <w:rFonts w:hint="eastAsia" w:ascii="Times New Roman" w:hAnsi="Times New Roman" w:cs="宋体"/>
                <w:kern w:val="0"/>
                <w:sz w:val="24"/>
              </w:rPr>
              <w:t>政府确定的水利、交通等重大建设项目，以及公共卫生、应急保障等补短板强弱项项目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3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b/>
                <w:bCs/>
                <w:kern w:val="0"/>
                <w:sz w:val="24"/>
              </w:rPr>
              <w:t>二、压减控制类</w:t>
            </w:r>
            <w:r>
              <w:rPr>
                <w:rFonts w:hint="eastAsia" w:ascii="Times New Roman" w:hAnsi="Times New Roman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31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（一）差旅费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</w:rPr>
              <w:t>在年初预算基础上再压减3</w:t>
            </w:r>
            <w:r>
              <w:rPr>
                <w:rFonts w:ascii="Times New Roman" w:hAnsi="Times New Roman"/>
                <w:kern w:val="0"/>
                <w:sz w:val="24"/>
              </w:rPr>
              <w:t>0%</w:t>
            </w:r>
            <w:r>
              <w:rPr>
                <w:rFonts w:hint="eastAsia" w:ascii="Times New Roman" w:hAnsi="Times New Roman"/>
                <w:kern w:val="0"/>
                <w:sz w:val="24"/>
              </w:rPr>
              <w:t>。除疫情防控需要等，尽可能采取电话、视频等方式，严格控制出差人数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31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</w:rPr>
              <w:t>（二）会议费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在年初预算基础上再压减6</w:t>
            </w:r>
            <w:r>
              <w:rPr>
                <w:rFonts w:ascii="Times New Roman" w:hAnsi="Times New Roman" w:cs="宋体"/>
                <w:kern w:val="0"/>
                <w:sz w:val="24"/>
              </w:rPr>
              <w:t>0%。除特殊情况外，尽可能采取视频形式召开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31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（三）培训费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在年初预算基础上再压减6</w:t>
            </w:r>
            <w:r>
              <w:rPr>
                <w:rFonts w:ascii="Times New Roman" w:hAnsi="Times New Roman" w:cs="宋体"/>
                <w:kern w:val="0"/>
                <w:sz w:val="24"/>
              </w:rPr>
              <w:t>0%。优先采取在线培训等网络授课形式。能在本地举办原则上不得到其他地区举办，单位内部具备培训条件的，应当充分利用内部培训场所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31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（四）公务接待费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</w:rPr>
              <w:t>在年初预算基础上再压减6</w:t>
            </w:r>
            <w:r>
              <w:rPr>
                <w:rFonts w:ascii="Times New Roman" w:hAnsi="Times New Roman"/>
                <w:kern w:val="0"/>
                <w:sz w:val="24"/>
              </w:rPr>
              <w:t>0%</w:t>
            </w:r>
            <w:r>
              <w:rPr>
                <w:rFonts w:hint="eastAsia" w:ascii="Times New Roman" w:hAnsi="Times New Roman"/>
                <w:kern w:val="0"/>
                <w:sz w:val="24"/>
              </w:rPr>
              <w:t>。严格执行公务接待审批制度，减少不必要的接待活动，对无公函的公务接待活动和来访人员不予接待。严格控制工作餐人数，严禁扩大接待范围、增加接待项目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31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（五）因公出国（境）费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</w:rPr>
              <w:t>受疫情影响无法执行的出国经费全部收回财政，不安排无实质内容的出国活动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31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（六）办公设备购置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除保障</w:t>
            </w:r>
            <w:r>
              <w:rPr>
                <w:rFonts w:hint="eastAsia" w:ascii="Times New Roman" w:hAnsi="Times New Roman" w:cs="宋体"/>
                <w:kern w:val="0"/>
                <w:sz w:val="24"/>
                <w:lang w:eastAsia="zh-CN"/>
              </w:rPr>
              <w:t>区</w:t>
            </w:r>
            <w:r>
              <w:rPr>
                <w:rFonts w:hint="eastAsia" w:ascii="Times New Roman" w:hAnsi="Times New Roman" w:cs="宋体"/>
                <w:kern w:val="0"/>
                <w:sz w:val="24"/>
              </w:rPr>
              <w:t>委、</w:t>
            </w:r>
            <w:r>
              <w:rPr>
                <w:rFonts w:hint="eastAsia" w:ascii="Times New Roman" w:hAnsi="Times New Roman" w:cs="宋体"/>
                <w:kern w:val="0"/>
                <w:sz w:val="24"/>
                <w:lang w:eastAsia="zh-CN"/>
              </w:rPr>
              <w:t>区</w:t>
            </w:r>
            <w:r>
              <w:rPr>
                <w:rFonts w:hint="eastAsia" w:ascii="Times New Roman" w:hAnsi="Times New Roman" w:cs="宋体"/>
                <w:kern w:val="0"/>
                <w:sz w:val="24"/>
              </w:rPr>
              <w:t>政府重点工作新成立机构、专班，以及开展科研、教育、勘探、公共安全、公共卫生、应急救援、农林水利等专业技术活动外，一律不再新增购置计算机设备、办公设备、办公家具（不含已签订政府采购合同的项目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4" w:hRule="atLeast"/>
          <w:jc w:val="center"/>
        </w:trPr>
        <w:tc>
          <w:tcPr>
            <w:tcW w:w="31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（七）非急需</w:t>
            </w:r>
            <w:r>
              <w:rPr>
                <w:rFonts w:hint="eastAsia" w:ascii="Times New Roman" w:hAnsi="Times New Roman" w:cs="宋体"/>
                <w:kern w:val="0"/>
                <w:sz w:val="24"/>
                <w:lang w:eastAsia="zh-CN"/>
              </w:rPr>
              <w:t>非</w:t>
            </w:r>
            <w:r>
              <w:rPr>
                <w:rFonts w:hint="eastAsia" w:ascii="Times New Roman" w:hAnsi="Times New Roman" w:cs="宋体"/>
                <w:kern w:val="0"/>
                <w:sz w:val="24"/>
              </w:rPr>
              <w:t>刚性支出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lang w:eastAsia="zh-CN"/>
              </w:rPr>
              <w:t>对政策目标不明确的一般奖补类支出、可暂缓实施的项目支出</w:t>
            </w:r>
            <w:r>
              <w:rPr>
                <w:rFonts w:hint="eastAsia" w:ascii="Times New Roman" w:hAnsi="Times New Roman" w:cs="宋体"/>
                <w:kern w:val="0"/>
                <w:sz w:val="24"/>
                <w:lang w:val="en-US" w:eastAsia="zh-CN"/>
              </w:rPr>
              <w:t>全部收回</w:t>
            </w:r>
            <w:r>
              <w:rPr>
                <w:rFonts w:hint="eastAsia" w:ascii="Times New Roman" w:hAnsi="Times New Roman" w:cs="宋体"/>
                <w:kern w:val="0"/>
                <w:sz w:val="24"/>
                <w:lang w:eastAsia="zh-CN"/>
              </w:rPr>
              <w:t>，非急需非刚性支出在年初预算压减基础上再压减</w:t>
            </w:r>
            <w:r>
              <w:rPr>
                <w:rFonts w:hint="eastAsia" w:ascii="Times New Roman" w:hAnsi="Times New Roman" w:cs="宋体"/>
                <w:kern w:val="0"/>
                <w:sz w:val="24"/>
                <w:lang w:val="en-US" w:eastAsia="zh-CN"/>
              </w:rPr>
              <w:t>60%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31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 w:cs="宋体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u w:val="none"/>
              </w:rPr>
              <w:t>（八）</w:t>
            </w:r>
            <w:r>
              <w:rPr>
                <w:rFonts w:hint="eastAsia" w:ascii="Times New Roman" w:hAnsi="Times New Roman" w:cs="宋体"/>
                <w:kern w:val="0"/>
                <w:sz w:val="24"/>
                <w:u w:val="none"/>
                <w:lang w:eastAsia="zh-CN"/>
              </w:rPr>
              <w:t>上级</w:t>
            </w:r>
            <w:r>
              <w:rPr>
                <w:rFonts w:hint="eastAsia" w:ascii="Times New Roman" w:hAnsi="Times New Roman" w:cs="宋体"/>
                <w:kern w:val="0"/>
                <w:sz w:val="24"/>
                <w:u w:val="none"/>
              </w:rPr>
              <w:t>转移支付资金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 w:cs="宋体"/>
                <w:kern w:val="0"/>
                <w:sz w:val="24"/>
                <w:u w:val="none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对于切块下达的上级转移支付资金，在国家、省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、市</w:t>
            </w:r>
            <w:r>
              <w:rPr>
                <w:rFonts w:hint="eastAsia" w:ascii="宋体" w:hAnsi="宋体" w:cs="宋体"/>
                <w:kern w:val="0"/>
                <w:sz w:val="24"/>
              </w:rPr>
              <w:t>政策允许的范围内，与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区</w:t>
            </w:r>
            <w:r>
              <w:rPr>
                <w:rFonts w:hint="eastAsia" w:ascii="宋体" w:hAnsi="宋体" w:cs="宋体"/>
                <w:kern w:val="0"/>
                <w:sz w:val="24"/>
              </w:rPr>
              <w:t>级同领域专项资金统筹安排;对于上级按项目法安排的资金，要优先遴选上报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区</w:t>
            </w:r>
            <w:r>
              <w:rPr>
                <w:rFonts w:hint="eastAsia" w:ascii="宋体" w:hAnsi="宋体" w:cs="宋体"/>
                <w:kern w:val="0"/>
                <w:sz w:val="24"/>
              </w:rPr>
              <w:t>委、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区</w:t>
            </w:r>
            <w:r>
              <w:rPr>
                <w:rFonts w:hint="eastAsia" w:ascii="宋体" w:hAnsi="宋体" w:cs="宋体"/>
                <w:kern w:val="0"/>
                <w:sz w:val="24"/>
              </w:rPr>
              <w:t>政府确定的重点项目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3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b/>
                <w:bCs/>
                <w:kern w:val="0"/>
                <w:sz w:val="24"/>
              </w:rPr>
              <w:t>三、禁止类</w:t>
            </w:r>
            <w:r>
              <w:rPr>
                <w:rFonts w:hint="eastAsia" w:ascii="Times New Roman" w:hAnsi="Times New Roman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  <w:jc w:val="center"/>
        </w:trPr>
        <w:tc>
          <w:tcPr>
            <w:tcW w:w="31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（一）办公用房购建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一律不新增安排楼堂馆所购置和建设经费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31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（二）办公用房修缮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除危房外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24"/>
              </w:rPr>
              <w:t>不得实施办公用房大中型维修改造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31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（三）公务用车购置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一律不安排一般公务用车购置支出预算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  <w:jc w:val="center"/>
        </w:trPr>
        <w:tc>
          <w:tcPr>
            <w:tcW w:w="31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（四）编外用人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党政机关、全额拨款事业单位一律不增加编外人员经费。应由本单位正常履行职责的工作事项，一律不得</w:t>
            </w:r>
            <w:r>
              <w:rPr>
                <w:rFonts w:hint="eastAsia" w:ascii="Times New Roman" w:hAnsi="Times New Roman" w:cs="宋体"/>
                <w:kern w:val="0"/>
                <w:sz w:val="24"/>
                <w:lang w:eastAsia="zh-CN"/>
              </w:rPr>
              <w:t>纳入政府购买服务范围或</w:t>
            </w:r>
            <w:r>
              <w:rPr>
                <w:rFonts w:hint="eastAsia" w:ascii="Times New Roman" w:hAnsi="Times New Roman" w:cs="宋体"/>
                <w:kern w:val="0"/>
                <w:sz w:val="24"/>
              </w:rPr>
              <w:t>通过政府购买服务方式变相增加编外人员经费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  <w:jc w:val="center"/>
        </w:trPr>
        <w:tc>
          <w:tcPr>
            <w:tcW w:w="31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（五）扩面提标和增支政策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除中央</w:t>
            </w:r>
            <w:r>
              <w:rPr>
                <w:rFonts w:hint="eastAsia" w:ascii="Times New Roman" w:hAnsi="Times New Roman" w:cs="宋体"/>
                <w:kern w:val="0"/>
                <w:sz w:val="24"/>
                <w:lang w:eastAsia="zh-CN"/>
              </w:rPr>
              <w:t>、</w:t>
            </w:r>
            <w:r>
              <w:rPr>
                <w:rFonts w:hint="eastAsia" w:ascii="Times New Roman" w:hAnsi="Times New Roman" w:cs="宋体"/>
                <w:kern w:val="0"/>
                <w:sz w:val="24"/>
              </w:rPr>
              <w:t>省</w:t>
            </w:r>
            <w:r>
              <w:rPr>
                <w:rFonts w:hint="eastAsia" w:ascii="Times New Roman" w:hAnsi="Times New Roman" w:cs="宋体"/>
                <w:kern w:val="0"/>
                <w:sz w:val="24"/>
                <w:lang w:eastAsia="zh-CN"/>
              </w:rPr>
              <w:t>、市和区委、区政府</w:t>
            </w:r>
            <w:r>
              <w:rPr>
                <w:rFonts w:hint="eastAsia" w:ascii="Times New Roman" w:hAnsi="Times New Roman" w:cs="宋体"/>
                <w:kern w:val="0"/>
                <w:sz w:val="24"/>
              </w:rPr>
              <w:t>有明确要求以及疫情防控需要外，一律不再出台扩面提标以及新的增支政策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ind w:left="0" w:firstLine="0" w:firstLineChars="0"/>
        <w:jc w:val="both"/>
        <w:textAlignment w:val="auto"/>
        <w:rPr>
          <w:rFonts w:hint="eastAsia" w:ascii="Times New Roman" w:hAnsi="Times New Roman" w:eastAsia="仿宋_GB2312" w:cs="仿宋_GB2312"/>
          <w:color w:val="000000"/>
          <w:highlight w:val="none"/>
          <w:lang w:val="zh-CN" w:eastAsia="zh-CN"/>
        </w:rPr>
      </w:pPr>
    </w:p>
    <w:p>
      <w:pPr>
        <w:pStyle w:val="2"/>
        <w:rPr>
          <w:rFonts w:hint="eastAsia" w:ascii="Times New Roman" w:hAnsi="Times New Roman" w:eastAsia="仿宋_GB2312" w:cs="仿宋_GB2312"/>
          <w:color w:val="000000"/>
          <w:highlight w:val="none"/>
          <w:lang w:val="zh-CN" w:eastAsia="zh-CN"/>
        </w:rPr>
      </w:pPr>
    </w:p>
    <w:p>
      <w:pPr>
        <w:pStyle w:val="2"/>
        <w:rPr>
          <w:rFonts w:hint="eastAsia" w:ascii="Times New Roman" w:hAnsi="Times New Roman" w:eastAsia="仿宋_GB2312" w:cs="仿宋_GB2312"/>
          <w:color w:val="000000"/>
          <w:highlight w:val="none"/>
          <w:lang w:val="zh-CN" w:eastAsia="zh-CN"/>
        </w:rPr>
      </w:pPr>
    </w:p>
    <w:p>
      <w:pPr>
        <w:pStyle w:val="2"/>
        <w:ind w:left="0" w:leftChars="0" w:firstLine="0" w:firstLineChars="0"/>
        <w:rPr>
          <w:rFonts w:hint="eastAsia" w:ascii="Times New Roman" w:hAnsi="Times New Roman" w:eastAsia="仿宋_GB2312" w:cs="仿宋_GB2312"/>
          <w:color w:val="000000"/>
          <w:highlight w:val="none"/>
          <w:lang w:val="zh-CN" w:eastAsia="zh-CN"/>
        </w:rPr>
        <w:sectPr>
          <w:footerReference r:id="rId5" w:type="default"/>
          <w:footerReference r:id="rId6" w:type="even"/>
          <w:pgSz w:w="11906" w:h="16838"/>
          <w:pgMar w:top="1701" w:right="1417" w:bottom="1701" w:left="1417" w:header="851" w:footer="1474" w:gutter="0"/>
          <w:pgNumType w:fmt="decimal"/>
          <w:cols w:space="0" w:num="1"/>
          <w:rtlGutter w:val="0"/>
          <w:docGrid w:type="lines" w:linePitch="443" w:charSpace="0"/>
        </w:sectPr>
      </w:pPr>
    </w:p>
    <w:p>
      <w:pPr>
        <w:pStyle w:val="2"/>
        <w:ind w:left="0" w:leftChars="0" w:firstLine="0" w:firstLineChars="0"/>
        <w:rPr>
          <w:rFonts w:hint="default" w:ascii="Times New Roman" w:hAnsi="Times New Roman" w:eastAsia="仿宋_GB2312" w:cs="Times New Roman"/>
          <w:kern w:val="0"/>
          <w:sz w:val="32"/>
          <w:szCs w:val="32"/>
          <w:u w:val="none"/>
        </w:rPr>
      </w:pPr>
    </w:p>
    <w:p>
      <w:pPr>
        <w:pStyle w:val="2"/>
        <w:rPr>
          <w:rFonts w:hint="default" w:ascii="Times New Roman" w:hAnsi="Times New Roman" w:eastAsia="仿宋_GB2312" w:cs="Times New Roman"/>
          <w:kern w:val="0"/>
          <w:sz w:val="32"/>
          <w:szCs w:val="32"/>
          <w:u w:val="none"/>
        </w:rPr>
      </w:pPr>
    </w:p>
    <w:p>
      <w:pPr>
        <w:pStyle w:val="2"/>
        <w:rPr>
          <w:rFonts w:hint="default" w:ascii="Times New Roman" w:hAnsi="Times New Roman" w:eastAsia="仿宋_GB2312" w:cs="Times New Roman"/>
          <w:kern w:val="0"/>
          <w:sz w:val="32"/>
          <w:szCs w:val="32"/>
          <w:u w:val="none"/>
        </w:rPr>
      </w:pPr>
    </w:p>
    <w:p>
      <w:pPr>
        <w:pStyle w:val="2"/>
        <w:rPr>
          <w:rFonts w:hint="default" w:ascii="Times New Roman" w:hAnsi="Times New Roman" w:eastAsia="仿宋_GB2312" w:cs="Times New Roman"/>
          <w:kern w:val="0"/>
          <w:sz w:val="32"/>
          <w:szCs w:val="32"/>
          <w:u w:val="none"/>
        </w:rPr>
      </w:pPr>
    </w:p>
    <w:p>
      <w:pPr>
        <w:spacing w:line="440" w:lineRule="exact"/>
        <w:ind w:right="-2" w:firstLine="323" w:firstLineChars="101"/>
        <w:jc w:val="left"/>
        <w:rPr>
          <w:rFonts w:hint="eastAsia" w:ascii="Times New Roman" w:hAnsi="Times New Roman" w:eastAsia="仿宋_GB2312" w:cs="仿宋_GB2312"/>
          <w:color w:val="000000"/>
          <w:highlight w:val="none"/>
          <w:lang w:val="zh-CN" w:eastAsia="zh-CN"/>
        </w:rPr>
      </w:pPr>
    </w:p>
    <w:sectPr>
      <w:footerReference r:id="rId7" w:type="default"/>
      <w:footerReference r:id="rId8" w:type="even"/>
      <w:pgSz w:w="11906" w:h="16838"/>
      <w:pgMar w:top="1701" w:right="1417" w:bottom="1701" w:left="1417" w:header="851" w:footer="1474" w:gutter="0"/>
      <w:pgNumType w:fmt="decimal"/>
      <w:cols w:space="0" w:num="1"/>
      <w:rtlGutter w:val="0"/>
      <w:docGrid w:type="lines" w:linePitch="443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文星简小标宋">
    <w:altName w:val="方正小标宋_GBK"/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8FiLy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A8FiLy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evenAndOddHeaders w:val="true"/>
  <w:drawingGridHorizontalSpacing w:val="160"/>
  <w:drawingGridVerticalSpacing w:val="221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2E17F4"/>
    <w:rsid w:val="00000DC6"/>
    <w:rsid w:val="000070D0"/>
    <w:rsid w:val="00011869"/>
    <w:rsid w:val="000214EE"/>
    <w:rsid w:val="00024391"/>
    <w:rsid w:val="00033CFA"/>
    <w:rsid w:val="000454FD"/>
    <w:rsid w:val="00057C70"/>
    <w:rsid w:val="00067E70"/>
    <w:rsid w:val="00071B89"/>
    <w:rsid w:val="000B0AA9"/>
    <w:rsid w:val="000C4207"/>
    <w:rsid w:val="000D3B6A"/>
    <w:rsid w:val="000E3772"/>
    <w:rsid w:val="000E72D4"/>
    <w:rsid w:val="000F1CBD"/>
    <w:rsid w:val="000F60CF"/>
    <w:rsid w:val="00103121"/>
    <w:rsid w:val="00132B1A"/>
    <w:rsid w:val="00135863"/>
    <w:rsid w:val="001375E5"/>
    <w:rsid w:val="00174CA8"/>
    <w:rsid w:val="00195E3D"/>
    <w:rsid w:val="001A0741"/>
    <w:rsid w:val="00206BC2"/>
    <w:rsid w:val="00221EF2"/>
    <w:rsid w:val="002360E2"/>
    <w:rsid w:val="002400DE"/>
    <w:rsid w:val="00244269"/>
    <w:rsid w:val="0024546E"/>
    <w:rsid w:val="002515A9"/>
    <w:rsid w:val="002624B9"/>
    <w:rsid w:val="00290DC4"/>
    <w:rsid w:val="002E485D"/>
    <w:rsid w:val="002E5578"/>
    <w:rsid w:val="0030667A"/>
    <w:rsid w:val="00322495"/>
    <w:rsid w:val="00342942"/>
    <w:rsid w:val="00363706"/>
    <w:rsid w:val="00370E48"/>
    <w:rsid w:val="003A1665"/>
    <w:rsid w:val="003A34A1"/>
    <w:rsid w:val="003D6AB4"/>
    <w:rsid w:val="003E0FE3"/>
    <w:rsid w:val="003E58B1"/>
    <w:rsid w:val="003F3E7A"/>
    <w:rsid w:val="00403883"/>
    <w:rsid w:val="00420AE8"/>
    <w:rsid w:val="00432EC5"/>
    <w:rsid w:val="00442375"/>
    <w:rsid w:val="00460175"/>
    <w:rsid w:val="00467BD9"/>
    <w:rsid w:val="004B0101"/>
    <w:rsid w:val="004B2BC4"/>
    <w:rsid w:val="004C1073"/>
    <w:rsid w:val="004E1C0A"/>
    <w:rsid w:val="004F5405"/>
    <w:rsid w:val="00501D11"/>
    <w:rsid w:val="0050533B"/>
    <w:rsid w:val="005168BA"/>
    <w:rsid w:val="00522DF7"/>
    <w:rsid w:val="00537CB4"/>
    <w:rsid w:val="00550372"/>
    <w:rsid w:val="00555A1C"/>
    <w:rsid w:val="00571171"/>
    <w:rsid w:val="0057392A"/>
    <w:rsid w:val="00585D7C"/>
    <w:rsid w:val="005878A4"/>
    <w:rsid w:val="005C2F39"/>
    <w:rsid w:val="00601AB6"/>
    <w:rsid w:val="00604808"/>
    <w:rsid w:val="0062014E"/>
    <w:rsid w:val="0067125A"/>
    <w:rsid w:val="0067266B"/>
    <w:rsid w:val="00674967"/>
    <w:rsid w:val="006A6058"/>
    <w:rsid w:val="006B0E53"/>
    <w:rsid w:val="006D0AAA"/>
    <w:rsid w:val="006D166F"/>
    <w:rsid w:val="006E3839"/>
    <w:rsid w:val="006E62D9"/>
    <w:rsid w:val="007049AB"/>
    <w:rsid w:val="00734965"/>
    <w:rsid w:val="00770205"/>
    <w:rsid w:val="00773EDE"/>
    <w:rsid w:val="007772BE"/>
    <w:rsid w:val="00785CA5"/>
    <w:rsid w:val="00793B12"/>
    <w:rsid w:val="007971A6"/>
    <w:rsid w:val="007A039F"/>
    <w:rsid w:val="007B03B7"/>
    <w:rsid w:val="007C56FD"/>
    <w:rsid w:val="007D00E4"/>
    <w:rsid w:val="007F022A"/>
    <w:rsid w:val="007F27BD"/>
    <w:rsid w:val="008122ED"/>
    <w:rsid w:val="0082720A"/>
    <w:rsid w:val="008326ED"/>
    <w:rsid w:val="00836FD8"/>
    <w:rsid w:val="00850474"/>
    <w:rsid w:val="008600BC"/>
    <w:rsid w:val="00861001"/>
    <w:rsid w:val="0086290D"/>
    <w:rsid w:val="00867865"/>
    <w:rsid w:val="008747A5"/>
    <w:rsid w:val="00883C0F"/>
    <w:rsid w:val="008941C0"/>
    <w:rsid w:val="00894DC7"/>
    <w:rsid w:val="008966F9"/>
    <w:rsid w:val="008D50DD"/>
    <w:rsid w:val="008E6A0E"/>
    <w:rsid w:val="00904D5F"/>
    <w:rsid w:val="00944525"/>
    <w:rsid w:val="009A2FFC"/>
    <w:rsid w:val="009B5A4E"/>
    <w:rsid w:val="009C04B6"/>
    <w:rsid w:val="009C678F"/>
    <w:rsid w:val="009D138E"/>
    <w:rsid w:val="009F2AE6"/>
    <w:rsid w:val="009F3800"/>
    <w:rsid w:val="009F52AD"/>
    <w:rsid w:val="00A2530D"/>
    <w:rsid w:val="00A3110E"/>
    <w:rsid w:val="00A3419A"/>
    <w:rsid w:val="00A51F06"/>
    <w:rsid w:val="00A70747"/>
    <w:rsid w:val="00A90F06"/>
    <w:rsid w:val="00A93112"/>
    <w:rsid w:val="00AB0CAE"/>
    <w:rsid w:val="00AB1BE9"/>
    <w:rsid w:val="00AD4430"/>
    <w:rsid w:val="00AE0162"/>
    <w:rsid w:val="00AE3168"/>
    <w:rsid w:val="00B026B0"/>
    <w:rsid w:val="00B14FFB"/>
    <w:rsid w:val="00B32FF8"/>
    <w:rsid w:val="00B40ACF"/>
    <w:rsid w:val="00B40E09"/>
    <w:rsid w:val="00B43642"/>
    <w:rsid w:val="00B528C4"/>
    <w:rsid w:val="00B5684E"/>
    <w:rsid w:val="00B76A87"/>
    <w:rsid w:val="00B86758"/>
    <w:rsid w:val="00B87380"/>
    <w:rsid w:val="00BA09FC"/>
    <w:rsid w:val="00BC2D05"/>
    <w:rsid w:val="00BD2967"/>
    <w:rsid w:val="00BD4E98"/>
    <w:rsid w:val="00BE258A"/>
    <w:rsid w:val="00C01E02"/>
    <w:rsid w:val="00C0546C"/>
    <w:rsid w:val="00C055AC"/>
    <w:rsid w:val="00C17E2F"/>
    <w:rsid w:val="00C361D2"/>
    <w:rsid w:val="00C421B9"/>
    <w:rsid w:val="00C4459B"/>
    <w:rsid w:val="00C50651"/>
    <w:rsid w:val="00C853D7"/>
    <w:rsid w:val="00C867AA"/>
    <w:rsid w:val="00CC1F0F"/>
    <w:rsid w:val="00CD0C8C"/>
    <w:rsid w:val="00D0556C"/>
    <w:rsid w:val="00D10CD0"/>
    <w:rsid w:val="00D246C7"/>
    <w:rsid w:val="00D3673C"/>
    <w:rsid w:val="00D405AE"/>
    <w:rsid w:val="00D4105D"/>
    <w:rsid w:val="00D55831"/>
    <w:rsid w:val="00D55C51"/>
    <w:rsid w:val="00DA2F44"/>
    <w:rsid w:val="00DC1870"/>
    <w:rsid w:val="00DC197A"/>
    <w:rsid w:val="00DC338D"/>
    <w:rsid w:val="00DE7962"/>
    <w:rsid w:val="00DF6892"/>
    <w:rsid w:val="00E2003F"/>
    <w:rsid w:val="00E447AB"/>
    <w:rsid w:val="00E50A02"/>
    <w:rsid w:val="00E563A3"/>
    <w:rsid w:val="00E576EB"/>
    <w:rsid w:val="00E60F53"/>
    <w:rsid w:val="00E70995"/>
    <w:rsid w:val="00E827AF"/>
    <w:rsid w:val="00E94405"/>
    <w:rsid w:val="00EA44BE"/>
    <w:rsid w:val="00EB357F"/>
    <w:rsid w:val="00EB5DC9"/>
    <w:rsid w:val="00EC1807"/>
    <w:rsid w:val="00EE3A90"/>
    <w:rsid w:val="00EE4115"/>
    <w:rsid w:val="00EF7C4B"/>
    <w:rsid w:val="00F011FB"/>
    <w:rsid w:val="00F013DC"/>
    <w:rsid w:val="00F41E84"/>
    <w:rsid w:val="00F43FC9"/>
    <w:rsid w:val="00F5343E"/>
    <w:rsid w:val="00F54675"/>
    <w:rsid w:val="00F95DFC"/>
    <w:rsid w:val="00FA2778"/>
    <w:rsid w:val="00FB5DA6"/>
    <w:rsid w:val="00FC1B89"/>
    <w:rsid w:val="00FD6023"/>
    <w:rsid w:val="00FE25D6"/>
    <w:rsid w:val="00FE6534"/>
    <w:rsid w:val="02187521"/>
    <w:rsid w:val="02AC5DD8"/>
    <w:rsid w:val="02C42611"/>
    <w:rsid w:val="041627B5"/>
    <w:rsid w:val="04683BE7"/>
    <w:rsid w:val="04F05267"/>
    <w:rsid w:val="06CB09D2"/>
    <w:rsid w:val="072546B3"/>
    <w:rsid w:val="07F66928"/>
    <w:rsid w:val="096A6C21"/>
    <w:rsid w:val="0B3751C9"/>
    <w:rsid w:val="0BBA27C6"/>
    <w:rsid w:val="0E027B0C"/>
    <w:rsid w:val="0F2E17F4"/>
    <w:rsid w:val="13184F4F"/>
    <w:rsid w:val="13A6259E"/>
    <w:rsid w:val="15801209"/>
    <w:rsid w:val="15C21B48"/>
    <w:rsid w:val="160E4A5F"/>
    <w:rsid w:val="179445F7"/>
    <w:rsid w:val="17AF164C"/>
    <w:rsid w:val="17F96C19"/>
    <w:rsid w:val="191E1457"/>
    <w:rsid w:val="195648E1"/>
    <w:rsid w:val="1B4E0776"/>
    <w:rsid w:val="1BA3324E"/>
    <w:rsid w:val="1D4808B2"/>
    <w:rsid w:val="1F997808"/>
    <w:rsid w:val="219D1A66"/>
    <w:rsid w:val="23B50DEC"/>
    <w:rsid w:val="23E0539E"/>
    <w:rsid w:val="2631496B"/>
    <w:rsid w:val="26543AF7"/>
    <w:rsid w:val="2BFC50A2"/>
    <w:rsid w:val="2D9753CF"/>
    <w:rsid w:val="2F4957AC"/>
    <w:rsid w:val="2F590FF2"/>
    <w:rsid w:val="30773B1D"/>
    <w:rsid w:val="30A169F6"/>
    <w:rsid w:val="31930E1D"/>
    <w:rsid w:val="34736FD5"/>
    <w:rsid w:val="35BE4D5A"/>
    <w:rsid w:val="366C1FBC"/>
    <w:rsid w:val="384E6B51"/>
    <w:rsid w:val="3A5D7380"/>
    <w:rsid w:val="3BC4059A"/>
    <w:rsid w:val="3BD745D6"/>
    <w:rsid w:val="3C623F63"/>
    <w:rsid w:val="3FBF18A0"/>
    <w:rsid w:val="401C6F7E"/>
    <w:rsid w:val="40C70A4D"/>
    <w:rsid w:val="410D329F"/>
    <w:rsid w:val="412A5E94"/>
    <w:rsid w:val="424101F6"/>
    <w:rsid w:val="42C52B71"/>
    <w:rsid w:val="43750209"/>
    <w:rsid w:val="44064F13"/>
    <w:rsid w:val="44281DA2"/>
    <w:rsid w:val="443100B5"/>
    <w:rsid w:val="46256296"/>
    <w:rsid w:val="46826C9A"/>
    <w:rsid w:val="469A7C83"/>
    <w:rsid w:val="479F1580"/>
    <w:rsid w:val="47DF4017"/>
    <w:rsid w:val="49797239"/>
    <w:rsid w:val="497F1DF1"/>
    <w:rsid w:val="4BAD2586"/>
    <w:rsid w:val="4C3567F0"/>
    <w:rsid w:val="4E123AE5"/>
    <w:rsid w:val="4FAB6346"/>
    <w:rsid w:val="500256E3"/>
    <w:rsid w:val="50665DFE"/>
    <w:rsid w:val="506C6F0B"/>
    <w:rsid w:val="51E77D3F"/>
    <w:rsid w:val="538F1B5C"/>
    <w:rsid w:val="54DD443A"/>
    <w:rsid w:val="55640354"/>
    <w:rsid w:val="58F96084"/>
    <w:rsid w:val="59F3038B"/>
    <w:rsid w:val="5B9D084B"/>
    <w:rsid w:val="5BC41930"/>
    <w:rsid w:val="5C145628"/>
    <w:rsid w:val="5E426ADA"/>
    <w:rsid w:val="5F1B0177"/>
    <w:rsid w:val="5F1D4025"/>
    <w:rsid w:val="5F2B1F77"/>
    <w:rsid w:val="5F64738E"/>
    <w:rsid w:val="60B378C4"/>
    <w:rsid w:val="61EE773E"/>
    <w:rsid w:val="632F5888"/>
    <w:rsid w:val="63934612"/>
    <w:rsid w:val="64262767"/>
    <w:rsid w:val="64820AC3"/>
    <w:rsid w:val="64B8553D"/>
    <w:rsid w:val="656352EE"/>
    <w:rsid w:val="65C22F5B"/>
    <w:rsid w:val="66D25327"/>
    <w:rsid w:val="690E051F"/>
    <w:rsid w:val="691A7CE3"/>
    <w:rsid w:val="6A633C54"/>
    <w:rsid w:val="6CAE0A99"/>
    <w:rsid w:val="6EEC54D6"/>
    <w:rsid w:val="70BB2FA2"/>
    <w:rsid w:val="72902D44"/>
    <w:rsid w:val="73347729"/>
    <w:rsid w:val="75ED26D6"/>
    <w:rsid w:val="779D98A4"/>
    <w:rsid w:val="791F565F"/>
    <w:rsid w:val="7A45465B"/>
    <w:rsid w:val="7B186604"/>
    <w:rsid w:val="7CF21681"/>
    <w:rsid w:val="7DFC4E5B"/>
    <w:rsid w:val="7E15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600" w:lineRule="exact"/>
      <w:jc w:val="both"/>
    </w:pPr>
    <w:rPr>
      <w:rFonts w:ascii="仿宋_GB2312" w:eastAsia="仿宋_GB2312" w:hAnsiTheme="minorHAnsi" w:cstheme="minorBidi"/>
      <w:kern w:val="2"/>
      <w:sz w:val="32"/>
      <w:szCs w:val="32"/>
      <w:lang w:val="en-US" w:eastAsia="zh-CN" w:bidi="ar-SA"/>
    </w:rPr>
  </w:style>
  <w:style w:type="paragraph" w:styleId="6">
    <w:name w:val="heading 1"/>
    <w:basedOn w:val="7"/>
    <w:next w:val="1"/>
    <w:qFormat/>
    <w:uiPriority w:val="0"/>
    <w:pPr>
      <w:keepNext/>
      <w:keepLines/>
      <w:spacing w:beforeLines="0" w:beforeAutospacing="0" w:afterLines="0" w:afterAutospacing="0" w:line="600" w:lineRule="exact"/>
      <w:ind w:firstLine="0" w:firstLineChars="0"/>
      <w:outlineLvl w:val="0"/>
    </w:pPr>
    <w:rPr>
      <w:rFonts w:ascii="Times New Roman" w:hAnsi="Times New Roman" w:eastAsia="方正小标宋简体" w:cs="Times New Roman"/>
      <w:b w:val="0"/>
      <w:kern w:val="44"/>
      <w:sz w:val="44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spacing w:after="120" w:line="240" w:lineRule="auto"/>
      <w:ind w:left="420" w:leftChars="200" w:firstLine="420"/>
    </w:pPr>
  </w:style>
  <w:style w:type="paragraph" w:styleId="3">
    <w:name w:val="Body Text Indent"/>
    <w:basedOn w:val="1"/>
    <w:next w:val="4"/>
    <w:qFormat/>
    <w:uiPriority w:val="99"/>
    <w:pPr>
      <w:spacing w:line="580" w:lineRule="exact"/>
      <w:ind w:firstLine="200" w:firstLineChars="200"/>
    </w:pPr>
  </w:style>
  <w:style w:type="paragraph" w:styleId="4">
    <w:name w:val="header"/>
    <w:basedOn w:val="1"/>
    <w:next w:val="5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5">
    <w:name w:val="footer"/>
    <w:basedOn w:val="1"/>
    <w:next w:val="1"/>
    <w:link w:val="16"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7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8">
    <w:name w:val="Body Text"/>
    <w:basedOn w:val="1"/>
    <w:qFormat/>
    <w:uiPriority w:val="0"/>
    <w:pPr>
      <w:spacing w:line="480" w:lineRule="exact"/>
    </w:pPr>
    <w:rPr>
      <w:rFonts w:eastAsia="仿宋_GB2312"/>
      <w:sz w:val="32"/>
      <w:szCs w:val="32"/>
    </w:rPr>
  </w:style>
  <w:style w:type="paragraph" w:styleId="9">
    <w:name w:val="Block Text"/>
    <w:basedOn w:val="1"/>
    <w:qFormat/>
    <w:uiPriority w:val="0"/>
    <w:pPr>
      <w:ind w:left="1289" w:leftChars="101" w:right="320" w:rightChars="100" w:hanging="966" w:hangingChars="483"/>
    </w:pPr>
    <w:rPr>
      <w:rFonts w:eastAsia="仿宋_GB2312"/>
      <w:sz w:val="32"/>
    </w:rPr>
  </w:style>
  <w:style w:type="paragraph" w:styleId="10">
    <w:name w:val="Balloon Text"/>
    <w:basedOn w:val="1"/>
    <w:link w:val="17"/>
    <w:qFormat/>
    <w:uiPriority w:val="0"/>
    <w:pPr>
      <w:spacing w:line="240" w:lineRule="auto"/>
    </w:pPr>
    <w:rPr>
      <w:sz w:val="18"/>
      <w:szCs w:val="18"/>
    </w:rPr>
  </w:style>
  <w:style w:type="table" w:styleId="12">
    <w:name w:val="Table Grid"/>
    <w:basedOn w:val="11"/>
    <w:unhideWhenUsed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page number"/>
    <w:basedOn w:val="13"/>
    <w:qFormat/>
    <w:uiPriority w:val="0"/>
  </w:style>
  <w:style w:type="character" w:customStyle="1" w:styleId="15">
    <w:name w:val="页眉 Char"/>
    <w:basedOn w:val="13"/>
    <w:link w:val="4"/>
    <w:qFormat/>
    <w:uiPriority w:val="0"/>
    <w:rPr>
      <w:rFonts w:ascii="仿宋_GB2312" w:eastAsia="仿宋_GB2312"/>
      <w:kern w:val="2"/>
      <w:sz w:val="18"/>
      <w:szCs w:val="18"/>
    </w:rPr>
  </w:style>
  <w:style w:type="character" w:customStyle="1" w:styleId="16">
    <w:name w:val="页脚 Char"/>
    <w:basedOn w:val="13"/>
    <w:link w:val="5"/>
    <w:qFormat/>
    <w:uiPriority w:val="99"/>
    <w:rPr>
      <w:rFonts w:ascii="仿宋_GB2312" w:eastAsia="仿宋_GB2312"/>
      <w:kern w:val="2"/>
      <w:sz w:val="18"/>
      <w:szCs w:val="18"/>
    </w:rPr>
  </w:style>
  <w:style w:type="character" w:customStyle="1" w:styleId="17">
    <w:name w:val="批注框文本 Char"/>
    <w:basedOn w:val="13"/>
    <w:link w:val="10"/>
    <w:qFormat/>
    <w:uiPriority w:val="0"/>
    <w:rPr>
      <w:rFonts w:ascii="仿宋_GB2312"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山东省财政厅</Company>
  <Pages>10</Pages>
  <Words>4765</Words>
  <Characters>4814</Characters>
  <Lines>21</Lines>
  <Paragraphs>6</Paragraphs>
  <TotalTime>5</TotalTime>
  <ScaleCrop>false</ScaleCrop>
  <LinksUpToDate>false</LinksUpToDate>
  <CharactersWithSpaces>4886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2020-05-29T18:57:00Z</dcterms:created>
  <dc:creator>李磊</dc:creator>
  <cp:lastModifiedBy>WPS_1528096066</cp:lastModifiedBy>
  <cp:lastPrinted>2020-10-21T14:27:00Z</cp:lastPrinted>
  <dcterms:modified xsi:type="dcterms:W3CDTF">2022-11-18T18:57:11Z</dcterms:modified>
  <dc:title>关于贯彻落实政府过紧日子要求进一步加强财政支出管理的通知</dc:title>
  <cp:revision>229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