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37907A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威海市环翠区综合行政执法局</w:t>
      </w:r>
    </w:p>
    <w:p w14:paraId="6BF2656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44"/>
          <w:szCs w:val="44"/>
          <w:lang w:val="en-US" w:eastAsia="zh-CN" w:bidi="ar"/>
        </w:rPr>
        <w:t>2025年政府信息公开工作年度报告</w:t>
      </w:r>
    </w:p>
    <w:p w14:paraId="7CCC78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</w:p>
    <w:p w14:paraId="6BB4F22E">
      <w:pPr>
        <w:pStyle w:val="3"/>
        <w:keepNext w:val="0"/>
        <w:keepLines w:val="0"/>
        <w:widowControl/>
        <w:suppressLineNumbers w:val="0"/>
        <w:spacing w:before="0" w:beforeAutospacing="0" w:after="0" w:afterAutospacing="0" w:line="368" w:lineRule="atLeast"/>
        <w:ind w:right="0" w:firstLine="640" w:firstLineChars="200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根据《中华人民共和国政府信息公开条例》（国务院令第711号，以下简称《条例》）和《中华人民共和国政府信息公开工作年度报告格式》（国办公开办函〔2021〕30号）要求，结合2025年环翠区综合行政执法局政府信息公开工作实际，编制发布本报告。</w:t>
      </w:r>
    </w:p>
    <w:p w14:paraId="79649279">
      <w:pPr>
        <w:pStyle w:val="3"/>
        <w:keepNext w:val="0"/>
        <w:keepLines w:val="0"/>
        <w:widowControl/>
        <w:suppressLineNumbers w:val="0"/>
        <w:spacing w:before="0" w:beforeAutospacing="0" w:after="0" w:afterAutospacing="0" w:line="368" w:lineRule="atLeast"/>
        <w:ind w:right="0" w:firstLine="640" w:firstLineChars="200"/>
        <w:jc w:val="both"/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 w:bidi="ar-SA"/>
        </w:rPr>
        <w:t>本报告内容包括：总体情况、主动公开政府信息情况、收到和处理政府信息公开申请情况、政府信息公开行政复议及行政诉讼情况、存在的主要问题及改进情况、其他事项，以及相关指标统计附表等。报告中所列数据统计期限从2025年1月1日到12月31日止。报告电子版可从威海市环翠区人民政府网站（网址：http://www.huancui.gov.cn/col/col57873/index.html）查阅或下载。公众如需进一步咨询了解相关信息，请与威海市环翠区综合行政执法局联系（地址：威海市环翠区杏花西街18号，电话：0631-5286577）。</w:t>
      </w:r>
    </w:p>
    <w:p w14:paraId="5342C4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一、总体情况</w:t>
      </w:r>
    </w:p>
    <w:p w14:paraId="3E3CB8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2025年，我局以习近平新时代中国特色社会主义思想为指导，深入贯彻落实《中华人民共和国政府信息公开条例》及上级政务公开工作部署，以群众需求为导向，推动政府信息公开工作向制度化、精细化、便民化迈进，切实保障人民群众的知情权、参与权、表达权和监督权。</w:t>
      </w:r>
    </w:p>
    <w:p w14:paraId="5DD4B6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1.主动公开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2025年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，我局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通过政府网站主动公开政府信息累计51条。其中，行政执法类信息17条，建议提案办理类信息3条，财政信息类4条，政务公开组织管理类信息3条，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“双随机、一公开”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类信息3条，会议类信息3条，规划计划类信息4条，人事任免类信息2条，通知公告类信息3条，其它类信息4条。</w:t>
      </w:r>
    </w:p>
    <w:p w14:paraId="0DE8E3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2.依申请公开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2025年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我局严格执行依申请公开办理规范，优化“接收-审核-办理-答复-归档”全流程闭环机制。全年共收到政府信息公开申请0件，未发生因政府信息公开引发的行政复议、行政诉讼案件。</w:t>
      </w:r>
    </w:p>
    <w:p w14:paraId="196CBD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3.政府信息管理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2025年，我局以提升透明度为核心目标，扎实推进政府信息管理工作。在主动公开事项目录建设方面，建立季度动态调整机制，定期评估更新目录内容，确保应公开事项全覆盖、无遗漏；保密审查环节严格执行分级分类审核制度，嵌入信息发布全流程，筑牢安全防线，切实保障政府信息规范管理。</w:t>
      </w:r>
    </w:p>
    <w:p w14:paraId="27ED32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4.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政府信息公开</w:t>
      </w:r>
      <w:r>
        <w:rPr>
          <w:rFonts w:hint="eastAsia" w:ascii="楷体_GB2312" w:hAnsi="楷体_GB2312" w:eastAsia="楷体_GB2312" w:cs="楷体_GB2312"/>
          <w:sz w:val="32"/>
          <w:szCs w:val="32"/>
        </w:rPr>
        <w:t>平台建设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2025年，我局强化平台运维管理，推行“专人专岗+AB角互补”机制，安排专职人员每日巡检平台运行状态，重点核查链接有效性、栏目更新时效性及内容合规性，确保问题“早发现、早处置”，保障平台稳定高效运行。</w:t>
      </w:r>
    </w:p>
    <w:p w14:paraId="1D9C50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5.监督保障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2025年，我局健全“主要领导牵头抓总、分管领导具体负责、科室负责人直接落实”的三级责任体系，建立“月度自查+季度通报”机制，围绕信息准确性、时效性、处罚与证照一致性等开展常态化检查，全年累计整改问题7项。同时，组织政务公开专题培训2次，覆盖全体工作人员，重点提升法规理解、流程操作及风险防范意识，切实增强队伍专业能力。</w:t>
      </w:r>
    </w:p>
    <w:p w14:paraId="373808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 w14:paraId="186A63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0E321F42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 w14:paraId="2BC60B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608794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7A3A4F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0E201F2B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97D652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 w14:paraId="0EB7E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988BC46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1D73D5C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CCCDDCB"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7328C524"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0BA977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3D43E6A1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2E07EFF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BC640D3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B407B93"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51CA0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12926FB9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 w14:paraId="5F6BAC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C2D3C23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229BDACF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224D48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7E73FA7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476AFC28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 w14:paraId="7F80E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2AEB26D9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 w14:paraId="5BDEDF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61A353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0D25D259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 w14:paraId="7E3AC3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495BBEA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44F1B857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仿宋_GB2312" w:eastAsia="仿宋_GB2312" w:cs="Calibri"/>
                <w:color w:val="auto"/>
                <w:kern w:val="0"/>
                <w:szCs w:val="21"/>
                <w:lang w:val="en-US" w:eastAsia="zh-CN"/>
              </w:rPr>
              <w:t>9</w:t>
            </w:r>
          </w:p>
        </w:tc>
      </w:tr>
      <w:tr w14:paraId="327137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692891E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001D22D8">
            <w:pPr>
              <w:widowControl/>
              <w:jc w:val="center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6</w:t>
            </w:r>
          </w:p>
        </w:tc>
      </w:tr>
      <w:tr w14:paraId="6DAAD2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noWrap w:val="0"/>
            <w:vAlign w:val="center"/>
          </w:tcPr>
          <w:p w14:paraId="5BD455B0"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 w14:paraId="1E907E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C634DE0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3BB48CD1"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 w14:paraId="6BF9EB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570B3EF6"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noWrap w:val="0"/>
            <w:vAlign w:val="center"/>
          </w:tcPr>
          <w:p w14:paraId="77BDF903">
            <w:pPr>
              <w:widowControl/>
              <w:jc w:val="center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 w14:paraId="629822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564"/>
        <w:gridCol w:w="559"/>
        <w:gridCol w:w="721"/>
        <w:gridCol w:w="777"/>
      </w:tblGrid>
      <w:tr w14:paraId="2AB1361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06505992"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 w14:paraId="7933EBD9"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19"/>
            <w:noWrap w:val="0"/>
            <w:tcMar>
              <w:left w:w="108" w:type="dxa"/>
              <w:right w:w="108" w:type="dxa"/>
            </w:tcMar>
            <w:vAlign w:val="center"/>
          </w:tcPr>
          <w:p w14:paraId="0F148592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 w14:paraId="7422A6B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34AA6D9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39564DF9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2924" w:type="dxa"/>
            <w:gridSpan w:val="17"/>
            <w:noWrap w:val="0"/>
            <w:tcMar>
              <w:left w:w="108" w:type="dxa"/>
              <w:right w:w="108" w:type="dxa"/>
            </w:tcMar>
            <w:vAlign w:val="center"/>
          </w:tcPr>
          <w:p w14:paraId="6A84B50C"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77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13496C86"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 w14:paraId="184A517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AD7920E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2AF9845"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19F81601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CB5D60E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5FFE2167"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387AF880"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5764B43C"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77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8A4A413"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 w14:paraId="2581CD8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9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03B68643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noWrap w:val="0"/>
            <w:tcMar>
              <w:left w:w="108" w:type="dxa"/>
              <w:right w:w="108" w:type="dxa"/>
            </w:tcMar>
            <w:vAlign w:val="center"/>
          </w:tcPr>
          <w:p w14:paraId="324A41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64E0CE5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7C45D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3D0B97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00A98F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602596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497B9F8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89CEC1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0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228D4EC9"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noWrap w:val="0"/>
            <w:tcMar>
              <w:left w:w="108" w:type="dxa"/>
              <w:right w:w="108" w:type="dxa"/>
            </w:tcMar>
            <w:vAlign w:val="center"/>
          </w:tcPr>
          <w:p w14:paraId="7A042BC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6E11EE6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6608157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7CE365D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3CB9F5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1DF0484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58E3A2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12E44A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53BE9412"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01D2DFA0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297050B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0FB069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4F20CA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05C77C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231AB6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2C6C35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2CC1F3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E74827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32AA4C3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96AF7D1">
            <w:pPr>
              <w:widowControl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（二）部分公开</w:t>
            </w:r>
            <w:r>
              <w:rPr>
                <w:rFonts w:hint="eastAsia" w:ascii="楷体_GB2312" w:hAnsi="楷体_GB2312" w:eastAsia="楷体_GB2312" w:cs="楷体_GB2312"/>
                <w:kern w:val="0"/>
                <w:szCs w:val="21"/>
              </w:rPr>
              <w:t>（</w:t>
            </w:r>
            <w:bookmarkStart w:id="1" w:name="_Hlk66973981"/>
            <w:r>
              <w:rPr>
                <w:rFonts w:hint="eastAsia" w:ascii="楷体_GB2312" w:hAnsi="楷体_GB2312" w:eastAsia="楷体_GB2312" w:cs="楷体_GB2312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楷体_GB2312" w:hAnsi="楷体_GB2312" w:eastAsia="楷体_GB2312" w:cs="楷体_GB2312"/>
                <w:kern w:val="0"/>
                <w:szCs w:val="21"/>
              </w:rPr>
              <w:t>）</w:t>
            </w:r>
          </w:p>
        </w:tc>
        <w:tc>
          <w:tcPr>
            <w:tcW w:w="752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D7DFA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7E571C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700127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6B9D53E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0051AA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609888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72EA4E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4136D9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1949154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7D7181E1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535C339B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1.属于国家秘密</w:t>
            </w:r>
          </w:p>
        </w:tc>
        <w:tc>
          <w:tcPr>
            <w:tcW w:w="752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6787D5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F74CEB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02852A5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3BC887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52C54D3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5D4F40B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277AC0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45D71B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D8B42CA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7F85224C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70E901F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宋体" w:hAnsi="宋体" w:eastAsia="宋体" w:cs="宋体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75BEE4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0DAFB74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079FD1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1CDE6B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6CDC4D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179FE16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41CB01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497C2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15C92BF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88E262C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4DA94447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610A22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7E93D6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595ADF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23C060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3BB0825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30ADDA5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184EF6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4AC698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38FC92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675CC06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552D4D51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宋体" w:hAnsi="宋体" w:eastAsia="宋体" w:cs="宋体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4E6C68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8A4A7A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26156D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2BCAEF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13BBA7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423524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459D417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111BC1D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3E18888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7959A494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3CB39EA6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52B78B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4B4F9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591BE5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404E39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19BBF00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4F40200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369DB97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64944CD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DD33B44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788327BE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56D0C2AE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宋体" w:hAnsi="宋体" w:eastAsia="宋体" w:cs="宋体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20099B1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E0B4E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5C816A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014570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58D9383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1DB3A7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070786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1EEB68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A5BAEBF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B1A2CE8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45AF9172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30DC43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10B6453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69CA864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4A758F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653FE9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3160586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13C5162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4D62FE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6B5DCE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9B74A1A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45C990CD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宋体" w:hAnsi="宋体" w:eastAsia="宋体" w:cs="宋体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31972C6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6852D6B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7729172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561E8C7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7DD816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290F09E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60517C9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53A3BAE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5EF8964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2F51C9AB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734FD011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525CDE9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3C9C7A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6984EC3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089C50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2BFF909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7A2C30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3BDEDB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6DFB69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7A1DD53E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1AB2465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5DD650DD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宋体" w:hAnsi="宋体" w:eastAsia="宋体" w:cs="宋体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7AB7622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741FB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15EF800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55A5BD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330665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1E499FE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414C778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393326A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8E29829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0E57B96">
            <w:pPr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080D2366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宋体" w:hAnsi="宋体" w:eastAsia="宋体" w:cs="宋体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768B4AB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14B46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309C935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123342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129C55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29F73A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176F342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B8FE38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314B62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2FF5B04F"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1F849D81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宋体" w:hAnsi="宋体" w:eastAsia="宋体" w:cs="宋体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 w14:paraId="16A152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CF4D5C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660FA5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3841A6C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029B6F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2B04A4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2F41EF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2629D6F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8869F19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86A7D53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2B1FA93E">
            <w:pPr>
              <w:widowControl/>
              <w:spacing w:line="200" w:lineRule="exact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0C4BFD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09B8EF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060F85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1C7445C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7536564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5249D7A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466AE8E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12D37A8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18FA9B46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388B6BD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45FA80F0">
            <w:pPr>
              <w:widowControl/>
              <w:spacing w:line="20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0AC1F2D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1562B44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4AFEEEF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48F2977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52759F2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6D676C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116EB4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3056FC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3B793BE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6517C2F7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09E9FF0B">
            <w:pPr>
              <w:widowControl/>
              <w:spacing w:line="20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6B827A9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6EF1A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20DEF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21BC2C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64DBB7C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61FDC2E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408758D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09F91C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09132DD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37E9A152">
            <w:pPr>
              <w:spacing w:line="200" w:lineRule="exact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 w14:paraId="4A94B2CD">
            <w:pPr>
              <w:widowControl/>
              <w:spacing w:line="300" w:lineRule="exact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kern w:val="0"/>
                <w:szCs w:val="21"/>
              </w:rPr>
              <w:t>5.要求行政机关确认或重新出具已获取信息</w:t>
            </w:r>
          </w:p>
        </w:tc>
        <w:tc>
          <w:tcPr>
            <w:tcW w:w="768" w:type="dxa"/>
            <w:gridSpan w:val="6"/>
            <w:noWrap w:val="0"/>
            <w:tcMar>
              <w:left w:w="108" w:type="dxa"/>
              <w:right w:w="108" w:type="dxa"/>
            </w:tcMar>
            <w:vAlign w:val="center"/>
          </w:tcPr>
          <w:p w14:paraId="792C40F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5166D9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5CAC66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26478A4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0A78E8B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2BD657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74413C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0AD8ECA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52140F9C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 w14:paraId="216A9258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noWrap w:val="0"/>
            <w:vAlign w:val="center"/>
          </w:tcPr>
          <w:p w14:paraId="46A51101">
            <w:pPr>
              <w:widowControl/>
              <w:spacing w:line="300" w:lineRule="exact"/>
              <w:ind w:firstLine="105" w:firstLineChars="50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1</w:t>
            </w:r>
            <w:r>
              <w:rPr>
                <w:rFonts w:hint="eastAsia" w:ascii="宋体" w:hAnsi="宋体" w:eastAsia="宋体" w:cs="宋体"/>
                <w:kern w:val="0"/>
                <w:szCs w:val="21"/>
              </w:rPr>
              <w:t>.</w:t>
            </w:r>
            <w:r>
              <w:rPr>
                <w:rFonts w:hint="eastAsia" w:ascii="宋体" w:hAnsi="宋体" w:eastAsia="宋体" w:cs="宋体"/>
              </w:rPr>
              <w:t>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1F62DB6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06EEAD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noWrap w:val="0"/>
            <w:tcMar>
              <w:left w:w="108" w:type="dxa"/>
              <w:right w:w="108" w:type="dxa"/>
            </w:tcMar>
            <w:vAlign w:val="center"/>
          </w:tcPr>
          <w:p w14:paraId="78526EB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2B31FD8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4BAC3E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15FCB93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630CFD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6C204B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4D863E9F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35E0FEB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 w14:paraId="1EF6BE0A">
            <w:pPr>
              <w:widowControl/>
              <w:spacing w:line="300" w:lineRule="exact"/>
              <w:ind w:firstLine="105" w:firstLineChars="50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6BA7249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D2268C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noWrap w:val="0"/>
            <w:tcMar>
              <w:left w:w="108" w:type="dxa"/>
              <w:right w:w="108" w:type="dxa"/>
            </w:tcMar>
            <w:vAlign w:val="center"/>
          </w:tcPr>
          <w:p w14:paraId="697756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00AF327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0B4A958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00CA4A0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166608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78D505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2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2586950F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0DE7C581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 w14:paraId="1BF8DA1E">
            <w:pPr>
              <w:widowControl/>
              <w:spacing w:line="300" w:lineRule="exact"/>
              <w:ind w:firstLine="105" w:firstLineChars="50"/>
              <w:rPr>
                <w:rFonts w:hint="eastAsia" w:ascii="宋体" w:hAnsi="宋体" w:eastAsia="宋体" w:cs="宋体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</w:rPr>
              <w:t>3.其他</w:t>
            </w:r>
          </w:p>
        </w:tc>
        <w:tc>
          <w:tcPr>
            <w:tcW w:w="771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436008B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5EF71B8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noWrap w:val="0"/>
            <w:tcMar>
              <w:left w:w="108" w:type="dxa"/>
              <w:right w:w="108" w:type="dxa"/>
            </w:tcMar>
            <w:vAlign w:val="center"/>
          </w:tcPr>
          <w:p w14:paraId="663C25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75D5FB2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0BFD30A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631B30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794AF5D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79347D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8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 w14:paraId="7CCD959D">
            <w:pPr>
              <w:rPr>
                <w:rFonts w:ascii="黑体" w:hAnsi="黑体" w:eastAsia="黑体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 w14:paraId="54356772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36E14EA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28AAED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7BBE98F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7F83F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67E0578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66D3A9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257E82E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 w14:paraId="49BCDB7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 w14:paraId="2115B65E">
            <w:pPr>
              <w:widowControl/>
              <w:spacing w:line="300" w:lineRule="exact"/>
              <w:rPr>
                <w:rFonts w:ascii="黑体" w:hAnsi="黑体" w:eastAsia="黑体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b w:val="0"/>
                <w:bCs w:val="0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4ECD6B0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noWrap w:val="0"/>
            <w:tcMar>
              <w:left w:w="108" w:type="dxa"/>
              <w:right w:w="108" w:type="dxa"/>
            </w:tcMar>
            <w:vAlign w:val="center"/>
          </w:tcPr>
          <w:p w14:paraId="39FB443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noWrap w:val="0"/>
            <w:tcMar>
              <w:left w:w="108" w:type="dxa"/>
              <w:right w:w="108" w:type="dxa"/>
            </w:tcMar>
            <w:vAlign w:val="center"/>
          </w:tcPr>
          <w:p w14:paraId="5DFED6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64" w:type="dxa"/>
            <w:noWrap w:val="0"/>
            <w:tcMar>
              <w:left w:w="108" w:type="dxa"/>
              <w:right w:w="108" w:type="dxa"/>
            </w:tcMar>
            <w:vAlign w:val="center"/>
          </w:tcPr>
          <w:p w14:paraId="18C181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59" w:type="dxa"/>
            <w:noWrap w:val="0"/>
            <w:tcMar>
              <w:left w:w="108" w:type="dxa"/>
              <w:right w:w="108" w:type="dxa"/>
            </w:tcMar>
            <w:vAlign w:val="center"/>
          </w:tcPr>
          <w:p w14:paraId="1B7D186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1" w:type="dxa"/>
            <w:noWrap w:val="0"/>
            <w:tcMar>
              <w:left w:w="108" w:type="dxa"/>
              <w:right w:w="108" w:type="dxa"/>
            </w:tcMar>
            <w:vAlign w:val="center"/>
          </w:tcPr>
          <w:p w14:paraId="2228D5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77" w:type="dxa"/>
            <w:noWrap w:val="0"/>
            <w:tcMar>
              <w:left w:w="108" w:type="dxa"/>
              <w:right w:w="108" w:type="dxa"/>
            </w:tcMar>
            <w:vAlign w:val="center"/>
          </w:tcPr>
          <w:p w14:paraId="61FEC58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="Times New Roman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 w14:paraId="03AB3D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 w14:paraId="383EAD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C6C134D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FD837E6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 w14:paraId="7185BC5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F0051C4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73FF525D"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ABD3AE2"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063CE10"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1AF037B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113AC015"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620FB4D"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 w14:paraId="1F7C0730"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EE3A47C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50D55FC4"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 w14:paraId="41A00AA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A37CED1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7F7B87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A9CD8AB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EEE27C9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24284DB"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F86EA95"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6030823"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F80587D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0FE9195C"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7871CE9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 w14:paraId="5B6C1301"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8B8DD97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AD7C0C2"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91DAC8C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 w14:paraId="3D4089B1"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2D12E30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 w14:paraId="1687CAD9"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F6AC031"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ECCFC9F"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 w14:paraId="63CBA28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9" w:hRule="atLeast"/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4686BC9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08D94155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835B5BB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49A975A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6436FCF2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1257843A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24A3308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746914D7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6CDE352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FB331DF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31AE8C78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A1D6C85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FE0E8C2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215A3EFC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tcMar>
              <w:left w:w="108" w:type="dxa"/>
              <w:right w:w="108" w:type="dxa"/>
            </w:tcMar>
            <w:vAlign w:val="center"/>
          </w:tcPr>
          <w:p w14:paraId="43EE70C1">
            <w:pPr>
              <w:widowControl/>
              <w:spacing w:after="180"/>
              <w:jc w:val="center"/>
              <w:rPr>
                <w:rFonts w:hint="eastAsia" w:ascii="Times New Roman" w:hAnsi="Times New Roman" w:eastAsia="宋体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 w14:paraId="612706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五、存在的主要问题及改进情况</w:t>
      </w:r>
    </w:p>
    <w:p w14:paraId="1704FF4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2025年，对照国家、省、市政务公开工作部署要求，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还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存在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一些问题和不足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：</w:t>
      </w:r>
    </w:p>
    <w:p w14:paraId="1A5E48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（一）存在问题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部分岗位人员调整较为频繁，新接手人员对政务公开政策法规、信息发布流程、审核标准等掌握不够系统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。二是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对群众关切的民生领域信息（如季节性便民摊点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区域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、餐饮油烟审批流程等）未能第一时间通过平台发布最新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内容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，回应群众咨询的速度和精准度需进一步提升。</w:t>
      </w:r>
    </w:p>
    <w:p w14:paraId="2769F1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（二）改进措施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开展常态化专题培训，覆盖自查专班成员及各科室相关人员，内容涵盖《条例》解读、执法程序规范、外宣纪律等，切实提升工作质效。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二是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建立“群众需求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台账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”机制，通过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电话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、线下座谈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、政府开放日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等渠道收集关注热点，动态调整公开重点，确保信息供给与需求精准匹配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</w:p>
    <w:p w14:paraId="2C817A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六、其他需要报告的事项</w:t>
      </w:r>
    </w:p>
    <w:p w14:paraId="3E395F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（一）年度获奖情况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2025年我局在政府信息公开工作中未获得相关奖项。</w:t>
      </w:r>
    </w:p>
    <w:p w14:paraId="61918D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（二）收取信息处理费情况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2025年我局未收取任何政府信息公开信息处理费。</w:t>
      </w:r>
    </w:p>
    <w:p w14:paraId="6B0D22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（三）办理人大代表建议、政协委员提案情况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2025年共承办市人大代表建议0件、政协提案3件，均已按时办结，办复率100%，办理结果均为A类（所提问题已解决或基本解决），相关情况通过政府网站主动公开，接受社会监督。</w:t>
      </w:r>
    </w:p>
    <w:p w14:paraId="487F4F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（四）创新工作开展情况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成立由办公室、法制科、财务装备科骨干组成的常态化自查专班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，实行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“分领域包干+动态自查”机制，将信息公开责任细化至具体科室，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配套细化自查要点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，明确“查什么、怎么查、何时改”，实现从“被动整改”到“主动防控”的转变。</w:t>
      </w:r>
    </w:p>
    <w:p w14:paraId="2B10B4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>（五）落实上级年度政务公开工作要点情况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2025年，我局严格对标《山东省人民政府办公厅关于印发〈2025年山东省政务公开工作要点〉的通知》（鲁政办发〔2025〕5号）、《威海市人民政府办公室关于印发2025年威海市政务公开工作要点的通知》（威政办发〔2025〕10号）及《威海市环翠区人民政府办公室关于印发2025年威海市环翠区政务公开工作要点的通知》（威环政办发〔2025〕1号）要</w:t>
      </w:r>
      <w:bookmarkStart w:id="10" w:name="_GoBack"/>
      <w:bookmarkEnd w:id="10"/>
      <w:r>
        <w:rPr>
          <w:rFonts w:hint="eastAsia" w:ascii="Times New Roman" w:hAnsi="Times New Roman" w:eastAsia="仿宋_GB2312" w:cs="Times New Roman"/>
          <w:sz w:val="32"/>
          <w:szCs w:val="32"/>
        </w:rPr>
        <w:t>求，完善公开目录、细化执法流程公示、加强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行政执法领域工作宣传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，切实提升执法透明度和群众获得感。</w:t>
      </w:r>
    </w:p>
    <w:p w14:paraId="328A77D4">
      <w:pPr>
        <w:rPr>
          <w:rFonts w:hint="eastAsia"/>
        </w:rPr>
      </w:pPr>
    </w:p>
    <w:p w14:paraId="2D2C071F"/>
    <w:p w14:paraId="488DEC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right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威海市环翠区综合行政执法局</w:t>
      </w:r>
    </w:p>
    <w:p w14:paraId="1BAF3E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center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2026年1月16日</w:t>
      </w:r>
    </w:p>
    <w:sectPr>
      <w:pgSz w:w="11906" w:h="16838"/>
      <w:pgMar w:top="1417" w:right="1800" w:bottom="1304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sans-serif">
    <w:altName w:val="C059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059">
    <w:panose1 w:val="00000500000000000000"/>
    <w:charset w:val="00"/>
    <w:family w:val="auto"/>
    <w:pitch w:val="default"/>
    <w:sig w:usb0="00000287" w:usb1="00000800" w:usb2="00000000" w:usb3="00000000" w:csb0="6000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FF25714"/>
    <w:rsid w:val="3CF5D085"/>
    <w:rsid w:val="3FAF08B9"/>
    <w:rsid w:val="6EC7BE63"/>
    <w:rsid w:val="F5EC4E4F"/>
    <w:rsid w:val="F97FD371"/>
    <w:rsid w:val="FBFAAEF0"/>
    <w:rsid w:val="FFF257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next w:val="1"/>
    <w:qFormat/>
    <w:uiPriority w:val="0"/>
    <w:pPr>
      <w:keepNext/>
      <w:keepLines/>
      <w:widowControl w:val="0"/>
      <w:spacing w:before="260" w:after="260" w:line="415" w:lineRule="auto"/>
      <w:jc w:val="both"/>
      <w:outlineLvl w:val="1"/>
    </w:pPr>
    <w:rPr>
      <w:rFonts w:ascii="Arial" w:hAnsi="Arial" w:eastAsia="黑体" w:cs="Times New Roman"/>
      <w:b/>
      <w:bCs/>
      <w:kern w:val="2"/>
      <w:sz w:val="32"/>
      <w:szCs w:val="3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2831</Words>
  <Characters>2995</Characters>
  <Lines>0</Lines>
  <Paragraphs>0</Paragraphs>
  <TotalTime>30</TotalTime>
  <ScaleCrop>false</ScaleCrop>
  <LinksUpToDate>false</LinksUpToDate>
  <CharactersWithSpaces>3017</CharactersWithSpaces>
  <Application>WPS Office_12.8.2.20327_F1E327BC-269C-435d-A152-05C5408002CA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2026-01-17T19:21:00Z</dcterms:created>
  <dc:creator>user</dc:creator>
  <cp:lastModifiedBy>user</cp:lastModifiedBy>
  <dcterms:modified xsi:type="dcterms:W3CDTF">2026-01-20T17:39:57Z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2052-12.8.2.20327</vt:lpwstr>
  </property>
  <property fmtid="{D5CDD505-2E9C-101B-9397-08002B2CF9AE}" pid="3" name="ICV">
    <vt:lpwstr>C22DE95080FE5975F2296F6917EA8424_43</vt:lpwstr>
  </property>
</Properties>
</file>