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2" w:name="_GoBack"/>
      <w:bookmarkEnd w:id="2"/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Times New Roman" w:hAnsi="Times New Roman" w:eastAsia="楷体" w:cs="Times New Roman"/>
          <w:b w:val="0"/>
          <w:bCs w:val="0"/>
          <w:color w:val="auto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</w:rPr>
        <w:t>威环商务字〔202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</w:rPr>
        <w:t xml:space="preserve">号               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</w:rPr>
        <w:t>签发人:</w:t>
      </w:r>
      <w:r>
        <w:rPr>
          <w:rFonts w:hint="default" w:ascii="Times New Roman" w:hAnsi="Times New Roman" w:eastAsia="楷体" w:cs="Times New Roman"/>
          <w:b w:val="0"/>
          <w:bCs w:val="0"/>
          <w:color w:val="auto"/>
          <w:sz w:val="32"/>
        </w:rPr>
        <w:t xml:space="preserve"> </w:t>
      </w:r>
      <w:r>
        <w:rPr>
          <w:rFonts w:hint="eastAsia" w:ascii="Times New Roman" w:hAnsi="Times New Roman" w:eastAsia="楷体" w:cs="Times New Roman"/>
          <w:b w:val="0"/>
          <w:bCs w:val="0"/>
          <w:color w:val="auto"/>
          <w:sz w:val="32"/>
          <w:lang w:val="en-US" w:eastAsia="zh-CN"/>
        </w:rPr>
        <w:t>夏伟清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关于区政协十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次会议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号委员提案的答复</w:t>
      </w:r>
    </w:p>
    <w:p>
      <w:pPr>
        <w:spacing w:line="600" w:lineRule="exact"/>
        <w:rPr>
          <w:rFonts w:eastAsia="仿宋_GB2312"/>
          <w:sz w:val="32"/>
          <w:szCs w:val="32"/>
        </w:rPr>
      </w:pPr>
    </w:p>
    <w:p>
      <w:pPr>
        <w:spacing w:line="600" w:lineRule="exact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  <w:lang w:val="en-US" w:eastAsia="zh-CN"/>
        </w:rPr>
        <w:t>尊敬的</w:t>
      </w:r>
      <w:r>
        <w:rPr>
          <w:rFonts w:hint="eastAsia" w:eastAsia="仿宋_GB2312"/>
          <w:sz w:val="32"/>
        </w:rPr>
        <w:t>委员：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您提出的《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关于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加快威海市电子商务发展的建议</w:t>
      </w:r>
      <w:r>
        <w:rPr>
          <w:rFonts w:hint="eastAsia" w:eastAsia="仿宋_GB2312"/>
          <w:sz w:val="32"/>
        </w:rPr>
        <w:t xml:space="preserve">》的提案已收悉，现答复如下：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640" w:firstLineChars="200"/>
        <w:contextualSpacing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</w:rPr>
        <w:t>环翠区是威海市的政治、经济、科技、文化中心，2015年</w:t>
      </w:r>
      <w:r>
        <w:rPr>
          <w:rFonts w:hint="default" w:ascii="Times New Roman" w:hAnsi="Times New Roman" w:eastAsia="仿宋_GB2312" w:cs="Times New Roman"/>
          <w:color w:val="auto"/>
          <w:sz w:val="32"/>
          <w:lang w:val="en-US" w:eastAsia="zh-CN"/>
        </w:rPr>
        <w:t>被</w:t>
      </w:r>
      <w:r>
        <w:rPr>
          <w:rFonts w:hint="default" w:ascii="Times New Roman" w:hAnsi="Times New Roman" w:eastAsia="仿宋_GB2312" w:cs="Times New Roman"/>
          <w:color w:val="auto"/>
          <w:sz w:val="32"/>
        </w:rPr>
        <w:t>认定为第二批国家电子商务示范基地。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201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年全区网络零售额占比全市网络零售总额比重近30%，全区主体电商企业及应用电商商户总数超过3500家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u w:val="none"/>
        </w:rPr>
        <w:t>电商产业园区4个，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 w:bidi="ar"/>
        </w:rPr>
        <w:t>入驻企业近400家。其中，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张村镇电商企业突破1000家，已成为国内最大的渔具电商产业集群。依托集聚的电商企业、服务完善的电商园区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和便利的交通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，有力助推了内外贸一体化发展和传统产业转型升级，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2018年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成功获评“首批山东省电商小镇”，带动了整个威海市渔具产业的电商化进程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目前，电子商务发展已经成为我区促进经济发展、调节经济结构的有力支撑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一、龙头企业方面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根据市局提供的浪潮数据统计，2019年全区电商交易额过亿元企业1家（汉鼎智能科技）、过千万元企业25家（渔具企业占80%），线上营业额合计5.7亿元。八爪团自建平台每年线上交易额300多万元。三角轮胎、宝飞龙钓具、汇泉工业等传统企业都是电商应用的典型企业。但由于开展电商途径和方式除了第三方平台外，还有自建平台、微信、抖音、快手等很多，数据统计存在一定困难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一方面，从政策上引导电商企业做大做强。我区连续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多年出台《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环翠区关于鼓励龙头企业发展的扶持意见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》，对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从事商贸流通行业（不含国有企业、进出口企业），营业收入达到 20 亿元（含）以上且全口径税收 1 亿元（含）以上的企业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给与资金扶持。在《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环翠区关于进一步加快服务业发展的扶持意见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》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中，对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新认定为市级或省级跨境电商综合服务平台、公共海外仓、跨境电商聚集区（园区）、跨境电商实训基地的，一次性分别扶持 10 万元、20 万元。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另一方面，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 xml:space="preserve">我们积极引导企业开展线上销售，提高网络销售额。组织企业参加中韩电商大会，对接阿里巴巴、敦煌网等知名第三方平台；组织博宇食品、骏赫制衣等10家企业入驻1688平台的“山东外贸专区”，促进外贸货物转内销；组织博宇、博宇、宇王等企业入驻中粮我买网威海馆；组织浦源、金猴、汉鼎等企业参加518“威海外贸名品网购节”活动，当晚共销售各类产品29538单，成交额120.7万元；组织凯华进出口、吉安进出口、卡米兰贸易等企业参加威海市直播进外贸企业去库存活动。 </w:t>
      </w:r>
    </w:p>
    <w:p>
      <w:pPr>
        <w:keepNext w:val="0"/>
        <w:keepLines w:val="0"/>
        <w:pageBreakBefore w:val="0"/>
        <w:tabs>
          <w:tab w:val="left" w:pos="7567"/>
          <w:tab w:val="left" w:pos="77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但是，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物流成本居高不下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制约了电商企业进一步发展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威海处于国内物流末梢，运输距离远，并且由于威海市经济总体规模不大，产品缺少数量优势，导致物流成本高、时效慢，平均每单价格要高于周边的青岛、烟台1元左右，时间要慢约1天，与山东西部和江浙沪等地区差距更加明显。许多企业发展到一定阶段后，为降低成本、提升顾客消费体验，将仓储甚至是全部业务迁移到物流优势地区，造成威海优质电商资源的严重流失，已成为制约我市电商发展的瓶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二、电商人才方面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我区出台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《环翠区跨境电子商务发展规划（2017-2020）》，支持企业与高校合作，建立跨境电子商务人才培训基地，针对企业需求，定向培养跨境电商人才。同时区政府还出台了《关于实施人才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汇翠计划加快新旧动能转换的意见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》和《环翠区关于加快建设威海创新园的专项扶持意见》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支持企业引进高校毕业生、录用各类专业人才，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对各类人才提供创新创业资助、生活津贴及租房补贴、购房补贴等扶持措施。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依托电商协会和电商园区积极开展电商人才引进和培训工作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  <w:bookmarkStart w:id="0" w:name="_Hlk502154759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电商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园区充分发挥自身的孵化优势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与威海职业学院、山东交通学院、山大威海校区等高校达成实训基地合作协议，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合大学的人才、技术、设备等优势，为企业和学校之间搭建产学研平台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为企业对接电子商务专业、跨境电商专业、国际贸易专业的学生实习、就业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为创业企业提供人才招聘和技术成果转化服务。园区多次组织企业参加校园招聘会，每年为数以百计的大学生提供实训和实习就业机会。园区与多家人力资源服务机构合作，多渠道为企业招聘人才。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我区另有淘宝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学校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2处，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年培训电商人才约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00余人。</w:t>
      </w:r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双创人园区携手威海电商协会，对接阿里巴巴、速卖通等电商平台专家培训电商操作技巧、运营经验等，参会人员1000多人次。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eastAsia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2020年因疫情影响，重点组织企业参加阿里巴巴国际站数字出海发布会、线上展会打造外贸新蓝海等线上培训会、经验分享会，帮助企业了解电商平台的新玩法、新规则，更新电商知识，提升人才电商营销理念。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引进了大喵传媒、征鸟传媒等专业MCN机构，开展直播带货，为企业培养网红人才。</w:t>
      </w:r>
    </w:p>
    <w:p>
      <w:pPr>
        <w:spacing w:line="600" w:lineRule="exact"/>
        <w:rPr>
          <w:rFonts w:eastAsia="仿宋_GB2312"/>
          <w:sz w:val="32"/>
          <w:szCs w:val="32"/>
        </w:rPr>
      </w:pPr>
      <w:bookmarkStart w:id="1" w:name="_Hlk48235771"/>
    </w:p>
    <w:p>
      <w:pPr>
        <w:pStyle w:val="4"/>
      </w:pPr>
    </w:p>
    <w:p>
      <w:pPr>
        <w:spacing w:line="540" w:lineRule="exact"/>
        <w:ind w:firstLine="5920" w:firstLineChars="185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环翠区商务局</w:t>
      </w:r>
    </w:p>
    <w:p>
      <w:pPr>
        <w:spacing w:line="540" w:lineRule="exact"/>
        <w:ind w:firstLine="5760" w:firstLineChars="18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2020年</w:t>
      </w:r>
      <w:r>
        <w:rPr>
          <w:rFonts w:hint="eastAsia" w:eastAsia="仿宋_GB2312"/>
          <w:sz w:val="32"/>
          <w:szCs w:val="32"/>
        </w:rPr>
        <w:t>8</w:t>
      </w:r>
      <w:r>
        <w:rPr>
          <w:rFonts w:eastAsia="仿宋_GB2312"/>
          <w:sz w:val="32"/>
          <w:szCs w:val="32"/>
        </w:rPr>
        <w:t>月21日</w:t>
      </w:r>
      <w:bookmarkEnd w:id="1"/>
    </w:p>
    <w:p/>
    <w:sectPr>
      <w:footerReference r:id="rId3" w:type="default"/>
      <w:pgSz w:w="11906" w:h="16838"/>
      <w:pgMar w:top="1928" w:right="1474" w:bottom="1701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sz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jc w:val="center"/>
                          </w:pPr>
                          <w:r>
                            <w:rPr>
                              <w:sz w:val="24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4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宋体" w:hAnsi="宋体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sz w:val="24"/>
                              <w:lang w:val="zh-CN"/>
                            </w:rPr>
                            <w:t>4</w:t>
                          </w:r>
                          <w:r>
                            <w:rPr>
                              <w:rFonts w:ascii="宋体" w:hAnsi="宋体"/>
                              <w:sz w:val="24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Bmo4MrgEAAEsD&#10;AAAOAAAAAAAAAAEAIAAAAB4BAABkcnMvZTJvRG9jLnhtbFBLBQYAAAAABgAGAFkBAAA+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jc w:val="center"/>
                    </w:pPr>
                    <w:r>
                      <w:rPr>
                        <w:sz w:val="24"/>
                      </w:rPr>
                      <w:t>—</w:t>
                    </w:r>
                    <w:r>
                      <w:rPr>
                        <w:rFonts w:hint="eastAsia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/>
                        <w:sz w:val="24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4"/>
                      </w:rPr>
                      <w:instrText xml:space="preserve">PAGE   \* MERGEFORMAT</w:instrText>
                    </w:r>
                    <w:r>
                      <w:rPr>
                        <w:rFonts w:ascii="宋体" w:hAnsi="宋体"/>
                        <w:sz w:val="24"/>
                      </w:rPr>
                      <w:fldChar w:fldCharType="separate"/>
                    </w:r>
                    <w:r>
                      <w:rPr>
                        <w:rFonts w:ascii="宋体" w:hAnsi="宋体"/>
                        <w:sz w:val="24"/>
                        <w:lang w:val="zh-CN"/>
                      </w:rPr>
                      <w:t>4</w:t>
                    </w:r>
                    <w:r>
                      <w:rPr>
                        <w:rFonts w:ascii="宋体" w:hAnsi="宋体"/>
                        <w:sz w:val="24"/>
                      </w:rPr>
                      <w:fldChar w:fldCharType="end"/>
                    </w:r>
                    <w:r>
                      <w:rPr>
                        <w:rFonts w:hint="eastAsia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E531F1"/>
    <w:rsid w:val="087244DB"/>
    <w:rsid w:val="158473B0"/>
    <w:rsid w:val="1FE531F1"/>
    <w:rsid w:val="52A5102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首行缩进"/>
    <w:basedOn w:val="1"/>
    <w:qFormat/>
    <w:uiPriority w:val="99"/>
    <w:pPr>
      <w:widowControl/>
      <w:spacing w:line="360" w:lineRule="auto"/>
      <w:ind w:firstLine="480" w:firstLineChars="200"/>
    </w:pPr>
    <w:rPr>
      <w:rFonts w:ascii="宋体" w:hAnsi="宋体" w:cs="宋体"/>
      <w:kern w:val="0"/>
    </w:r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Office_..._F1E327BC-269C-435d-A152-05C5408002CA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2020-11-17T01:10:00Z</dcterms:created>
  <dc:creator>崔腾腾</dc:creator>
  <cp:lastModifiedBy>wps</cp:lastModifiedBy>
  <dcterms:modified xsi:type="dcterms:W3CDTF">2022-11-21T03:29:58Z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2052-...</vt:lpwstr>
  </property>
</Properties>
</file>