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DC2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决策后评估</w:t>
      </w:r>
    </w:p>
    <w:p w14:paraId="18BDCC48">
      <w:pPr>
        <w:rPr>
          <w:rFonts w:hint="eastAsia"/>
        </w:rPr>
      </w:pPr>
    </w:p>
    <w:p w14:paraId="5A586239"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羊亭镇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人民政府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黄埠屯村、半壁山村、宋家疃村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村级建制调整暂未开展决策评估。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63E51"/>
    <w:rsid w:val="083C3FF9"/>
    <w:rsid w:val="15EE2487"/>
    <w:rsid w:val="2CA63E51"/>
    <w:rsid w:val="3A1D02E4"/>
    <w:rsid w:val="3C925E95"/>
    <w:rsid w:val="54B7131C"/>
    <w:rsid w:val="580C7901"/>
    <w:rsid w:val="6A2208D3"/>
    <w:rsid w:val="77A108D3"/>
    <w:rsid w:val="7AA9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14</TotalTime>
  <ScaleCrop>false</ScaleCrop>
  <LinksUpToDate>false</LinksUpToDate>
  <CharactersWithSpaces>30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2025-09-02T03:48:00Z</dcterms:created>
  <dc:creator>半岛铁盒</dc:creator>
  <cp:lastModifiedBy>半岛铁盒</cp:lastModifiedBy>
  <dcterms:modified xsi:type="dcterms:W3CDTF">2025-09-03T02:22:11Z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8BC4FE7F67864634BCEF7A54D7C44B84_13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