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rPr>
        <w:t>威海市环翠区</w:t>
      </w:r>
      <w:r>
        <w:rPr>
          <w:rFonts w:hint="eastAsia" w:ascii="Times New Roman" w:hAnsi="Times New Roman" w:eastAsia="方正小标宋简体" w:cs="Times New Roman"/>
          <w:sz w:val="44"/>
          <w:szCs w:val="44"/>
          <w:lang w:val="en-US" w:eastAsia="zh-CN"/>
        </w:rPr>
        <w:t>农业农村局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w:t>
      </w:r>
      <w:r>
        <w:rPr>
          <w:rFonts w:hint="default" w:ascii="Times New Roman" w:hAnsi="Times New Roman" w:eastAsia="方正小标宋简体" w:cs="Times New Roman"/>
          <w:sz w:val="44"/>
          <w:szCs w:val="44"/>
          <w:lang w:val="en-US" w:eastAsia="zh-CN"/>
        </w:rPr>
        <w:t>22</w:t>
      </w:r>
      <w:r>
        <w:rPr>
          <w:rFonts w:hint="default" w:ascii="Times New Roman" w:hAnsi="Times New Roman" w:eastAsia="方正小标宋简体" w:cs="Times New Roman"/>
          <w:sz w:val="44"/>
          <w:szCs w:val="44"/>
        </w:rPr>
        <w:t>年政府信息公开工作年度报告</w:t>
      </w:r>
    </w:p>
    <w:p>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default" w:ascii="Times New Roman" w:hAnsi="Times New Roman" w:eastAsia="方正小标宋简体" w:cs="Times New Roman"/>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根据新修订的《中华人民共和国政府信息公开条例》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现公布威海市环翠区</w:t>
      </w:r>
      <w:r>
        <w:rPr>
          <w:rFonts w:hint="eastAsia" w:ascii="Times New Roman" w:hAnsi="Times New Roman" w:eastAsia="仿宋_GB2312" w:cs="Times New Roman"/>
          <w:sz w:val="32"/>
          <w:szCs w:val="32"/>
          <w:lang w:val="en-US" w:eastAsia="zh-CN"/>
        </w:rPr>
        <w:t>农业农村局</w:t>
      </w:r>
      <w:r>
        <w:rPr>
          <w:rFonts w:hint="default" w:ascii="Times New Roman" w:hAnsi="Times New Roman" w:eastAsia="仿宋_GB2312" w:cs="Times New Roman"/>
          <w:sz w:val="32"/>
          <w:szCs w:val="32"/>
        </w:rPr>
        <w:t>2022年政府信息公开工作年度报告。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本报告中所列数据的统计期限自20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年1月</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日起至20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年12月31日止</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本报告的电子版可在威海市环翠区人民政府门户网站（http://www.huancui.gov.cn/col/col82465/index.html）下载。 如对本报告有疑问，请与威海市环翠区环翠区</w:t>
      </w:r>
      <w:r>
        <w:rPr>
          <w:rFonts w:hint="eastAsia" w:ascii="Times New Roman" w:hAnsi="Times New Roman" w:eastAsia="仿宋_GB2312" w:cs="Times New Roman"/>
          <w:sz w:val="32"/>
          <w:szCs w:val="32"/>
          <w:lang w:val="en-US" w:eastAsia="zh-CN"/>
        </w:rPr>
        <w:t>农业农村</w:t>
      </w:r>
      <w:r>
        <w:rPr>
          <w:rFonts w:hint="default" w:ascii="Times New Roman" w:hAnsi="Times New Roman" w:eastAsia="仿宋_GB2312" w:cs="Times New Roman"/>
          <w:sz w:val="32"/>
          <w:szCs w:val="32"/>
        </w:rPr>
        <w:t>局</w:t>
      </w:r>
      <w:r>
        <w:rPr>
          <w:rFonts w:hint="eastAsia" w:ascii="Times New Roman" w:hAnsi="Times New Roman" w:eastAsia="仿宋_GB2312" w:cs="Times New Roman"/>
          <w:sz w:val="32"/>
          <w:szCs w:val="32"/>
          <w:lang w:val="en-US" w:eastAsia="zh-CN"/>
        </w:rPr>
        <w:t>综合科</w:t>
      </w:r>
      <w:r>
        <w:rPr>
          <w:rFonts w:hint="default" w:ascii="Times New Roman" w:hAnsi="Times New Roman" w:eastAsia="仿宋_GB2312" w:cs="Times New Roman"/>
          <w:sz w:val="32"/>
          <w:szCs w:val="32"/>
          <w:lang w:val="en-US" w:eastAsia="zh-CN"/>
        </w:rPr>
        <w:t>科</w:t>
      </w:r>
      <w:r>
        <w:rPr>
          <w:rFonts w:hint="default" w:ascii="Times New Roman" w:hAnsi="Times New Roman" w:eastAsia="仿宋_GB2312" w:cs="Times New Roman"/>
          <w:sz w:val="32"/>
          <w:szCs w:val="32"/>
        </w:rPr>
        <w:t>联系（地址</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统一路254号农业大厦8楼</w:t>
      </w:r>
      <w:r>
        <w:rPr>
          <w:rFonts w:hint="default" w:ascii="Times New Roman" w:hAnsi="Times New Roman" w:eastAsia="仿宋_GB2312" w:cs="Times New Roman"/>
          <w:sz w:val="32"/>
          <w:szCs w:val="32"/>
        </w:rPr>
        <w:t>；邮编</w:t>
      </w:r>
      <w:r>
        <w:rPr>
          <w:rFonts w:hint="eastAsia" w:ascii="Times New Roman" w:hAnsi="Times New Roman" w:eastAsia="仿宋_GB2312" w:cs="Times New Roman"/>
          <w:sz w:val="32"/>
          <w:szCs w:val="32"/>
          <w:lang w:val="en-US" w:eastAsia="zh-CN"/>
        </w:rPr>
        <w:t>264200</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电话：</w:t>
      </w:r>
      <w:r>
        <w:rPr>
          <w:rFonts w:hint="eastAsia" w:ascii="Times New Roman" w:hAnsi="Times New Roman" w:eastAsia="仿宋_GB2312" w:cs="Times New Roman"/>
          <w:sz w:val="32"/>
          <w:szCs w:val="32"/>
          <w:lang w:val="en-US" w:eastAsia="zh-CN"/>
        </w:rPr>
        <w:t>5225046</w:t>
      </w:r>
      <w:r>
        <w:rPr>
          <w:rFonts w:hint="default" w:ascii="Times New Roman" w:hAnsi="Times New Roman" w:eastAsia="仿宋_GB2312" w:cs="Times New Roman"/>
          <w:sz w:val="32"/>
          <w:szCs w:val="32"/>
        </w:rPr>
        <w:t xml:space="preserve">）。 </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总体情况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FF0000"/>
          <w:sz w:val="32"/>
          <w:szCs w:val="32"/>
          <w:lang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我局在区委、区政府的正确领导下，严格落实《中华人民共和国政府信息公开条例》要求，始终坚持以“公开为常态、不公开为例外”，进一步强化政府信息公开工作领导，增强信息公开意识和责任意识，让“三农”工作在阳光下运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建立完备的政府信息管理制度，全面做好政府信息公开工作，切实保障人民群众的知情权、参与权和监督权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通过威海市环翠区政府网站信息公开平台以及新闻媒体、公告栏等多种形式，及时、全面、有效地主动公开政府信息</w:t>
      </w:r>
      <w:r>
        <w:rPr>
          <w:rFonts w:hint="eastAsia" w:ascii="仿宋_GB2312" w:hAnsi="仿宋_GB2312" w:eastAsia="仿宋_GB2312" w:cs="仿宋_GB2312"/>
          <w:sz w:val="32"/>
          <w:szCs w:val="32"/>
          <w:lang w:eastAsia="zh-CN"/>
        </w:rPr>
        <w:t>，</w:t>
      </w:r>
      <w:r>
        <w:rPr>
          <w:rFonts w:hint="eastAsia" w:ascii="仿宋_GB2312" w:eastAsia="仿宋_GB2312"/>
          <w:sz w:val="32"/>
          <w:szCs w:val="32"/>
        </w:rPr>
        <w:t>以公开强监督、促落实、优服务</w:t>
      </w:r>
      <w:r>
        <w:rPr>
          <w:rFonts w:hint="eastAsia" w:ascii="仿宋_GB2312" w:eastAsia="仿宋_GB2312"/>
          <w:sz w:val="32"/>
          <w:szCs w:val="32"/>
          <w:lang w:eastAsia="zh-CN"/>
        </w:rPr>
        <w:t>，进一步增强人民群众获得感和幸福感，</w:t>
      </w:r>
      <w:r>
        <w:rPr>
          <w:rFonts w:hint="eastAsia" w:ascii="仿宋_GB2312" w:hAnsi="仿宋_GB2312" w:eastAsia="仿宋_GB2312" w:cs="仿宋_GB2312"/>
          <w:sz w:val="32"/>
          <w:szCs w:val="32"/>
        </w:rPr>
        <w:t>扎实推进政府信息公开工作。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2" w:firstLineChars="200"/>
        <w:jc w:val="left"/>
        <w:textAlignment w:val="auto"/>
        <w:rPr>
          <w:rFonts w:hint="default" w:ascii="Times New Roman" w:hAnsi="Times New Roman" w:eastAsia="楷体_GB2312" w:cs="Times New Roman"/>
          <w:b/>
          <w:bCs/>
          <w:sz w:val="32"/>
          <w:szCs w:val="32"/>
          <w:highlight w:val="none"/>
          <w:lang w:eastAsia="zh-CN"/>
        </w:rPr>
      </w:pPr>
      <w:r>
        <w:rPr>
          <w:rFonts w:hint="default" w:ascii="Times New Roman" w:hAnsi="Times New Roman" w:eastAsia="楷体_GB2312" w:cs="Times New Roman"/>
          <w:b/>
          <w:bCs/>
          <w:sz w:val="32"/>
          <w:szCs w:val="32"/>
          <w:highlight w:val="none"/>
          <w:lang w:val="en-US" w:eastAsia="zh-CN"/>
        </w:rPr>
        <w:t>1.</w:t>
      </w:r>
      <w:r>
        <w:rPr>
          <w:rFonts w:hint="default" w:ascii="Times New Roman" w:hAnsi="Times New Roman" w:eastAsia="楷体_GB2312" w:cs="Times New Roman"/>
          <w:b/>
          <w:bCs/>
          <w:sz w:val="32"/>
          <w:szCs w:val="32"/>
          <w:highlight w:val="none"/>
        </w:rPr>
        <w:t>主动公开政府信息情况</w:t>
      </w:r>
      <w:r>
        <w:rPr>
          <w:rFonts w:hint="default" w:ascii="Times New Roman" w:hAnsi="Times New Roman" w:eastAsia="楷体_GB2312" w:cs="Times New Roman"/>
          <w:b/>
          <w:bCs/>
          <w:sz w:val="32"/>
          <w:szCs w:val="32"/>
          <w:highlight w:val="none"/>
          <w:lang w:eastAsia="zh-CN"/>
        </w:rPr>
        <w:t>。</w:t>
      </w:r>
    </w:p>
    <w:p>
      <w:pPr>
        <w:ind w:firstLine="640" w:firstLineChars="200"/>
        <w:rPr>
          <w:rFonts w:hint="eastAsia" w:ascii="仿宋_GB2312" w:hAnsi="Times New Roman" w:eastAsia="仿宋_GB2312" w:cs="Times New Roman"/>
          <w:color w:val="000000"/>
          <w:sz w:val="32"/>
          <w:szCs w:val="32"/>
          <w:lang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年，环翠区农业农村局对照“五公开”要求，及时主动进行信息公开。</w:t>
      </w:r>
      <w:r>
        <w:rPr>
          <w:rFonts w:hint="eastAsia" w:ascii="仿宋_GB2312" w:hAnsi="Times New Roman" w:eastAsia="仿宋_GB2312" w:cs="Times New Roman"/>
          <w:color w:val="000000"/>
          <w:sz w:val="32"/>
          <w:szCs w:val="32"/>
          <w:lang w:eastAsia="zh-CN"/>
        </w:rPr>
        <w:t>一是强化基本信息公开，</w:t>
      </w:r>
      <w:r>
        <w:rPr>
          <w:rFonts w:hint="eastAsia" w:ascii="仿宋_GB2312" w:hAnsi="Times New Roman" w:eastAsia="仿宋_GB2312" w:cs="Times New Roman"/>
          <w:color w:val="000000"/>
          <w:sz w:val="32"/>
          <w:szCs w:val="32"/>
        </w:rPr>
        <w:t>坚持以公开为常态、不公开为例外，</w:t>
      </w:r>
      <w:r>
        <w:rPr>
          <w:rFonts w:hint="eastAsia" w:ascii="仿宋_GB2312" w:hAnsi="Times New Roman" w:eastAsia="仿宋_GB2312" w:cs="Times New Roman"/>
          <w:color w:val="000000"/>
          <w:sz w:val="32"/>
          <w:szCs w:val="32"/>
          <w:lang w:eastAsia="zh-CN"/>
        </w:rPr>
        <w:t>更新完善</w:t>
      </w:r>
      <w:r>
        <w:rPr>
          <w:rFonts w:hint="eastAsia" w:ascii="仿宋_GB2312" w:hAnsi="Times New Roman" w:eastAsia="仿宋_GB2312" w:cs="Times New Roman"/>
          <w:color w:val="000000"/>
          <w:sz w:val="32"/>
          <w:szCs w:val="32"/>
        </w:rPr>
        <w:t>主动公开基本目录，</w:t>
      </w:r>
      <w:r>
        <w:rPr>
          <w:rFonts w:hint="eastAsia" w:ascii="仿宋_GB2312" w:hAnsi="Times New Roman" w:eastAsia="仿宋_GB2312" w:cs="Times New Roman"/>
          <w:color w:val="000000"/>
          <w:sz w:val="32"/>
          <w:szCs w:val="32"/>
          <w:lang w:eastAsia="zh-CN"/>
        </w:rPr>
        <w:t>严格落实政府信息日常发布管理办法，</w:t>
      </w:r>
      <w:r>
        <w:rPr>
          <w:rFonts w:hint="eastAsia" w:ascii="仿宋_GB2312" w:hAnsi="Times New Roman" w:eastAsia="仿宋_GB2312" w:cs="Times New Roman"/>
          <w:color w:val="000000"/>
          <w:sz w:val="32"/>
          <w:szCs w:val="32"/>
        </w:rPr>
        <w:t>在</w:t>
      </w:r>
      <w:r>
        <w:rPr>
          <w:rFonts w:hint="eastAsia" w:ascii="仿宋_GB2312" w:hAnsi="仿宋_GB2312" w:eastAsia="仿宋_GB2312" w:cs="仿宋_GB2312"/>
          <w:sz w:val="32"/>
          <w:szCs w:val="32"/>
        </w:rPr>
        <w:t>环翠区政府网站</w:t>
      </w:r>
      <w:r>
        <w:rPr>
          <w:rFonts w:hint="eastAsia" w:ascii="仿宋_GB2312" w:hAnsi="Times New Roman" w:eastAsia="仿宋_GB2312" w:cs="Times New Roman"/>
          <w:color w:val="000000"/>
          <w:sz w:val="32"/>
          <w:szCs w:val="32"/>
        </w:rPr>
        <w:t>主动公开局</w:t>
      </w:r>
      <w:r>
        <w:rPr>
          <w:rFonts w:hint="eastAsia" w:ascii="仿宋_GB2312" w:hAnsi="仿宋_GB2312" w:eastAsia="仿宋_GB2312" w:cs="仿宋_GB2312"/>
          <w:sz w:val="32"/>
          <w:szCs w:val="32"/>
        </w:rPr>
        <w:t>机构职能、政策文件、规划计划、部门文件、财政预决算、重点领域、业务动态及各项重点工作部署落实情况等方面所有可公开的政府信息共2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0余条</w:t>
      </w:r>
      <w:r>
        <w:rPr>
          <w:rFonts w:hint="eastAsia" w:ascii="仿宋_GB2312" w:hAnsi="Times New Roman" w:eastAsia="仿宋_GB2312" w:cs="Times New Roman"/>
          <w:color w:val="000000"/>
          <w:sz w:val="32"/>
          <w:szCs w:val="32"/>
          <w:lang w:eastAsia="zh-CN"/>
        </w:rPr>
        <w:t>。</w:t>
      </w:r>
      <w:r>
        <w:rPr>
          <w:rFonts w:hint="eastAsia" w:ascii="仿宋_GB2312" w:hAnsi="Times New Roman" w:eastAsia="仿宋_GB2312" w:cs="Times New Roman"/>
          <w:color w:val="000000"/>
          <w:sz w:val="32"/>
          <w:szCs w:val="32"/>
        </w:rPr>
        <w:t>二是强化政策解读。积极创新解读方式和内容，对涉及面广、社会关注度高的政策文件，坚持文件与解读同步起草、同步审批、同步发布。三是深化重点领域信息公开。围绕</w:t>
      </w:r>
      <w:r>
        <w:rPr>
          <w:rFonts w:hint="eastAsia" w:ascii="仿宋_GB2312" w:hAnsi="Times New Roman" w:eastAsia="仿宋_GB2312" w:cs="Times New Roman"/>
          <w:color w:val="000000"/>
          <w:sz w:val="32"/>
          <w:szCs w:val="32"/>
          <w:lang w:eastAsia="zh-CN"/>
        </w:rPr>
        <w:t>全面</w:t>
      </w:r>
      <w:r>
        <w:rPr>
          <w:rFonts w:hint="eastAsia" w:ascii="仿宋_GB2312" w:hAnsi="Times New Roman" w:eastAsia="仿宋_GB2312" w:cs="Times New Roman"/>
          <w:color w:val="000000"/>
          <w:sz w:val="32"/>
          <w:szCs w:val="32"/>
        </w:rPr>
        <w:t>实施乡村振兴战略，</w:t>
      </w:r>
      <w:r>
        <w:rPr>
          <w:rFonts w:hint="eastAsia" w:ascii="仿宋_GB2312" w:hAnsi="Times New Roman" w:eastAsia="仿宋_GB2312" w:cs="Times New Roman"/>
          <w:color w:val="000000"/>
          <w:sz w:val="32"/>
          <w:szCs w:val="32"/>
          <w:lang w:eastAsia="zh-CN"/>
        </w:rPr>
        <w:t>加快打造乡村振兴齐鲁样板，</w:t>
      </w:r>
      <w:r>
        <w:rPr>
          <w:rFonts w:hint="eastAsia" w:ascii="仿宋_GB2312" w:hAnsi="Times New Roman" w:eastAsia="仿宋_GB2312" w:cs="Times New Roman"/>
          <w:color w:val="000000"/>
          <w:sz w:val="32"/>
          <w:szCs w:val="32"/>
        </w:rPr>
        <w:t>突出抓好</w:t>
      </w:r>
      <w:r>
        <w:rPr>
          <w:rFonts w:hint="eastAsia" w:ascii="仿宋_GB2312" w:hAnsi="Times New Roman" w:eastAsia="仿宋_GB2312" w:cs="Times New Roman"/>
          <w:color w:val="000000"/>
          <w:sz w:val="32"/>
          <w:szCs w:val="32"/>
          <w:lang w:eastAsia="zh-CN"/>
        </w:rPr>
        <w:t>乡村产业发展、农村改革、美丽乡村建设、巩固拓展脱贫攻坚成果同乡村振兴有效衔接等方面</w:t>
      </w:r>
      <w:r>
        <w:rPr>
          <w:rFonts w:hint="eastAsia" w:ascii="仿宋_GB2312" w:hAnsi="Times New Roman" w:eastAsia="仿宋_GB2312" w:cs="Times New Roman"/>
          <w:color w:val="000000"/>
          <w:sz w:val="32"/>
          <w:szCs w:val="32"/>
        </w:rPr>
        <w:t>信息公开</w:t>
      </w:r>
      <w:r>
        <w:rPr>
          <w:rFonts w:hint="eastAsia" w:ascii="仿宋_GB2312" w:hAnsi="Times New Roman" w:eastAsia="仿宋_GB2312" w:cs="Times New Roman"/>
          <w:color w:val="000000"/>
          <w:sz w:val="32"/>
          <w:szCs w:val="32"/>
          <w:lang w:eastAsia="zh-CN"/>
        </w:rPr>
        <w:t>。</w:t>
      </w:r>
    </w:p>
    <w:p>
      <w:pPr>
        <w:ind w:firstLine="640" w:firstLineChars="200"/>
        <w:rPr>
          <w:rFonts w:hint="eastAsia" w:ascii="仿宋_GB2312" w:hAnsi="Times New Roman" w:eastAsia="仿宋_GB2312" w:cs="Times New Roman"/>
          <w:color w:val="000000"/>
          <w:sz w:val="32"/>
          <w:szCs w:val="32"/>
          <w:lang w:eastAsia="zh-CN"/>
        </w:rPr>
      </w:pPr>
      <w:r>
        <w:rPr>
          <w:rFonts w:hint="eastAsia" w:ascii="仿宋_GB2312" w:hAnsi="Times New Roman" w:eastAsia="仿宋_GB2312" w:cs="Times New Roman"/>
          <w:color w:val="000000"/>
          <w:sz w:val="32"/>
          <w:szCs w:val="32"/>
          <w:lang w:eastAsia="zh-CN"/>
        </w:rPr>
        <w:drawing>
          <wp:inline distT="0" distB="0" distL="114300" distR="114300">
            <wp:extent cx="5614670" cy="5024755"/>
            <wp:effectExtent l="0" t="0" r="5080" b="4445"/>
            <wp:docPr id="2" name="图片 2" descr="167348756343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 name="图片 2" descr="1673487563436"/>
                    <pic:cNvPicPr>
                      <a:picLocks noChangeAspect="true"/>
                    </pic:cNvPicPr>
                  </pic:nvPicPr>
                  <pic:blipFill>
                    <a:blip r:embed="rId5"/>
                    <a:stretch>
                      <a:fillRect/>
                    </a:stretch>
                  </pic:blipFill>
                  <pic:spPr>
                    <a:xfrm>
                      <a:off x="0" y="0"/>
                      <a:ext cx="5614670" cy="5024755"/>
                    </a:xfrm>
                    <a:prstGeom prst="rect">
                      <a:avLst/>
                    </a:prstGeom>
                  </pic:spPr>
                </pic:pic>
              </a:graphicData>
            </a:graphic>
          </wp:inline>
        </w:drawing>
      </w:r>
    </w:p>
    <w:p>
      <w:pPr>
        <w:ind w:firstLine="640" w:firstLineChars="200"/>
        <w:rPr>
          <w:rFonts w:hint="eastAsia" w:ascii="仿宋_GB2312" w:hAnsi="Times New Roman" w:eastAsia="仿宋_GB2312" w:cs="Times New Roman"/>
          <w:color w:val="000000"/>
          <w:sz w:val="32"/>
          <w:szCs w:val="32"/>
          <w:lang w:eastAsia="zh-CN"/>
        </w:rPr>
      </w:pPr>
      <w:r>
        <w:rPr>
          <w:rFonts w:hint="eastAsia" w:ascii="仿宋_GB2312" w:hAnsi="Times New Roman" w:eastAsia="仿宋_GB2312" w:cs="Times New Roman"/>
          <w:color w:val="000000"/>
          <w:sz w:val="32"/>
          <w:szCs w:val="32"/>
          <w:lang w:eastAsia="zh-CN"/>
        </w:rPr>
        <w:drawing>
          <wp:inline distT="0" distB="0" distL="114300" distR="114300">
            <wp:extent cx="5615940" cy="4744720"/>
            <wp:effectExtent l="0" t="0" r="3810" b="17780"/>
            <wp:docPr id="3" name="图片 3" descr="1673487840127"/>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 name="图片 3" descr="1673487840127"/>
                    <pic:cNvPicPr>
                      <a:picLocks noChangeAspect="true"/>
                    </pic:cNvPicPr>
                  </pic:nvPicPr>
                  <pic:blipFill>
                    <a:blip r:embed="rId6"/>
                    <a:stretch>
                      <a:fillRect/>
                    </a:stretch>
                  </pic:blipFill>
                  <pic:spPr>
                    <a:xfrm>
                      <a:off x="0" y="0"/>
                      <a:ext cx="5615940" cy="4744720"/>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2"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2.</w:t>
      </w:r>
      <w:r>
        <w:rPr>
          <w:rFonts w:hint="default" w:ascii="Times New Roman" w:hAnsi="Times New Roman" w:eastAsia="楷体_GB2312" w:cs="Times New Roman"/>
          <w:b/>
          <w:bCs/>
          <w:sz w:val="32"/>
          <w:szCs w:val="32"/>
          <w:highlight w:val="none"/>
          <w:lang w:eastAsia="zh-CN"/>
        </w:rPr>
        <w:t>依申请公开政府信息</w:t>
      </w:r>
      <w:r>
        <w:rPr>
          <w:rFonts w:hint="default" w:ascii="Times New Roman" w:hAnsi="Times New Roman" w:eastAsia="楷体_GB2312" w:cs="Times New Roman"/>
          <w:b/>
          <w:bCs/>
          <w:sz w:val="32"/>
          <w:szCs w:val="32"/>
          <w:highlight w:val="none"/>
        </w:rPr>
        <w:t>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2022年，本单位新收到政府信息公开申请3件，上年结转1件，已按期答复，没有发生因政府信息公开引发的举报、投诉、行政复议、行政诉讼事件。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2"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3.政府信息管理情况。</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区农业农村局高度重视政务信息公开工作，加强组织机构建设，建立健全工作机制，进一步加强政府信息公开工作管理，持续推进政务信息公开工作有序开展。</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w:t>
      </w:r>
      <w:r>
        <w:rPr>
          <w:rFonts w:hint="eastAsia" w:ascii="仿宋_GB2312" w:eastAsia="仿宋_GB2312"/>
          <w:sz w:val="32"/>
          <w:szCs w:val="32"/>
        </w:rPr>
        <w:t>压实工作责任。做到“五个明确”，即：明确分管领导、明确责任</w:t>
      </w:r>
      <w:r>
        <w:rPr>
          <w:rFonts w:hint="eastAsia" w:ascii="仿宋_GB2312" w:eastAsia="仿宋_GB2312"/>
          <w:sz w:val="32"/>
          <w:szCs w:val="32"/>
          <w:lang w:val="en-US" w:eastAsia="zh-CN"/>
        </w:rPr>
        <w:t>科</w:t>
      </w:r>
      <w:r>
        <w:rPr>
          <w:rFonts w:hint="eastAsia" w:ascii="仿宋_GB2312" w:eastAsia="仿宋_GB2312"/>
          <w:sz w:val="32"/>
          <w:szCs w:val="32"/>
        </w:rPr>
        <w:t>室、明确承办人员、明确办理要点、明确完成时限，推进信息公开工作</w:t>
      </w:r>
      <w:r>
        <w:rPr>
          <w:rFonts w:hint="eastAsia" w:ascii="仿宋_GB2312" w:eastAsia="仿宋_GB2312"/>
          <w:sz w:val="32"/>
          <w:szCs w:val="32"/>
          <w:lang w:eastAsia="zh-CN"/>
        </w:rPr>
        <w:t>依法依规</w:t>
      </w:r>
      <w:r>
        <w:rPr>
          <w:rFonts w:hint="eastAsia" w:ascii="仿宋_GB2312" w:eastAsia="仿宋_GB2312"/>
          <w:sz w:val="32"/>
          <w:szCs w:val="32"/>
        </w:rPr>
        <w:t>落细落实。</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二是健全政府信息公开审查机制，严格按照“谁公开、谁审查，谁审查、谁负责，先审查、后公开”的政府信息发布原则，安排专人负责政务公开工作，确保信息发布的准确性与合法性。</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三是建立健全政府信息公开保密性审查和合法性审查机制，对信息公开申请答复进行依法甄别、严格“过滤”。制定《</w:t>
      </w:r>
      <w:r>
        <w:rPr>
          <w:rFonts w:hint="eastAsia" w:ascii="仿宋_GB2312" w:hAnsi="仿宋_GB2312" w:eastAsia="仿宋_GB2312" w:cs="仿宋_GB2312"/>
          <w:sz w:val="32"/>
          <w:szCs w:val="32"/>
          <w:lang w:val="en-US" w:eastAsia="zh-CN"/>
        </w:rPr>
        <w:t>环翠</w:t>
      </w:r>
      <w:r>
        <w:rPr>
          <w:rFonts w:hint="eastAsia" w:ascii="仿宋_GB2312" w:hAnsi="仿宋_GB2312" w:eastAsia="仿宋_GB2312" w:cs="仿宋_GB2312"/>
          <w:sz w:val="32"/>
          <w:szCs w:val="32"/>
        </w:rPr>
        <w:t>区农业农村局政府信息公开保密审查单》，对拟公开政府信息以及对外发布的所有信息均进行严格的保密审查，严格禁止未经审查和批准的政府信息对外公开。</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2"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4.</w:t>
      </w:r>
      <w:r>
        <w:rPr>
          <w:rFonts w:hint="default" w:ascii="Times New Roman" w:hAnsi="Times New Roman" w:eastAsia="楷体_GB2312" w:cs="Times New Roman"/>
          <w:b/>
          <w:bCs/>
          <w:sz w:val="32"/>
          <w:szCs w:val="32"/>
          <w:highlight w:val="none"/>
          <w:lang w:eastAsia="zh-CN"/>
        </w:rPr>
        <w:t>政府信息</w:t>
      </w:r>
      <w:r>
        <w:rPr>
          <w:rFonts w:hint="default" w:ascii="Times New Roman" w:hAnsi="Times New Roman" w:eastAsia="楷体_GB2312" w:cs="Times New Roman"/>
          <w:b/>
          <w:bCs/>
          <w:sz w:val="32"/>
          <w:szCs w:val="32"/>
          <w:highlight w:val="none"/>
        </w:rPr>
        <w:t>公开平台建设情况。</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局采取环翠区人民政府网站公开为主，环翠农业农村微信公众号、广播电视、报纸等媒体报道为辅的公开方式进行网上信息公开，积极发挥环翠区人民政府网站作为我局政府信息工作第一平台的作用，切实做好政府信息公开工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FF0000"/>
          <w:sz w:val="32"/>
          <w:szCs w:val="32"/>
          <w:lang w:eastAsia="zh-CN"/>
        </w:rPr>
      </w:pPr>
      <w:r>
        <w:rPr>
          <w:rFonts w:hint="eastAsia" w:ascii="仿宋_GB2312" w:hAnsi="仿宋_GB2312" w:eastAsia="仿宋_GB2312" w:cs="仿宋_GB2312"/>
          <w:sz w:val="32"/>
          <w:szCs w:val="32"/>
        </w:rPr>
        <w:t>一是加强政府网站建设和动态管理。围绕我局各项重点工作开展情况以及政策文件的制定，及时进行主动公开，切实提高政府网站建设和运维管理水平。二是</w:t>
      </w:r>
      <w:r>
        <w:rPr>
          <w:rFonts w:hint="eastAsia" w:ascii="仿宋_GB2312" w:hAnsi="黑体" w:eastAsia="仿宋_GB2312" w:cs="Times New Roman"/>
          <w:color w:val="000000"/>
          <w:sz w:val="32"/>
          <w:szCs w:val="32"/>
          <w:lang w:val="en-US" w:eastAsia="zh-CN"/>
        </w:rPr>
        <w:t>持续加强政务新媒体建设。</w:t>
      </w:r>
      <w:r>
        <w:rPr>
          <w:rFonts w:hint="eastAsia" w:ascii="仿宋_GB2312" w:hAnsi="黑体" w:eastAsia="仿宋_GB2312" w:cs="Times New Roman"/>
          <w:color w:val="000000"/>
          <w:sz w:val="32"/>
          <w:szCs w:val="32"/>
        </w:rPr>
        <w:t>推动政务公开由电脑端向移动端延伸，</w:t>
      </w:r>
      <w:r>
        <w:rPr>
          <w:rFonts w:ascii="仿宋_GB2312" w:hAnsi="宋体" w:eastAsia="仿宋_GB2312" w:cs="仿宋_GB2312"/>
          <w:color w:val="000000"/>
          <w:kern w:val="0"/>
          <w:sz w:val="31"/>
          <w:szCs w:val="31"/>
          <w:lang w:val="en-US" w:eastAsia="zh-CN" w:bidi="ar"/>
        </w:rPr>
        <w:t>拓展办事服务功能</w:t>
      </w:r>
      <w:r>
        <w:rPr>
          <w:rFonts w:hint="eastAsia" w:ascii="仿宋_GB2312" w:hAnsi="宋体" w:eastAsia="仿宋_GB2312" w:cs="仿宋_GB2312"/>
          <w:color w:val="000000"/>
          <w:kern w:val="0"/>
          <w:sz w:val="31"/>
          <w:szCs w:val="31"/>
          <w:lang w:val="en-US" w:eastAsia="zh-CN" w:bidi="ar"/>
        </w:rPr>
        <w:t>，</w:t>
      </w:r>
      <w:r>
        <w:rPr>
          <w:rFonts w:hint="eastAsia" w:ascii="仿宋_GB2312" w:hAnsi="微软雅黑" w:eastAsia="仿宋_GB2312" w:cs="仿宋_GB2312"/>
          <w:b w:val="0"/>
          <w:bCs w:val="0"/>
          <w:i w:val="0"/>
          <w:iCs w:val="0"/>
          <w:caps w:val="0"/>
          <w:color w:val="auto"/>
          <w:spacing w:val="0"/>
          <w:kern w:val="0"/>
          <w:sz w:val="32"/>
          <w:szCs w:val="32"/>
          <w:shd w:val="clear" w:fill="FFFFFF"/>
          <w:lang w:val="en-US" w:eastAsia="zh-CN" w:bidi="ar"/>
        </w:rPr>
        <w:t>有效提升网上履职能力，2022年</w:t>
      </w:r>
      <w:r>
        <w:rPr>
          <w:rFonts w:hint="eastAsia" w:ascii="仿宋_GB2312" w:hAnsi="黑体" w:eastAsia="仿宋_GB2312" w:cs="Times New Roman"/>
          <w:color w:val="000000"/>
          <w:sz w:val="32"/>
          <w:szCs w:val="32"/>
        </w:rPr>
        <w:t>通过“</w:t>
      </w:r>
      <w:r>
        <w:rPr>
          <w:rFonts w:hint="eastAsia" w:ascii="仿宋_GB2312" w:hAnsi="黑体" w:eastAsia="仿宋_GB2312" w:cs="Times New Roman"/>
          <w:color w:val="000000"/>
          <w:sz w:val="32"/>
          <w:szCs w:val="32"/>
          <w:lang w:val="en-US" w:eastAsia="zh-CN"/>
        </w:rPr>
        <w:t>环翠农业农村</w:t>
      </w:r>
      <w:r>
        <w:rPr>
          <w:rFonts w:hint="eastAsia" w:ascii="仿宋_GB2312" w:hAnsi="黑体" w:eastAsia="仿宋_GB2312" w:cs="Times New Roman"/>
          <w:color w:val="000000"/>
          <w:sz w:val="32"/>
          <w:szCs w:val="32"/>
        </w:rPr>
        <w:t>”微信公众号公开发布信息</w:t>
      </w:r>
      <w:r>
        <w:rPr>
          <w:rFonts w:hint="eastAsia" w:ascii="仿宋_GB2312" w:hAnsi="黑体" w:eastAsia="仿宋_GB2312" w:cs="Times New Roman"/>
          <w:color w:val="000000"/>
          <w:sz w:val="32"/>
          <w:szCs w:val="32"/>
          <w:lang w:val="en-US" w:eastAsia="zh-CN"/>
        </w:rPr>
        <w:t>100</w:t>
      </w:r>
      <w:r>
        <w:rPr>
          <w:rFonts w:hint="eastAsia" w:ascii="仿宋_GB2312" w:hAnsi="黑体" w:eastAsia="仿宋_GB2312" w:cs="Times New Roman"/>
          <w:color w:val="000000"/>
          <w:sz w:val="32"/>
          <w:szCs w:val="32"/>
          <w:lang w:eastAsia="zh-CN"/>
        </w:rPr>
        <w:t>余</w:t>
      </w:r>
      <w:r>
        <w:rPr>
          <w:rFonts w:hint="eastAsia" w:ascii="仿宋_GB2312" w:hAnsi="黑体" w:eastAsia="仿宋_GB2312" w:cs="Times New Roman"/>
          <w:color w:val="000000"/>
          <w:sz w:val="32"/>
          <w:szCs w:val="32"/>
        </w:rPr>
        <w:t>条</w:t>
      </w:r>
      <w:r>
        <w:rPr>
          <w:rFonts w:hint="eastAsia" w:ascii="仿宋_GB2312" w:hAnsi="黑体" w:eastAsia="仿宋_GB2312" w:cs="Times New Roman"/>
          <w:color w:val="00000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2"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5.监督保障情况。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00" w:firstLineChars="200"/>
        <w:textAlignment w:val="auto"/>
        <w:rPr>
          <w:rFonts w:hint="default" w:ascii="Times New Roman" w:hAnsi="Times New Roman" w:eastAsia="仿宋_GB2312" w:cs="Times New Roman"/>
          <w:color w:val="FF0000"/>
          <w:sz w:val="32"/>
          <w:szCs w:val="32"/>
          <w:lang w:eastAsia="zh-CN"/>
        </w:rPr>
      </w:pPr>
      <w:r>
        <w:rPr>
          <w:rFonts w:hint="eastAsia" w:ascii="仿宋_GB2312" w:hAnsi="黑体" w:eastAsia="仿宋_GB2312" w:cs="Times New Roman"/>
          <w:color w:val="000000"/>
          <w:kern w:val="2"/>
          <w:sz w:val="30"/>
          <w:szCs w:val="30"/>
          <w:lang w:val="en-US" w:eastAsia="zh-CN" w:bidi="ar-SA"/>
        </w:rPr>
        <w:t>一是强化监督检查。定期对政府网站信息、政务新媒体信息的发布情况开展专项检查。二是强化培训指导。针对人员变动和重点工作要求，开展分层次和重点部门“一对一”培训，提升工作人员公开意识和业务水平。三是强化绩效考核。建立政务公开绩效考核体系，细化考核指标，将考核结果作为单位内部科室评先创优重要依据。</w:t>
      </w:r>
    </w:p>
    <w:p>
      <w:pPr>
        <w:pStyle w:val="7"/>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before="0" w:line="560" w:lineRule="exact"/>
        <w:ind w:left="0" w:leftChars="0" w:right="0" w:rightChars="0" w:firstLine="640" w:firstLineChars="200"/>
        <w:jc w:val="both"/>
        <w:textAlignment w:val="auto"/>
        <w:outlineLvl w:val="9"/>
        <w:rPr>
          <w:rFonts w:hint="default" w:ascii="Times New Roman" w:hAnsi="Times New Roman" w:eastAsia="黑体" w:cs="Times New Roman"/>
          <w:color w:val="000000"/>
          <w:spacing w:val="0"/>
          <w:w w:val="100"/>
          <w:position w:val="0"/>
          <w:sz w:val="32"/>
          <w:szCs w:val="32"/>
        </w:rPr>
      </w:pPr>
      <w:r>
        <w:rPr>
          <w:rFonts w:hint="default" w:ascii="Times New Roman" w:hAnsi="Times New Roman" w:eastAsia="黑体" w:cs="Times New Roman"/>
          <w:color w:val="000000"/>
          <w:spacing w:val="0"/>
          <w:w w:val="100"/>
          <w:position w:val="0"/>
          <w:sz w:val="32"/>
          <w:szCs w:val="32"/>
        </w:rPr>
        <w:t>主动公开政府信息情况</w:t>
      </w:r>
    </w:p>
    <w:p>
      <w:pPr>
        <w:pStyle w:val="7"/>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line="560" w:lineRule="exact"/>
        <w:ind w:right="0" w:rightChars="0"/>
        <w:jc w:val="both"/>
        <w:textAlignment w:val="auto"/>
        <w:outlineLvl w:val="9"/>
        <w:rPr>
          <w:rFonts w:hint="default" w:ascii="Times New Roman" w:hAnsi="Times New Roman" w:eastAsia="仿宋_GB2312" w:cs="Times New Roman"/>
          <w:kern w:val="2"/>
          <w:sz w:val="32"/>
          <w:szCs w:val="32"/>
          <w:u w:val="none"/>
          <w:shd w:val="clear"/>
          <w:lang w:val="en-US" w:eastAsia="zh-CN" w:bidi="ar-SA"/>
        </w:rPr>
      </w:pPr>
    </w:p>
    <w:tbl>
      <w:tblPr>
        <w:tblStyle w:val="5"/>
        <w:tblW w:w="0" w:type="auto"/>
        <w:jc w:val="center"/>
        <w:tblLayout w:type="fixed"/>
        <w:tblCellMar>
          <w:top w:w="0" w:type="dxa"/>
          <w:left w:w="10" w:type="dxa"/>
          <w:bottom w:w="0" w:type="dxa"/>
          <w:right w:w="10" w:type="dxa"/>
        </w:tblCellMar>
      </w:tblPr>
      <w:tblGrid>
        <w:gridCol w:w="3115"/>
        <w:gridCol w:w="2146"/>
        <w:gridCol w:w="1474"/>
        <w:gridCol w:w="1987"/>
      </w:tblGrid>
      <w:tr>
        <w:tblPrEx>
          <w:tblCellMar>
            <w:top w:w="0" w:type="dxa"/>
            <w:left w:w="10" w:type="dxa"/>
            <w:bottom w:w="0" w:type="dxa"/>
            <w:right w:w="10" w:type="dxa"/>
          </w:tblCellMar>
        </w:tblPrEx>
        <w:trPr>
          <w:trHeight w:val="581"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第二十条第（一）项</w:t>
            </w:r>
          </w:p>
        </w:tc>
      </w:tr>
      <w:tr>
        <w:tblPrEx>
          <w:tblCellMar>
            <w:top w:w="0" w:type="dxa"/>
            <w:left w:w="10" w:type="dxa"/>
            <w:bottom w:w="0" w:type="dxa"/>
            <w:right w:w="10" w:type="dxa"/>
          </w:tblCellMar>
        </w:tblPrEx>
        <w:trPr>
          <w:trHeight w:val="566" w:hRule="exact"/>
          <w:jc w:val="center"/>
        </w:trPr>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106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rPr>
              <w:t>本年</w:t>
            </w:r>
            <w:r>
              <w:rPr>
                <w:rFonts w:hint="default" w:ascii="Times New Roman" w:hAnsi="Times New Roman" w:cs="Times New Roman"/>
                <w:color w:val="000000"/>
                <w:spacing w:val="0"/>
                <w:w w:val="100"/>
                <w:position w:val="0"/>
                <w:sz w:val="22"/>
                <w:szCs w:val="22"/>
                <w:lang w:eastAsia="zh-CN"/>
              </w:rPr>
              <w:t>制发件数</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rPr>
              <w:t>本年</w:t>
            </w:r>
            <w:r>
              <w:rPr>
                <w:rFonts w:hint="default" w:ascii="Times New Roman" w:hAnsi="Times New Roman" w:cs="Times New Roman"/>
                <w:color w:val="000000"/>
                <w:spacing w:val="0"/>
                <w:w w:val="100"/>
                <w:position w:val="0"/>
                <w:sz w:val="22"/>
                <w:szCs w:val="22"/>
                <w:lang w:eastAsia="zh-CN"/>
              </w:rPr>
              <w:t>废止件数</w:t>
            </w:r>
          </w:p>
        </w:tc>
        <w:tc>
          <w:tcPr>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lang w:eastAsia="zh-CN"/>
              </w:rPr>
              <w:t>现行有效件数</w:t>
            </w:r>
          </w:p>
        </w:tc>
      </w:tr>
      <w:tr>
        <w:tblPrEx>
          <w:tblCellMar>
            <w:top w:w="0" w:type="dxa"/>
            <w:left w:w="10" w:type="dxa"/>
            <w:bottom w:w="0" w:type="dxa"/>
            <w:right w:w="10" w:type="dxa"/>
          </w:tblCellMar>
        </w:tblPrEx>
        <w:trPr>
          <w:trHeight w:val="446" w:hRule="exact"/>
          <w:jc w:val="center"/>
        </w:trPr>
        <w:tc>
          <w:tcPr>
            <w:tcBorders>
              <w:top w:val="single" w:color="auto" w:sz="4" w:space="0"/>
              <w:lef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规章</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tcBorders>
            <w:shd w:val="clear" w:color="auto" w:fill="FFFFFF"/>
            <w:vAlign w:val="bottom"/>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规范性文件</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r>
      <w:tr>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80" w:after="0" w:line="240" w:lineRule="auto"/>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第二十条第（五）项</w:t>
            </w:r>
          </w:p>
        </w:tc>
      </w:tr>
      <w:tr>
        <w:tblPrEx>
          <w:tblCellMar>
            <w:top w:w="0" w:type="dxa"/>
            <w:left w:w="10" w:type="dxa"/>
            <w:bottom w:w="0" w:type="dxa"/>
            <w:right w:w="10" w:type="dxa"/>
          </w:tblCellMar>
        </w:tblPrEx>
        <w:trPr>
          <w:trHeight w:val="562" w:hRule="exact"/>
          <w:jc w:val="center"/>
        </w:trPr>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106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sz w:val="22"/>
                <w:szCs w:val="22"/>
                <w:lang w:eastAsia="zh-CN"/>
              </w:rPr>
              <w:t>本年处理决定数量</w:t>
            </w:r>
          </w:p>
        </w:tc>
      </w:tr>
      <w:tr>
        <w:tblPrEx>
          <w:tblCellMar>
            <w:top w:w="0" w:type="dxa"/>
            <w:left w:w="10" w:type="dxa"/>
            <w:bottom w:w="0" w:type="dxa"/>
            <w:right w:w="10" w:type="dxa"/>
          </w:tblCellMar>
        </w:tblPrEx>
        <w:trPr>
          <w:trHeight w:val="461" w:hRule="exact"/>
          <w:jc w:val="center"/>
        </w:trPr>
        <w:tc>
          <w:tcPr>
            <w:tcBorders>
              <w:top w:val="single" w:color="auto" w:sz="4" w:space="0"/>
              <w:lef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行政许可</w:t>
            </w:r>
          </w:p>
        </w:tc>
        <w:tc>
          <w:tcPr>
            <w:gridSpan w:val="3"/>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48</w:t>
            </w:r>
          </w:p>
        </w:tc>
      </w:tr>
      <w:tr>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第二十条第（六）项</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106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sz w:val="22"/>
                <w:szCs w:val="22"/>
                <w:lang w:eastAsia="zh-CN"/>
              </w:rPr>
              <w:t>本年处理决定数量</w:t>
            </w:r>
          </w:p>
          <w:p>
            <w:pPr>
              <w:pStyle w:val="8"/>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处理决定数量</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行政处罚</w:t>
            </w:r>
          </w:p>
        </w:tc>
        <w:tc>
          <w:tcPr>
            <w:gridSpan w:val="3"/>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r>
              <w:rPr>
                <w:rFonts w:hint="eastAsia" w:ascii="Times New Roman" w:hAnsi="Times New Roman" w:cs="Times New Roman"/>
                <w:sz w:val="22"/>
                <w:szCs w:val="22"/>
                <w:lang w:val="en-US" w:eastAsia="zh-CN"/>
              </w:rPr>
              <w:t>2</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tcBorders>
            <w:shd w:val="clear" w:color="auto" w:fill="FFFFFF"/>
            <w:vAlign w:val="bottom"/>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行政强制</w:t>
            </w:r>
          </w:p>
        </w:tc>
        <w:tc>
          <w:tcPr>
            <w:gridSpan w:val="3"/>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bottom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80" w:after="0" w:line="240" w:lineRule="auto"/>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第二十条第（八）项</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106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bottom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lang w:eastAsia="zh-CN"/>
              </w:rPr>
              <w:t>本年收费金额（单位：万元）</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before="100" w:after="0" w:line="240" w:lineRule="auto"/>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行政事业性收费</w:t>
            </w:r>
          </w:p>
        </w:tc>
        <w:tc>
          <w:tcPr>
            <w:gridSpan w:val="3"/>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bl>
    <w:p>
      <w:pPr>
        <w:pStyle w:val="7"/>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before="0" w:line="560" w:lineRule="exact"/>
        <w:ind w:left="0" w:leftChars="0" w:right="0" w:rightChars="0" w:firstLine="640" w:firstLineChars="200"/>
        <w:jc w:val="left"/>
        <w:textAlignment w:val="auto"/>
        <w:rPr>
          <w:rFonts w:hint="default" w:ascii="Times New Roman" w:hAnsi="Times New Roman" w:eastAsia="黑体" w:cs="Times New Roman"/>
          <w:color w:val="000000"/>
          <w:spacing w:val="0"/>
          <w:w w:val="100"/>
          <w:position w:val="0"/>
          <w:sz w:val="32"/>
          <w:szCs w:val="32"/>
        </w:rPr>
      </w:pPr>
      <w:r>
        <w:rPr>
          <w:rFonts w:hint="default" w:ascii="Times New Roman" w:hAnsi="Times New Roman" w:eastAsia="黑体" w:cs="Times New Roman"/>
          <w:color w:val="000000"/>
          <w:spacing w:val="0"/>
          <w:w w:val="100"/>
          <w:position w:val="0"/>
          <w:sz w:val="32"/>
          <w:szCs w:val="32"/>
        </w:rPr>
        <w:t>收到和处理政府信息公开申请情况</w:t>
      </w:r>
    </w:p>
    <w:p>
      <w:pPr>
        <w:pStyle w:val="7"/>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line="560" w:lineRule="exact"/>
        <w:ind w:leftChars="0" w:right="0" w:rightChars="0" w:firstLine="640" w:firstLineChars="200"/>
        <w:jc w:val="both"/>
        <w:textAlignment w:val="auto"/>
        <w:outlineLvl w:val="9"/>
        <w:rPr>
          <w:rFonts w:hint="default" w:ascii="Times New Roman" w:hAnsi="Times New Roman" w:eastAsia="黑体" w:cs="Times New Roman"/>
          <w:color w:val="000000"/>
          <w:spacing w:val="0"/>
          <w:w w:val="100"/>
          <w:position w:val="0"/>
          <w:sz w:val="32"/>
          <w:szCs w:val="32"/>
        </w:rPr>
      </w:pPr>
    </w:p>
    <w:p>
      <w:pPr>
        <w:pStyle w:val="7"/>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line="560" w:lineRule="exact"/>
        <w:ind w:leftChars="0" w:right="0" w:rightChars="0" w:firstLine="640" w:firstLineChars="200"/>
        <w:jc w:val="both"/>
        <w:textAlignment w:val="auto"/>
        <w:outlineLvl w:val="9"/>
        <w:rPr>
          <w:rFonts w:hint="default" w:ascii="Times New Roman" w:hAnsi="Times New Roman" w:eastAsia="黑体" w:cs="Times New Roman"/>
          <w:color w:val="000000"/>
          <w:spacing w:val="0"/>
          <w:w w:val="100"/>
          <w:position w:val="0"/>
          <w:sz w:val="32"/>
          <w:szCs w:val="32"/>
        </w:rPr>
      </w:pPr>
    </w:p>
    <w:tbl>
      <w:tblPr>
        <w:tblStyle w:val="5"/>
        <w:tblW w:w="0" w:type="auto"/>
        <w:jc w:val="center"/>
        <w:tblLayout w:type="fixed"/>
        <w:tblCellMar>
          <w:top w:w="0" w:type="dxa"/>
          <w:left w:w="10" w:type="dxa"/>
          <w:bottom w:w="0" w:type="dxa"/>
          <w:right w:w="10" w:type="dxa"/>
        </w:tblCellMar>
      </w:tblPr>
      <w:tblGrid>
        <w:gridCol w:w="518"/>
        <w:gridCol w:w="1531"/>
        <w:gridCol w:w="2592"/>
        <w:gridCol w:w="624"/>
        <w:gridCol w:w="562"/>
        <w:gridCol w:w="562"/>
        <w:gridCol w:w="566"/>
        <w:gridCol w:w="566"/>
        <w:gridCol w:w="566"/>
        <w:gridCol w:w="634"/>
      </w:tblGrid>
      <w:tr>
        <w:tblPrEx>
          <w:tblCellMar>
            <w:top w:w="0" w:type="dxa"/>
            <w:left w:w="10" w:type="dxa"/>
            <w:bottom w:w="0" w:type="dxa"/>
            <w:right w:w="10" w:type="dxa"/>
          </w:tblCellMar>
        </w:tblPrEx>
        <w:trPr>
          <w:trHeight w:val="576" w:hRule="exact"/>
          <w:jc w:val="center"/>
        </w:trPr>
        <w:tc>
          <w:tcPr>
            <w:gridSpan w:val="3"/>
            <w:vMerge w:val="restart"/>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（本列数据的勾稽关系为：第一项加第二项之和， 等于第三项加第四项之和）</w:t>
            </w:r>
          </w:p>
        </w:tc>
        <w:tc>
          <w:tcPr>
            <w:gridSpan w:val="7"/>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申请人情况</w:t>
            </w:r>
          </w:p>
        </w:tc>
      </w:tr>
      <w:tr>
        <w:tblPrEx>
          <w:tblCellMar>
            <w:top w:w="0" w:type="dxa"/>
            <w:left w:w="10" w:type="dxa"/>
            <w:bottom w:w="0" w:type="dxa"/>
            <w:right w:w="10" w:type="dxa"/>
          </w:tblCellMar>
        </w:tblPrEx>
        <w:trPr>
          <w:trHeight w:val="571" w:hRule="exact"/>
          <w:jc w:val="center"/>
        </w:trPr>
        <w:tc>
          <w:tcPr>
            <w:gridSpan w:val="3"/>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自然人</w:t>
            </w:r>
          </w:p>
        </w:tc>
        <w:tc>
          <w:tcPr>
            <w:gridSpan w:val="5"/>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法人或其他组织</w:t>
            </w:r>
          </w:p>
        </w:tc>
        <w:tc>
          <w:tcPr>
            <w:vMerge w:val="restart"/>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righ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总计</w:t>
            </w:r>
          </w:p>
        </w:tc>
      </w:tr>
      <w:tr>
        <w:tblPrEx>
          <w:tblCellMar>
            <w:top w:w="0" w:type="dxa"/>
            <w:left w:w="10" w:type="dxa"/>
            <w:bottom w:w="0" w:type="dxa"/>
            <w:right w:w="10" w:type="dxa"/>
          </w:tblCellMar>
        </w:tblPrEx>
        <w:trPr>
          <w:trHeight w:val="1134" w:hRule="atLeast"/>
          <w:jc w:val="center"/>
        </w:trPr>
        <w:tc>
          <w:tcPr>
            <w:gridSpan w:val="3"/>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商业 企业</w:t>
            </w:r>
          </w:p>
        </w:tc>
        <w:tc>
          <w:tcPr>
            <w:tcW w:w="562" w:type="dxa"/>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科研 机构</w:t>
            </w:r>
          </w:p>
        </w:tc>
        <w:tc>
          <w:tcPr>
            <w:tcW w:w="566"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240" w:lineRule="auto"/>
              <w:ind w:firstLine="0"/>
              <w:textAlignment w:val="auto"/>
              <w:rPr>
                <w:rFonts w:hint="default" w:ascii="Times New Roman" w:hAnsi="Times New Roman" w:eastAsia="宋体" w:cs="Times New Roman"/>
                <w:color w:val="000000"/>
                <w:spacing w:val="0"/>
                <w:w w:val="100"/>
                <w:position w:val="0"/>
                <w:sz w:val="15"/>
                <w:szCs w:val="15"/>
                <w:u w:val="none"/>
                <w:shd w:val="clear" w:color="auto" w:fill="auto"/>
                <w:lang w:val="en-US" w:eastAsia="zh-CN" w:bidi="zh-TW"/>
              </w:rPr>
            </w:pPr>
          </w:p>
          <w:p>
            <w:pPr>
              <w:keepNext w:val="0"/>
              <w:keepLines w:val="0"/>
              <w:pageBreakBefore w:val="0"/>
              <w:widowControl w:val="0"/>
              <w:kinsoku/>
              <w:wordWrap/>
              <w:overflowPunct/>
              <w:topLinePunct w:val="0"/>
              <w:autoSpaceDE/>
              <w:autoSpaceDN/>
              <w:bidi w:val="0"/>
              <w:adjustRightInd/>
              <w:snapToGrid/>
              <w:spacing w:line="240" w:lineRule="auto"/>
              <w:ind w:firstLine="0"/>
              <w:textAlignment w:val="auto"/>
              <w:rPr>
                <w:rFonts w:hint="default" w:ascii="Times New Roman" w:hAnsi="Times New Roman" w:eastAsia="宋体" w:cs="Times New Roman"/>
                <w:sz w:val="10"/>
                <w:szCs w:val="10"/>
                <w:lang w:val="en-US" w:eastAsia="zh-CN"/>
              </w:rPr>
            </w:pPr>
            <w:r>
              <w:rPr>
                <w:rFonts w:hint="default" w:ascii="Times New Roman" w:hAnsi="Times New Roman" w:eastAsia="宋体" w:cs="Times New Roman"/>
                <w:color w:val="000000"/>
                <w:spacing w:val="0"/>
                <w:w w:val="100"/>
                <w:position w:val="0"/>
                <w:sz w:val="20"/>
                <w:szCs w:val="20"/>
                <w:u w:val="none"/>
                <w:shd w:val="clear" w:color="auto" w:fill="auto"/>
                <w:lang w:val="en-US" w:eastAsia="zh-CN" w:bidi="zh-TW"/>
              </w:rPr>
              <w:t>社会公益组织</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法律 服务 机构</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w:t>
            </w:r>
          </w:p>
        </w:tc>
        <w:tc>
          <w:tcPr>
            <w:vMerge w:val="continue"/>
            <w:tcBorders>
              <w:left w:val="single" w:color="auto" w:sz="4" w:space="0"/>
              <w:righ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r>
      <w:tr>
        <w:tblPrEx>
          <w:tblCellMar>
            <w:top w:w="0" w:type="dxa"/>
            <w:left w:w="10" w:type="dxa"/>
            <w:bottom w:w="0" w:type="dxa"/>
            <w:right w:w="10" w:type="dxa"/>
          </w:tblCellMar>
        </w:tblPrEx>
        <w:trPr>
          <w:trHeight w:val="451" w:hRule="exact"/>
          <w:jc w:val="center"/>
        </w:trPr>
        <w:tc>
          <w:tcPr>
            <w:gridSpan w:val="3"/>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一、本年新收政府信息公开申请数量</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3</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3</w:t>
            </w:r>
          </w:p>
        </w:tc>
      </w:tr>
      <w:tr>
        <w:tblPrEx>
          <w:tblCellMar>
            <w:top w:w="0" w:type="dxa"/>
            <w:left w:w="10" w:type="dxa"/>
            <w:bottom w:w="0" w:type="dxa"/>
            <w:right w:w="10" w:type="dxa"/>
          </w:tblCellMar>
        </w:tblPrEx>
        <w:trPr>
          <w:trHeight w:val="451" w:hRule="exact"/>
          <w:jc w:val="center"/>
        </w:trPr>
        <w:tc>
          <w:tcPr>
            <w:gridSpan w:val="3"/>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二、上年结转政府信息公开申请数量</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r>
      <w:tr>
        <w:tblPrEx>
          <w:tblCellMar>
            <w:top w:w="0" w:type="dxa"/>
            <w:left w:w="10" w:type="dxa"/>
            <w:bottom w:w="0" w:type="dxa"/>
            <w:right w:w="10" w:type="dxa"/>
          </w:tblCellMar>
        </w:tblPrEx>
        <w:trPr>
          <w:trHeight w:val="394" w:hRule="exact"/>
          <w:jc w:val="center"/>
        </w:trPr>
        <w:tc>
          <w:tcPr>
            <w:vMerge w:val="restart"/>
            <w:tcBorders>
              <w:top w:val="single" w:color="auto" w:sz="4" w:space="0"/>
              <w:left w:val="single" w:color="auto" w:sz="4" w:space="0"/>
            </w:tcBorders>
            <w:shd w:val="clear" w:color="auto" w:fill="FFFFFF"/>
            <w:textDirection w:val="tbRlV"/>
            <w:vAlign w:val="center"/>
          </w:tcPr>
          <w:p>
            <w:pPr>
              <w:pStyle w:val="9"/>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三、本年度办理结果</w:t>
            </w:r>
          </w:p>
        </w:tc>
        <w:tc>
          <w:tcPr>
            <w:gridSpan w:val="2"/>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（一）予以公开</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3</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3</w:t>
            </w:r>
          </w:p>
        </w:tc>
      </w:tr>
      <w:tr>
        <w:tblPrEx>
          <w:tblCellMar>
            <w:top w:w="0" w:type="dxa"/>
            <w:left w:w="10" w:type="dxa"/>
            <w:bottom w:w="0" w:type="dxa"/>
            <w:right w:w="10" w:type="dxa"/>
          </w:tblCellMar>
        </w:tblPrEx>
        <w:trPr>
          <w:trHeight w:val="682"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eastAsia="宋体" w:cs="Times New Roman"/>
                <w:sz w:val="18"/>
                <w:szCs w:val="18"/>
                <w:lang w:val="en-US" w:eastAsia="zh-CN"/>
              </w:rPr>
            </w:pPr>
            <w:r>
              <w:rPr>
                <w:rFonts w:hint="default" w:ascii="Times New Roman" w:hAnsi="Times New Roman" w:cs="Times New Roman"/>
                <w:color w:val="000000"/>
                <w:spacing w:val="0"/>
                <w:w w:val="100"/>
                <w:position w:val="0"/>
                <w:sz w:val="18"/>
                <w:szCs w:val="18"/>
              </w:rPr>
              <w:t>（二）部分公开（区分处理的，只计这一情形，不计其他情形）</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（三）不予公开</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属于国家秘密</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both"/>
              <w:textAlignment w:val="auto"/>
              <w:rPr>
                <w:rFonts w:hint="default" w:ascii="Times New Roman" w:hAnsi="Times New Roman" w:cs="Times New Roman"/>
                <w:sz w:val="18"/>
                <w:szCs w:val="18"/>
                <w:lang w:val="en-US"/>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20"/>
                <w:szCs w:val="20"/>
                <w:lang w:val="en-US" w:eastAsia="zh-CN" w:bidi="en-US"/>
              </w:rPr>
              <w:t>其他法律行政法规禁止公开</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危及</w:t>
            </w:r>
            <w:r>
              <w:rPr>
                <w:rFonts w:hint="default" w:ascii="Times New Roman" w:hAnsi="Times New Roman" w:cs="Times New Roman"/>
                <w:color w:val="000000"/>
                <w:spacing w:val="0"/>
                <w:w w:val="100"/>
                <w:position w:val="0"/>
                <w:sz w:val="18"/>
                <w:szCs w:val="18"/>
                <w:lang w:val="zh-CN" w:eastAsia="zh-CN" w:bidi="zh-CN"/>
              </w:rPr>
              <w:t>“三</w:t>
            </w:r>
            <w:r>
              <w:rPr>
                <w:rFonts w:hint="default" w:ascii="Times New Roman" w:hAnsi="Times New Roman" w:cs="Times New Roman"/>
                <w:color w:val="000000"/>
                <w:spacing w:val="0"/>
                <w:w w:val="100"/>
                <w:position w:val="0"/>
                <w:sz w:val="18"/>
                <w:szCs w:val="18"/>
              </w:rPr>
              <w:t>安全一稳定”</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4.</w:t>
            </w:r>
            <w:r>
              <w:rPr>
                <w:rFonts w:hint="default" w:ascii="Times New Roman" w:hAnsi="Times New Roman" w:cs="Times New Roman"/>
                <w:color w:val="000000"/>
                <w:spacing w:val="0"/>
                <w:w w:val="100"/>
                <w:position w:val="0"/>
                <w:sz w:val="18"/>
                <w:szCs w:val="18"/>
              </w:rPr>
              <w:t>保护第三方合法权益</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bottom"/>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5.</w:t>
            </w:r>
            <w:r>
              <w:rPr>
                <w:rFonts w:hint="default" w:ascii="Times New Roman" w:hAnsi="Times New Roman" w:cs="Times New Roman"/>
                <w:color w:val="000000"/>
                <w:spacing w:val="0"/>
                <w:w w:val="100"/>
                <w:position w:val="0"/>
                <w:sz w:val="18"/>
                <w:szCs w:val="18"/>
              </w:rPr>
              <w:t>属于三类内部事务信息</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89"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6.</w:t>
            </w:r>
            <w:r>
              <w:rPr>
                <w:rFonts w:hint="default" w:ascii="Times New Roman" w:hAnsi="Times New Roman" w:cs="Times New Roman"/>
                <w:color w:val="000000"/>
                <w:spacing w:val="0"/>
                <w:w w:val="100"/>
                <w:position w:val="0"/>
                <w:sz w:val="18"/>
                <w:szCs w:val="18"/>
              </w:rPr>
              <w:t>属于四类过程性信息</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03"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7.</w:t>
            </w:r>
            <w:r>
              <w:rPr>
                <w:rFonts w:hint="default" w:ascii="Times New Roman" w:hAnsi="Times New Roman" w:cs="Times New Roman"/>
                <w:color w:val="000000"/>
                <w:spacing w:val="0"/>
                <w:w w:val="100"/>
                <w:position w:val="0"/>
                <w:sz w:val="18"/>
                <w:szCs w:val="18"/>
              </w:rPr>
              <w:t>属于行政执法案卷</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bottom"/>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8.</w:t>
            </w:r>
            <w:r>
              <w:rPr>
                <w:rFonts w:hint="default" w:ascii="Times New Roman" w:hAnsi="Times New Roman" w:cs="Times New Roman"/>
                <w:color w:val="000000"/>
                <w:spacing w:val="0"/>
                <w:w w:val="100"/>
                <w:position w:val="0"/>
                <w:sz w:val="18"/>
                <w:szCs w:val="18"/>
              </w:rPr>
              <w:t>属于行政查询事项</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（四）无法提供</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本机关不掌握相关政府信息</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18"/>
                <w:szCs w:val="18"/>
              </w:rPr>
              <w:t>没有现成信息需要另行制作</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补正后申请内容仍不明确</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41"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（五）不予处理</w:t>
            </w:r>
          </w:p>
        </w:tc>
        <w:tc>
          <w:tcPr>
            <w:tcBorders>
              <w:top w:val="single" w:color="auto" w:sz="4" w:space="0"/>
              <w:lef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信访举报投诉类申请</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41"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18"/>
                <w:szCs w:val="18"/>
              </w:rPr>
              <w:t>重复申请</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36"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要求提供公开出版物</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66"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400" w:right="0" w:hanging="40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4.</w:t>
            </w:r>
            <w:r>
              <w:rPr>
                <w:rFonts w:hint="default" w:ascii="Times New Roman" w:hAnsi="Times New Roman" w:cs="Times New Roman"/>
                <w:color w:val="000000"/>
                <w:spacing w:val="0"/>
                <w:w w:val="100"/>
                <w:position w:val="0"/>
                <w:sz w:val="18"/>
                <w:szCs w:val="18"/>
              </w:rPr>
              <w:t>无正当理由大量反复申请</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71"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340" w:right="0" w:hanging="340"/>
              <w:jc w:val="left"/>
              <w:textAlignment w:val="auto"/>
              <w:rPr>
                <w:rFonts w:hint="default" w:ascii="Times New Roman" w:hAnsi="Times New Roman" w:eastAsia="宋体" w:cs="Times New Roman"/>
                <w:sz w:val="18"/>
                <w:szCs w:val="18"/>
                <w:lang w:val="en-US" w:eastAsia="zh-CN"/>
              </w:rPr>
            </w:pPr>
            <w:r>
              <w:rPr>
                <w:rFonts w:hint="default" w:ascii="Times New Roman" w:hAnsi="Times New Roman" w:eastAsia="Times New Roman" w:cs="Times New Roman"/>
                <w:color w:val="000000"/>
                <w:spacing w:val="0"/>
                <w:w w:val="100"/>
                <w:position w:val="0"/>
                <w:sz w:val="20"/>
                <w:szCs w:val="20"/>
                <w:lang w:val="en-US" w:eastAsia="en-US" w:bidi="en-US"/>
              </w:rPr>
              <w:t>5.</w:t>
            </w:r>
            <w:r>
              <w:rPr>
                <w:rFonts w:hint="default" w:ascii="Times New Roman" w:hAnsi="Times New Roman" w:cs="Times New Roman"/>
                <w:color w:val="000000"/>
                <w:spacing w:val="0"/>
                <w:w w:val="100"/>
                <w:position w:val="0"/>
                <w:sz w:val="20"/>
                <w:szCs w:val="20"/>
                <w:lang w:val="en-US" w:eastAsia="zh-CN" w:bidi="en-US"/>
              </w:rPr>
              <w:t>要求行政机关确认或重新出具已获取信息</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（六）其他处理</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（七）总计</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4</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4</w:t>
            </w:r>
          </w:p>
        </w:tc>
      </w:tr>
      <w:tr>
        <w:tblPrEx>
          <w:tblCellMar>
            <w:top w:w="0" w:type="dxa"/>
            <w:left w:w="10" w:type="dxa"/>
            <w:bottom w:w="0" w:type="dxa"/>
            <w:right w:w="10" w:type="dxa"/>
          </w:tblCellMar>
        </w:tblPrEx>
        <w:trPr>
          <w:trHeight w:val="466" w:hRule="exact"/>
          <w:jc w:val="center"/>
        </w:trPr>
        <w:tc>
          <w:tcPr>
            <w:gridSpan w:val="3"/>
            <w:tcBorders>
              <w:top w:val="single" w:color="auto" w:sz="4" w:space="0"/>
              <w:left w:val="single" w:color="auto" w:sz="4" w:space="0"/>
              <w:bottom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四、结转下年度继续办理</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bl>
    <w:p>
      <w:pPr>
        <w:pStyle w:val="7"/>
        <w:keepNext w:val="0"/>
        <w:keepLines w:val="0"/>
        <w:pageBreakBefore w:val="0"/>
        <w:widowControl w:val="0"/>
        <w:shd w:val="clear" w:color="auto" w:fill="auto"/>
        <w:kinsoku/>
        <w:wordWrap/>
        <w:overflowPunct/>
        <w:topLinePunct w:val="0"/>
        <w:autoSpaceDE/>
        <w:autoSpaceDN/>
        <w:bidi w:val="0"/>
        <w:adjustRightInd/>
        <w:snapToGrid/>
        <w:spacing w:before="0" w:after="240" w:line="240" w:lineRule="auto"/>
        <w:ind w:left="0" w:right="0" w:firstLine="640" w:firstLineChars="200"/>
        <w:jc w:val="left"/>
        <w:textAlignment w:val="auto"/>
        <w:rPr>
          <w:rFonts w:hint="default" w:ascii="Times New Roman" w:hAnsi="Times New Roman" w:eastAsia="黑体" w:cs="Times New Roman"/>
          <w:sz w:val="32"/>
          <w:szCs w:val="32"/>
        </w:rPr>
      </w:pPr>
      <w:bookmarkStart w:id="0" w:name="bookmark21"/>
      <w:r>
        <w:rPr>
          <w:rFonts w:hint="default" w:ascii="Times New Roman" w:hAnsi="Times New Roman" w:eastAsia="黑体" w:cs="Times New Roman"/>
          <w:color w:val="000000"/>
          <w:spacing w:val="0"/>
          <w:w w:val="100"/>
          <w:position w:val="0"/>
          <w:sz w:val="32"/>
          <w:szCs w:val="32"/>
        </w:rPr>
        <w:t>四</w:t>
      </w:r>
      <w:bookmarkEnd w:id="0"/>
      <w:r>
        <w:rPr>
          <w:rFonts w:hint="default" w:ascii="Times New Roman" w:hAnsi="Times New Roman" w:eastAsia="黑体" w:cs="Times New Roman"/>
          <w:color w:val="000000"/>
          <w:spacing w:val="0"/>
          <w:w w:val="100"/>
          <w:position w:val="0"/>
          <w:sz w:val="32"/>
          <w:szCs w:val="32"/>
        </w:rPr>
        <w:t>、政府信息公开行政复议、行政诉讼情况</w:t>
      </w:r>
    </w:p>
    <w:tbl>
      <w:tblPr>
        <w:tblStyle w:val="5"/>
        <w:tblW w:w="0" w:type="auto"/>
        <w:jc w:val="center"/>
        <w:tblLayout w:type="fixed"/>
        <w:tblCellMar>
          <w:top w:w="0" w:type="dxa"/>
          <w:left w:w="10" w:type="dxa"/>
          <w:bottom w:w="0" w:type="dxa"/>
          <w:right w:w="10" w:type="dxa"/>
        </w:tblCellMar>
      </w:tblPr>
      <w:tblGrid>
        <w:gridCol w:w="629"/>
        <w:gridCol w:w="629"/>
        <w:gridCol w:w="624"/>
        <w:gridCol w:w="624"/>
        <w:gridCol w:w="562"/>
        <w:gridCol w:w="562"/>
        <w:gridCol w:w="571"/>
        <w:gridCol w:w="562"/>
        <w:gridCol w:w="566"/>
        <w:gridCol w:w="566"/>
        <w:gridCol w:w="562"/>
        <w:gridCol w:w="571"/>
        <w:gridCol w:w="562"/>
        <w:gridCol w:w="566"/>
        <w:gridCol w:w="581"/>
      </w:tblGrid>
      <w:tr>
        <w:tblPrEx>
          <w:tblCellMar>
            <w:top w:w="0" w:type="dxa"/>
            <w:left w:w="10" w:type="dxa"/>
            <w:bottom w:w="0" w:type="dxa"/>
            <w:right w:w="10" w:type="dxa"/>
          </w:tblCellMar>
        </w:tblPrEx>
        <w:trPr>
          <w:trHeight w:val="466" w:hRule="exact"/>
          <w:jc w:val="center"/>
        </w:trPr>
        <w:tc>
          <w:tcPr>
            <w:gridSpan w:val="5"/>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行政复议</w:t>
            </w:r>
          </w:p>
        </w:tc>
        <w:tc>
          <w:tcPr>
            <w:gridSpan w:val="10"/>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行政诉讼</w:t>
            </w:r>
          </w:p>
        </w:tc>
      </w:tr>
      <w:tr>
        <w:tblPrEx>
          <w:tblCellMar>
            <w:top w:w="0" w:type="dxa"/>
            <w:left w:w="10" w:type="dxa"/>
            <w:bottom w:w="0" w:type="dxa"/>
            <w:right w:w="10" w:type="dxa"/>
          </w:tblCellMar>
        </w:tblPrEx>
        <w:trPr>
          <w:trHeight w:val="456" w:hRule="exact"/>
          <w:jc w:val="center"/>
        </w:trPr>
        <w:tc>
          <w:tcPr>
            <w:vMerge w:val="restart"/>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vMerge w:val="restart"/>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vMerge w:val="restart"/>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W w:w="624" w:type="dxa"/>
            <w:vMerge w:val="restart"/>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W w:w="562" w:type="dxa"/>
            <w:vMerge w:val="restart"/>
            <w:tcBorders>
              <w:top w:val="single" w:color="auto" w:sz="4" w:space="0"/>
              <w:left w:val="single" w:color="auto" w:sz="4" w:space="0"/>
            </w:tcBorders>
            <w:shd w:val="clear" w:color="auto" w:fill="FFFFFF"/>
            <w:textDirection w:val="tbRlV"/>
            <w:vAlign w:val="center"/>
          </w:tcPr>
          <w:p>
            <w:pPr>
              <w:pStyle w:val="9"/>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gridSpan w:val="5"/>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未经复议直接起诉</w:t>
            </w:r>
          </w:p>
        </w:tc>
        <w:tc>
          <w:tcPr>
            <w:gridSpan w:val="5"/>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复议后起诉</w:t>
            </w:r>
          </w:p>
        </w:tc>
      </w:tr>
      <w:tr>
        <w:tblPrEx>
          <w:tblCellMar>
            <w:top w:w="0" w:type="dxa"/>
            <w:left w:w="10" w:type="dxa"/>
            <w:bottom w:w="0" w:type="dxa"/>
            <w:right w:w="10" w:type="dxa"/>
          </w:tblCellMar>
        </w:tblPrEx>
        <w:trPr>
          <w:trHeight w:val="850" w:hRule="exact"/>
          <w:jc w:val="center"/>
        </w:trPr>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rPr>
            </w:pPr>
          </w:p>
        </w:tc>
        <w:tc>
          <w:tcPr>
            <w:tcW w:w="624" w:type="dxa"/>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rPr>
            </w:pPr>
          </w:p>
        </w:tc>
        <w:tc>
          <w:tcPr>
            <w:tcW w:w="562" w:type="dxa"/>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Borders>
              <w:top w:val="single" w:color="auto" w:sz="4" w:space="0"/>
              <w:left w:val="single" w:color="auto" w:sz="4" w:space="0"/>
            </w:tcBorders>
            <w:shd w:val="clear" w:color="auto" w:fill="FFFFFF"/>
            <w:textDirection w:val="tbRlV"/>
            <w:vAlign w:val="center"/>
          </w:tcPr>
          <w:p>
            <w:pPr>
              <w:pStyle w:val="9"/>
              <w:keepNext w:val="0"/>
              <w:keepLines w:val="0"/>
              <w:pageBreakBefore w:val="0"/>
              <w:widowControl w:val="0"/>
              <w:shd w:val="clear" w:color="auto" w:fill="auto"/>
              <w:kinsoku/>
              <w:wordWrap/>
              <w:overflowPunct/>
              <w:topLinePunct w:val="0"/>
              <w:autoSpaceDE/>
              <w:autoSpaceDN/>
              <w:bidi w:val="0"/>
              <w:adjustRightInd/>
              <w:snapToGrid/>
              <w:spacing w:before="160" w:after="0" w:line="240" w:lineRule="auto"/>
              <w:ind w:left="0" w:right="0" w:firstLine="22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Borders>
              <w:top w:val="single" w:color="auto" w:sz="4" w:space="0"/>
              <w:left w:val="single" w:color="auto" w:sz="4" w:space="0"/>
              <w:right w:val="single" w:color="auto" w:sz="4" w:space="0"/>
            </w:tcBorders>
            <w:shd w:val="clear" w:color="auto" w:fill="FFFFFF"/>
            <w:textDirection w:val="tbRlV"/>
            <w:vAlign w:val="center"/>
          </w:tcPr>
          <w:p>
            <w:pPr>
              <w:pStyle w:val="9"/>
              <w:keepNext w:val="0"/>
              <w:keepLines w:val="0"/>
              <w:pageBreakBefore w:val="0"/>
              <w:widowControl w:val="0"/>
              <w:shd w:val="clear" w:color="auto" w:fill="auto"/>
              <w:kinsoku/>
              <w:wordWrap/>
              <w:overflowPunct/>
              <w:topLinePunct w:val="0"/>
              <w:autoSpaceDE/>
              <w:autoSpaceDN/>
              <w:bidi w:val="0"/>
              <w:adjustRightInd/>
              <w:snapToGrid/>
              <w:spacing w:before="180" w:after="0" w:line="240" w:lineRule="auto"/>
              <w:ind w:left="0" w:right="0" w:firstLine="22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r>
      <w:tr>
        <w:tblPrEx>
          <w:tblCellMar>
            <w:top w:w="0" w:type="dxa"/>
            <w:left w:w="10" w:type="dxa"/>
            <w:bottom w:w="0" w:type="dxa"/>
            <w:right w:w="10" w:type="dxa"/>
          </w:tblCellMar>
        </w:tblPrEx>
        <w:trPr>
          <w:trHeight w:val="355" w:hRule="exact"/>
          <w:jc w:val="center"/>
        </w:trPr>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24" w:type="dxa"/>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55" w:hRule="exact"/>
          <w:jc w:val="center"/>
        </w:trPr>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W w:w="624" w:type="dxa"/>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W w:w="562" w:type="dxa"/>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c>
          <w:tcPr>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sz w:val="22"/>
                <w:szCs w:val="22"/>
                <w:lang w:val="en-US" w:eastAsia="zh-CN"/>
              </w:rPr>
            </w:pPr>
          </w:p>
        </w:tc>
      </w:tr>
    </w:tbl>
    <w:p>
      <w:pPr>
        <w:keepNext w:val="0"/>
        <w:keepLines w:val="0"/>
        <w:pageBreakBefore w:val="0"/>
        <w:widowControl w:val="0"/>
        <w:numPr>
          <w:ilvl w:val="0"/>
          <w:numId w:val="2"/>
        </w:numPr>
        <w:kinsoku/>
        <w:wordWrap/>
        <w:overflowPunct/>
        <w:topLinePunct w:val="0"/>
        <w:autoSpaceDE/>
        <w:autoSpaceDN/>
        <w:bidi w:val="0"/>
        <w:adjustRightInd/>
        <w:snapToGrid/>
        <w:spacing w:line="240" w:lineRule="auto"/>
        <w:ind w:firstLine="640" w:firstLineChars="200"/>
        <w:textAlignment w:val="auto"/>
        <w:rPr>
          <w:rFonts w:hint="default" w:ascii="Times New Roman" w:hAnsi="Times New Roman" w:eastAsia="黑体" w:cs="Times New Roman"/>
          <w:sz w:val="32"/>
          <w:szCs w:val="32"/>
          <w:highlight w:val="none"/>
          <w:lang w:eastAsia="zh-CN"/>
        </w:rPr>
      </w:pPr>
      <w:r>
        <w:rPr>
          <w:rFonts w:hint="default" w:ascii="Times New Roman" w:hAnsi="Times New Roman" w:eastAsia="黑体" w:cs="Times New Roman"/>
          <w:sz w:val="32"/>
          <w:szCs w:val="32"/>
          <w:highlight w:val="none"/>
          <w:lang w:eastAsia="zh-CN"/>
        </w:rPr>
        <w:t xml:space="preserve">存在的主要问题及改进情况 </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2022年，区农业农村局在政府信息公开方面取得了一定的成效，但也存在一些不足，主要表现在：</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1.公开内容局限于应当公开的内容，对群众关心的领域公开范围、深度、广度需要加强；</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2.关于乡村振兴、乡村建设等“三农”重点领域更新不到位。</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b w:val="0"/>
          <w:bCs w:val="0"/>
          <w:color w:val="FF0000"/>
          <w:sz w:val="32"/>
          <w:szCs w:val="32"/>
          <w:lang w:eastAsia="zh-CN"/>
        </w:rPr>
      </w:pPr>
      <w:r>
        <w:rPr>
          <w:rFonts w:hint="eastAsia" w:ascii="仿宋_GB2312" w:hAnsi="仿宋_GB2312" w:eastAsia="仿宋_GB2312" w:cs="仿宋_GB2312"/>
          <w:sz w:val="32"/>
          <w:szCs w:val="32"/>
        </w:rPr>
        <w:t>整改措施：</w:t>
      </w:r>
      <w:r>
        <w:rPr>
          <w:rFonts w:hint="eastAsia" w:ascii="仿宋_GB2312" w:hAnsi="仿宋_GB2312" w:eastAsia="仿宋_GB2312" w:cs="仿宋_GB2312"/>
          <w:kern w:val="2"/>
          <w:sz w:val="32"/>
          <w:szCs w:val="32"/>
          <w:lang w:val="en-US" w:eastAsia="zh-CN" w:bidi="ar-SA"/>
        </w:rPr>
        <w:t>一是推进信息公开工作走深走实。在按照上级的要求公开基本内容的基础上，重点公开与群众切身利益密切相关的事项信息，以及群众最关心、反映最强烈的热点问题，着力强化重点领域信息公开力度，充分利用村务公开、普法进村、宣传手册等做好信息公开服务，让老百姓更加了解与其息息相关的各项政策。二是增强重点领域公开内容的治理。依照相关要求，针对乡村振兴重点范畴的涉农补贴等方面的内容进行全面梳理，充分利用环翠区政务网区农业农村局站点、“环翠农业农村”微信公众号两大平台，明确相关负责部门、更新时限以及更新内容等要求，确保信息内容实时公开。</w:t>
      </w:r>
      <w:r>
        <w:rPr>
          <w:rFonts w:hint="eastAsia" w:ascii="仿宋_GB2312" w:hAnsi="仿宋_GB2312" w:eastAsia="仿宋_GB2312" w:cs="仿宋_GB2312"/>
          <w:sz w:val="32"/>
          <w:szCs w:val="32"/>
          <w:lang w:val="en-US" w:eastAsia="zh-CN"/>
        </w:rPr>
        <w:t>四</w:t>
      </w:r>
      <w:r>
        <w:rPr>
          <w:rFonts w:hint="eastAsia" w:ascii="仿宋_GB2312" w:hAnsi="仿宋_GB2312" w:eastAsia="仿宋_GB2312" w:cs="仿宋_GB2312"/>
          <w:sz w:val="32"/>
          <w:szCs w:val="32"/>
        </w:rPr>
        <w:t>是继续加大对信息员培训力度，深入学习贯彻《中华人民共和国政府信息公开条例》，增强农业农村系统信息公开思维和意识，全面提升信息公开工作水平。</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 xml:space="preserve">其他需要报告的事项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2" w:firstLineChars="200"/>
        <w:textAlignment w:val="auto"/>
        <w:rPr>
          <w:rFonts w:hint="default" w:ascii="Times New Roman" w:hAnsi="Times New Roman" w:eastAsia="楷体_GB2312" w:cs="Times New Roman"/>
          <w:b/>
          <w:bCs/>
          <w:sz w:val="32"/>
          <w:szCs w:val="32"/>
          <w:highlight w:val="none"/>
          <w:lang w:val="en-US" w:eastAsia="zh-CN"/>
        </w:rPr>
      </w:pPr>
      <w:r>
        <w:rPr>
          <w:rFonts w:hint="default" w:ascii="Times New Roman" w:hAnsi="Times New Roman" w:eastAsia="楷体_GB2312" w:cs="Times New Roman"/>
          <w:b/>
          <w:bCs/>
          <w:sz w:val="32"/>
          <w:szCs w:val="32"/>
          <w:highlight w:val="none"/>
          <w:lang w:val="en-US" w:eastAsia="zh-CN"/>
        </w:rPr>
        <w:t>1.政府信息公开申请收费情况。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本年度我单位依申请公开政府信息未收取任何费用。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2" w:firstLineChars="200"/>
        <w:textAlignment w:val="auto"/>
        <w:rPr>
          <w:rFonts w:hint="default" w:ascii="Times New Roman" w:hAnsi="Times New Roman" w:eastAsia="方正楷体_GB2312" w:cs="Times New Roman"/>
          <w:b/>
          <w:bCs/>
          <w:color w:val="auto"/>
          <w:sz w:val="32"/>
          <w:szCs w:val="32"/>
          <w:lang w:val="en-US" w:eastAsia="zh-CN"/>
        </w:rPr>
      </w:pPr>
      <w:r>
        <w:rPr>
          <w:rFonts w:hint="default" w:ascii="Times New Roman" w:hAnsi="Times New Roman" w:eastAsia="楷体_GB2312" w:cs="Times New Roman"/>
          <w:b/>
          <w:bCs/>
          <w:sz w:val="32"/>
          <w:szCs w:val="32"/>
          <w:highlight w:val="none"/>
          <w:lang w:val="en-US" w:eastAsia="zh-CN"/>
        </w:rPr>
        <w:t>2.落实</w:t>
      </w:r>
      <w:r>
        <w:rPr>
          <w:rFonts w:hint="default" w:ascii="Times New Roman" w:hAnsi="Times New Roman" w:eastAsia="楷体_GB2312" w:cs="Times New Roman"/>
          <w:b/>
          <w:bCs/>
          <w:color w:val="auto"/>
          <w:sz w:val="32"/>
          <w:szCs w:val="32"/>
          <w:highlight w:val="none"/>
          <w:lang w:val="en-US" w:eastAsia="zh-CN"/>
        </w:rPr>
        <w:t>环翠区2022年度政务公开工作要点情况。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lang w:val="en-US" w:eastAsia="zh-CN"/>
        </w:rPr>
      </w:pPr>
      <w:bookmarkStart w:id="1" w:name="_GoBack"/>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eastAsia="zh-CN"/>
        </w:rPr>
        <w:t>本单位高度重视政务公开工作</w:t>
      </w:r>
      <w:r>
        <w:rPr>
          <w:rFonts w:hint="eastAsia" w:ascii="仿宋_GB2312" w:hAnsi="仿宋_GB2312" w:eastAsia="仿宋_GB2312" w:cs="仿宋_GB2312"/>
          <w:color w:val="auto"/>
          <w:sz w:val="32"/>
          <w:szCs w:val="32"/>
        </w:rPr>
        <w:t>，精准落实政务公开工作部署要求</w:t>
      </w:r>
      <w:r>
        <w:rPr>
          <w:rFonts w:hint="eastAsia" w:ascii="仿宋_GB2312" w:hAnsi="仿宋_GB2312" w:eastAsia="仿宋_GB2312" w:cs="仿宋_GB2312"/>
          <w:color w:val="auto"/>
          <w:sz w:val="32"/>
          <w:szCs w:val="32"/>
          <w:lang w:eastAsia="zh-CN"/>
        </w:rPr>
        <w:t>，深</w:t>
      </w:r>
      <w:r>
        <w:rPr>
          <w:rFonts w:hint="eastAsia" w:ascii="仿宋_GB2312" w:hAnsi="仿宋_GB2312" w:eastAsia="仿宋_GB2312" w:cs="仿宋_GB2312"/>
          <w:color w:val="auto"/>
          <w:sz w:val="32"/>
          <w:szCs w:val="32"/>
        </w:rPr>
        <w:t>入推进人员、业务、服务全面提升，主动回应社会关切，持续推动</w:t>
      </w:r>
      <w:r>
        <w:rPr>
          <w:rFonts w:hint="eastAsia" w:ascii="仿宋_GB2312" w:hAnsi="仿宋_GB2312" w:eastAsia="仿宋_GB2312" w:cs="仿宋_GB2312"/>
          <w:color w:val="auto"/>
          <w:sz w:val="32"/>
          <w:szCs w:val="32"/>
          <w:lang w:eastAsia="zh-CN"/>
        </w:rPr>
        <w:t>乡村振兴、惠农补贴、农业执法、脱贫帮扶等</w:t>
      </w:r>
      <w:r>
        <w:rPr>
          <w:rFonts w:hint="eastAsia" w:ascii="仿宋_GB2312" w:hAnsi="仿宋_GB2312" w:eastAsia="仿宋_GB2312" w:cs="仿宋_GB2312"/>
          <w:color w:val="auto"/>
          <w:sz w:val="32"/>
          <w:szCs w:val="32"/>
        </w:rPr>
        <w:t>政策举措、工作推进和落实情况的信息公开，及时解答群众疑惑。</w:t>
      </w:r>
    </w:p>
    <w:bookmarkEnd w:id="1"/>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2" w:firstLineChars="200"/>
        <w:textAlignment w:val="auto"/>
        <w:rPr>
          <w:rFonts w:hint="default" w:ascii="Times New Roman" w:hAnsi="Times New Roman" w:eastAsia="楷体_GB2312" w:cs="Times New Roman"/>
          <w:b/>
          <w:bCs/>
          <w:color w:val="auto"/>
          <w:sz w:val="32"/>
          <w:szCs w:val="32"/>
          <w:highlight w:val="none"/>
          <w:lang w:val="en-US" w:eastAsia="zh-CN"/>
        </w:rPr>
      </w:pPr>
      <w:r>
        <w:rPr>
          <w:rFonts w:hint="default" w:ascii="Times New Roman" w:hAnsi="Times New Roman" w:eastAsia="楷体_GB2312" w:cs="Times New Roman"/>
          <w:b/>
          <w:bCs/>
          <w:color w:val="auto"/>
          <w:sz w:val="32"/>
          <w:szCs w:val="32"/>
          <w:highlight w:val="none"/>
          <w:lang w:val="en-US" w:eastAsia="zh-CN"/>
        </w:rPr>
        <w:t>3.人大代表建议、政协委员提案办理情况。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bCs/>
          <w:color w:val="auto"/>
          <w:sz w:val="32"/>
          <w:szCs w:val="32"/>
          <w:highlight w:val="none"/>
          <w:lang w:val="en-US" w:eastAsia="zh-CN"/>
        </w:rPr>
      </w:pP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年本单位共承办区级人大建议3件，政协提案</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件，根据区政府召开人大代表建议、政协委员提案办理工作专题会议的要求，本单位对承办的所有建议、提案均已按期办理及答复完毕，办理结果及时予以了公开，按期办结率、面复率、满意率均为100%。</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2" w:firstLineChars="200"/>
        <w:textAlignment w:val="auto"/>
        <w:rPr>
          <w:rFonts w:hint="default" w:ascii="Times New Roman" w:hAnsi="Times New Roman" w:eastAsia="楷体_GB2312" w:cs="Times New Roman"/>
          <w:b/>
          <w:bCs/>
          <w:color w:val="auto"/>
          <w:sz w:val="32"/>
          <w:szCs w:val="32"/>
          <w:lang w:val="en-US" w:eastAsia="zh-CN"/>
        </w:rPr>
      </w:pPr>
      <w:r>
        <w:rPr>
          <w:rFonts w:hint="default" w:ascii="Times New Roman" w:hAnsi="Times New Roman" w:eastAsia="楷体_GB2312" w:cs="Times New Roman"/>
          <w:b/>
          <w:bCs/>
          <w:color w:val="auto"/>
          <w:sz w:val="32"/>
          <w:szCs w:val="32"/>
          <w:lang w:val="en-US" w:eastAsia="zh-CN"/>
        </w:rPr>
        <w:t>4.政务公开工作创新情况。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eastAsia" w:ascii="仿宋_GB2312" w:hAnsi="仿宋_GB2312" w:eastAsia="仿宋_GB2312" w:cs="仿宋_GB2312"/>
          <w:color w:val="auto"/>
          <w:sz w:val="32"/>
          <w:szCs w:val="32"/>
        </w:rPr>
        <w:t>制定《</w:t>
      </w:r>
      <w:r>
        <w:rPr>
          <w:rFonts w:hint="eastAsia" w:ascii="仿宋_GB2312" w:hAnsi="仿宋_GB2312" w:eastAsia="仿宋_GB2312" w:cs="仿宋_GB2312"/>
          <w:color w:val="auto"/>
          <w:sz w:val="32"/>
          <w:szCs w:val="32"/>
          <w:lang w:val="en-US" w:eastAsia="zh-CN"/>
        </w:rPr>
        <w:t>环翠</w:t>
      </w:r>
      <w:r>
        <w:rPr>
          <w:rFonts w:hint="eastAsia" w:ascii="仿宋_GB2312" w:hAnsi="仿宋_GB2312" w:eastAsia="仿宋_GB2312" w:cs="仿宋_GB2312"/>
          <w:color w:val="auto"/>
          <w:sz w:val="32"/>
          <w:szCs w:val="32"/>
        </w:rPr>
        <w:t>区农业农村局政府信息公开保密审查单》，对拟公开政府信息以及对外发布的所有信息均进行严格的保密审查，严格禁止未经审查和批准的政府信息对外公开。</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2" w:firstLineChars="200"/>
        <w:textAlignment w:val="auto"/>
        <w:rPr>
          <w:rFonts w:hint="eastAsia" w:ascii="Times New Roman" w:hAnsi="Times New Roman" w:eastAsia="楷体_GB2312" w:cs="Times New Roman"/>
          <w:b/>
          <w:bCs/>
          <w:color w:val="auto"/>
          <w:sz w:val="32"/>
          <w:szCs w:val="32"/>
          <w:lang w:val="en-US" w:eastAsia="zh-CN"/>
        </w:rPr>
      </w:pPr>
      <w:r>
        <w:rPr>
          <w:rFonts w:hint="eastAsia" w:ascii="Times New Roman" w:hAnsi="Times New Roman" w:eastAsia="楷体_GB2312" w:cs="Times New Roman"/>
          <w:b/>
          <w:bCs/>
          <w:color w:val="auto"/>
          <w:sz w:val="32"/>
          <w:szCs w:val="32"/>
          <w:lang w:val="en-US" w:eastAsia="zh-CN"/>
        </w:rPr>
        <w:t>5.</w:t>
      </w:r>
      <w:r>
        <w:rPr>
          <w:rFonts w:hint="default" w:ascii="Times New Roman" w:hAnsi="Times New Roman" w:eastAsia="楷体_GB2312" w:cs="Times New Roman"/>
          <w:b/>
          <w:bCs/>
          <w:color w:val="auto"/>
          <w:sz w:val="32"/>
          <w:szCs w:val="32"/>
          <w:lang w:val="en-US" w:eastAsia="zh-CN"/>
        </w:rPr>
        <w:t>所属事业单位信息公开工作情况</w:t>
      </w:r>
      <w:r>
        <w:rPr>
          <w:rFonts w:hint="eastAsia" w:ascii="Times New Roman" w:hAnsi="Times New Roman" w:eastAsia="楷体_GB2312" w:cs="Times New Roman"/>
          <w:b/>
          <w:bCs/>
          <w:color w:val="auto"/>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bCs/>
          <w:color w:val="auto"/>
          <w:sz w:val="32"/>
          <w:szCs w:val="32"/>
          <w:lang w:val="en-US" w:eastAsia="zh-CN"/>
        </w:rPr>
      </w:pPr>
      <w:r>
        <w:rPr>
          <w:rFonts w:hint="eastAsia" w:ascii="仿宋_GB2312" w:hAnsi="仿宋_GB2312" w:eastAsia="仿宋_GB2312" w:cs="仿宋_GB2312"/>
          <w:color w:val="auto"/>
          <w:sz w:val="32"/>
          <w:szCs w:val="32"/>
          <w:lang w:eastAsia="zh-CN"/>
        </w:rPr>
        <w:t>我局所属事业单位相关</w:t>
      </w:r>
      <w:r>
        <w:rPr>
          <w:rFonts w:hint="eastAsia" w:ascii="仿宋_GB2312" w:hAnsi="仿宋_GB2312" w:eastAsia="仿宋_GB2312" w:cs="仿宋_GB2312"/>
          <w:color w:val="auto"/>
          <w:sz w:val="32"/>
          <w:szCs w:val="32"/>
        </w:rPr>
        <w:t>信息</w:t>
      </w:r>
      <w:r>
        <w:rPr>
          <w:rFonts w:hint="eastAsia" w:ascii="仿宋_GB2312" w:hAnsi="仿宋_GB2312" w:eastAsia="仿宋_GB2312" w:cs="仿宋_GB2312"/>
          <w:color w:val="auto"/>
          <w:sz w:val="32"/>
          <w:szCs w:val="32"/>
          <w:lang w:eastAsia="zh-CN"/>
        </w:rPr>
        <w:t>已按要求</w:t>
      </w:r>
      <w:r>
        <w:rPr>
          <w:rFonts w:hint="eastAsia" w:ascii="仿宋_GB2312" w:hAnsi="仿宋_GB2312" w:eastAsia="仿宋_GB2312" w:cs="仿宋_GB2312"/>
          <w:color w:val="auto"/>
          <w:sz w:val="32"/>
          <w:szCs w:val="32"/>
        </w:rPr>
        <w:t>由威海市环翠区</w:t>
      </w:r>
      <w:r>
        <w:rPr>
          <w:rFonts w:hint="eastAsia" w:ascii="仿宋_GB2312" w:hAnsi="仿宋_GB2312" w:eastAsia="仿宋_GB2312" w:cs="仿宋_GB2312"/>
          <w:color w:val="auto"/>
          <w:sz w:val="32"/>
          <w:szCs w:val="32"/>
          <w:lang w:eastAsia="zh-CN"/>
        </w:rPr>
        <w:t>农业农村</w:t>
      </w:r>
      <w:r>
        <w:rPr>
          <w:rFonts w:hint="eastAsia" w:ascii="仿宋_GB2312" w:hAnsi="仿宋_GB2312" w:eastAsia="仿宋_GB2312" w:cs="仿宋_GB2312"/>
          <w:color w:val="auto"/>
          <w:sz w:val="32"/>
          <w:szCs w:val="32"/>
        </w:rPr>
        <w:t>局统一进行公开。</w:t>
      </w: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7A87" w:usb1="8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微软雅黑">
    <w:altName w:val="黑体"/>
    <w:panose1 w:val="020B0503020204020204"/>
    <w:charset w:val="86"/>
    <w:family w:val="auto"/>
    <w:pitch w:val="default"/>
    <w:sig w:usb0="00000000" w:usb1="00000000" w:usb2="00000016" w:usb3="00000000" w:csb0="0004001F" w:csb1="00000000"/>
  </w:font>
  <w:font w:name="方正楷体_GB2312">
    <w:altName w:val="方正楷体_GBK"/>
    <w:panose1 w:val="02000000000000000000"/>
    <w:charset w:val="86"/>
    <w:family w:val="auto"/>
    <w:pitch w:val="default"/>
    <w:sig w:usb0="00000000" w:usb1="00000000" w:usb2="00000012" w:usb3="00000000" w:csb0="00040001" w:csb1="00000000"/>
  </w:font>
  <w:font w:name="方正书宋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EFF" w:usb1="C000785B" w:usb2="00000009" w:usb3="00000000" w:csb0="400001FF" w:csb1="FFFF0000"/>
  </w:font>
  <w:font w:name="DejaVu Sans">
    <w:panose1 w:val="020B0603030804020204"/>
    <w:charset w:val="00"/>
    <w:family w:val="auto"/>
    <w:pitch w:val="default"/>
    <w:sig w:usb0="E7006EFF" w:usb1="D200FDFF" w:usb2="0A246029" w:usb3="0400200C" w:csb0="600001FF" w:csb1="DFFF0000"/>
  </w:font>
  <w:font w:name="Standard Symbols PS">
    <w:panose1 w:val="05050102010706020507"/>
    <w:charset w:val="00"/>
    <w:family w:val="auto"/>
    <w:pitch w:val="default"/>
    <w:sig w:usb0="00000003" w:usb1="00000000" w:usb2="00000000" w:usb3="00000000" w:csb0="0000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BAAFF5"/>
    <w:multiLevelType w:val="singleLevel"/>
    <w:tmpl w:val="89BAAFF5"/>
    <w:lvl w:ilvl="0" w:tentative="0">
      <w:start w:val="1"/>
      <w:numFmt w:val="chineseCounting"/>
      <w:suff w:val="nothing"/>
      <w:lvlText w:val="%1、"/>
      <w:lvlJc w:val="left"/>
      <w:rPr>
        <w:rFonts w:hint="eastAsia"/>
      </w:rPr>
    </w:lvl>
  </w:abstractNum>
  <w:abstractNum w:abstractNumId="1">
    <w:nsid w:val="A8ABE86A"/>
    <w:multiLevelType w:val="singleLevel"/>
    <w:tmpl w:val="A8ABE86A"/>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NlYzU2NDZlZWRhZGY1YzdjNGExMDUwNGJjODllMjkifQ=="/>
  </w:docVars>
  <w:rsids>
    <w:rsidRoot w:val="00000000"/>
    <w:rsid w:val="0008361F"/>
    <w:rsid w:val="009E4B3F"/>
    <w:rsid w:val="00D23242"/>
    <w:rsid w:val="00D44EA4"/>
    <w:rsid w:val="00F0308A"/>
    <w:rsid w:val="013577AC"/>
    <w:rsid w:val="01C92466"/>
    <w:rsid w:val="03392D36"/>
    <w:rsid w:val="0463118C"/>
    <w:rsid w:val="04C2468E"/>
    <w:rsid w:val="0501370E"/>
    <w:rsid w:val="05BC550E"/>
    <w:rsid w:val="062326B9"/>
    <w:rsid w:val="06B807E5"/>
    <w:rsid w:val="07413183"/>
    <w:rsid w:val="07B77D29"/>
    <w:rsid w:val="082E105B"/>
    <w:rsid w:val="09030A93"/>
    <w:rsid w:val="0A5E16A3"/>
    <w:rsid w:val="0B2E5519"/>
    <w:rsid w:val="0C636DD8"/>
    <w:rsid w:val="0D6E7E4F"/>
    <w:rsid w:val="0D9F5A17"/>
    <w:rsid w:val="11B06C88"/>
    <w:rsid w:val="12BFF079"/>
    <w:rsid w:val="142357A8"/>
    <w:rsid w:val="142D3CA5"/>
    <w:rsid w:val="15072425"/>
    <w:rsid w:val="169A6998"/>
    <w:rsid w:val="19334076"/>
    <w:rsid w:val="199D5F29"/>
    <w:rsid w:val="1A91517D"/>
    <w:rsid w:val="1ABC2A04"/>
    <w:rsid w:val="1BCE4B75"/>
    <w:rsid w:val="1DAF0231"/>
    <w:rsid w:val="1EE135F3"/>
    <w:rsid w:val="1FC77D4B"/>
    <w:rsid w:val="21A50B34"/>
    <w:rsid w:val="22587648"/>
    <w:rsid w:val="241D650E"/>
    <w:rsid w:val="242C1780"/>
    <w:rsid w:val="261D0FA9"/>
    <w:rsid w:val="2784713D"/>
    <w:rsid w:val="278A3680"/>
    <w:rsid w:val="27AF470B"/>
    <w:rsid w:val="295B49DC"/>
    <w:rsid w:val="295E4994"/>
    <w:rsid w:val="2BB35523"/>
    <w:rsid w:val="2CB4622E"/>
    <w:rsid w:val="2CBE62A5"/>
    <w:rsid w:val="2E493C90"/>
    <w:rsid w:val="2E62595A"/>
    <w:rsid w:val="2EFD5413"/>
    <w:rsid w:val="31254D9C"/>
    <w:rsid w:val="324C7EAF"/>
    <w:rsid w:val="32F04CDF"/>
    <w:rsid w:val="36772C3A"/>
    <w:rsid w:val="369616B9"/>
    <w:rsid w:val="36CB2FAF"/>
    <w:rsid w:val="37DD091B"/>
    <w:rsid w:val="38BD1B07"/>
    <w:rsid w:val="39383221"/>
    <w:rsid w:val="3A1157B7"/>
    <w:rsid w:val="3B3C4D37"/>
    <w:rsid w:val="41195BFF"/>
    <w:rsid w:val="413279EE"/>
    <w:rsid w:val="42CA37F1"/>
    <w:rsid w:val="43FC3E73"/>
    <w:rsid w:val="444B753E"/>
    <w:rsid w:val="454E44B9"/>
    <w:rsid w:val="45AE06B3"/>
    <w:rsid w:val="4A487FDE"/>
    <w:rsid w:val="4B456772"/>
    <w:rsid w:val="4B6650BF"/>
    <w:rsid w:val="4C246A68"/>
    <w:rsid w:val="4DC04BAC"/>
    <w:rsid w:val="4E4D546F"/>
    <w:rsid w:val="4FCE4806"/>
    <w:rsid w:val="500E459E"/>
    <w:rsid w:val="50191771"/>
    <w:rsid w:val="50AE6CAE"/>
    <w:rsid w:val="515416D5"/>
    <w:rsid w:val="51C85A81"/>
    <w:rsid w:val="52065E75"/>
    <w:rsid w:val="53D10A00"/>
    <w:rsid w:val="540957A8"/>
    <w:rsid w:val="55DE6E82"/>
    <w:rsid w:val="55FD30EB"/>
    <w:rsid w:val="58E92FBE"/>
    <w:rsid w:val="5A6266B0"/>
    <w:rsid w:val="5BA529F7"/>
    <w:rsid w:val="5BFF8664"/>
    <w:rsid w:val="5C8000FD"/>
    <w:rsid w:val="5C964BFE"/>
    <w:rsid w:val="5D5812EC"/>
    <w:rsid w:val="5E07266A"/>
    <w:rsid w:val="5E1E349F"/>
    <w:rsid w:val="5F3376FB"/>
    <w:rsid w:val="5FB69398"/>
    <w:rsid w:val="5FFC638B"/>
    <w:rsid w:val="60B511B4"/>
    <w:rsid w:val="629616EA"/>
    <w:rsid w:val="63EF49BB"/>
    <w:rsid w:val="674B0E3B"/>
    <w:rsid w:val="68735867"/>
    <w:rsid w:val="68D26659"/>
    <w:rsid w:val="6A8E549C"/>
    <w:rsid w:val="6B856C99"/>
    <w:rsid w:val="6BF055A8"/>
    <w:rsid w:val="6EBB79A1"/>
    <w:rsid w:val="6FFD97E7"/>
    <w:rsid w:val="70330580"/>
    <w:rsid w:val="711B17F7"/>
    <w:rsid w:val="71CD28FA"/>
    <w:rsid w:val="734D3842"/>
    <w:rsid w:val="75066E2C"/>
    <w:rsid w:val="75FF0FED"/>
    <w:rsid w:val="762B74FA"/>
    <w:rsid w:val="77C22EDF"/>
    <w:rsid w:val="78066F6E"/>
    <w:rsid w:val="7A4153ED"/>
    <w:rsid w:val="7A601A23"/>
    <w:rsid w:val="7ABE6A3D"/>
    <w:rsid w:val="7AEA69F0"/>
    <w:rsid w:val="7F625BE9"/>
    <w:rsid w:val="7FEF9C73"/>
    <w:rsid w:val="BF37649B"/>
    <w:rsid w:val="D9EFC654"/>
    <w:rsid w:val="FBDE1F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7">
    <w:name w:val="Body text|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8">
    <w:name w:val="Other|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9">
    <w:name w:val="Other|2"/>
    <w:basedOn w:val="1"/>
    <w:qFormat/>
    <w:uiPriority w:val="0"/>
    <w:pPr>
      <w:widowControl w:val="0"/>
      <w:shd w:val="clear" w:color="auto" w:fill="auto"/>
      <w:spacing w:before="80"/>
      <w:ind w:firstLine="110"/>
    </w:pPr>
    <w:rPr>
      <w:rFonts w:ascii="宋体" w:hAnsi="宋体" w:eastAsia="宋体" w:cs="宋体"/>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3438</Words>
  <Characters>3576</Characters>
  <Lines>0</Lines>
  <Paragraphs>0</Paragraphs>
  <TotalTime>112</TotalTime>
  <ScaleCrop>false</ScaleCrop>
  <LinksUpToDate>false</LinksUpToDate>
  <CharactersWithSpaces>3598</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2014-10-31T12:08:00Z</dcterms:created>
  <dc:creator>Administrator</dc:creator>
  <cp:lastModifiedBy>user</cp:lastModifiedBy>
  <cp:lastPrinted>2023-12-01T09:45:00Z</cp:lastPrinted>
  <dcterms:modified xsi:type="dcterms:W3CDTF">2023-11-30T14:45:26Z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C572666A6F1B4635A951FB1178BB458E</vt:lpwstr>
  </property>
</Properties>
</file>