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003DF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14:paraId="5462BFD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威海市环翠区农业农村局</w:t>
      </w:r>
    </w:p>
    <w:p w14:paraId="7DFC433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333333"/>
          <w:spacing w:val="0"/>
          <w:sz w:val="44"/>
          <w:szCs w:val="44"/>
          <w:lang w:val="en-US" w:eastAsia="zh-CN"/>
        </w:rPr>
      </w:pPr>
      <w:r>
        <w:rPr>
          <w:rFonts w:hint="eastAsia" w:ascii="方正小标宋简体" w:hAnsi="方正小标宋简体" w:eastAsia="方正小标宋简体" w:cs="方正小标宋简体"/>
          <w:b w:val="0"/>
          <w:bCs/>
          <w:i w:val="0"/>
          <w:caps w:val="0"/>
          <w:color w:val="333333"/>
          <w:spacing w:val="-17"/>
          <w:sz w:val="44"/>
          <w:szCs w:val="44"/>
          <w:shd w:val="clear" w:fill="FFFFFF"/>
          <w:lang w:val="en-US" w:eastAsia="zh-CN"/>
        </w:rPr>
        <w:t>2024年</w:t>
      </w:r>
      <w:r>
        <w:rPr>
          <w:rFonts w:hint="eastAsia" w:ascii="方正小标宋简体" w:hAnsi="方正小标宋简体" w:eastAsia="方正小标宋简体" w:cs="方正小标宋简体"/>
          <w:b w:val="0"/>
          <w:bCs/>
          <w:i w:val="0"/>
          <w:caps w:val="0"/>
          <w:color w:val="333333"/>
          <w:spacing w:val="-17"/>
          <w:sz w:val="44"/>
          <w:szCs w:val="44"/>
          <w:shd w:val="clear" w:fill="FFFFFF"/>
        </w:rPr>
        <w:t>政府信息公开工作</w:t>
      </w:r>
      <w:r>
        <w:rPr>
          <w:rFonts w:hint="eastAsia" w:ascii="方正小标宋简体" w:hAnsi="方正小标宋简体" w:eastAsia="方正小标宋简体" w:cs="方正小标宋简体"/>
          <w:b w:val="0"/>
          <w:bCs/>
          <w:i w:val="0"/>
          <w:caps w:val="0"/>
          <w:color w:val="333333"/>
          <w:spacing w:val="0"/>
          <w:sz w:val="44"/>
          <w:szCs w:val="44"/>
          <w:shd w:val="clear" w:fill="FFFFFF"/>
        </w:rPr>
        <w:t>年度报告</w:t>
      </w:r>
    </w:p>
    <w:p w14:paraId="5D677F91">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14:paraId="2586D2C8">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威海市环翠区农业农村局</w:t>
      </w:r>
      <w:r>
        <w:rPr>
          <w:rFonts w:hint="default" w:ascii="Times New Roman" w:hAnsi="Times New Roman" w:eastAsia="仿宋_GB2312" w:cs="Times New Roman"/>
          <w:color w:val="auto"/>
          <w:sz w:val="32"/>
          <w:szCs w:val="32"/>
        </w:rPr>
        <w:t>政府信息公开工作实际，编制发布本报告。</w:t>
      </w:r>
    </w:p>
    <w:p w14:paraId="02EDEA46">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威海市环翠区人民政府网站（网址：http://www.huancui.gov.cn/col/col82465/index.html）</w:t>
      </w:r>
      <w:r>
        <w:rPr>
          <w:rFonts w:hint="default" w:ascii="Times New Roman" w:hAnsi="Times New Roman" w:eastAsia="仿宋_GB2312" w:cs="Times New Roman"/>
          <w:color w:val="auto"/>
          <w:sz w:val="32"/>
          <w:szCs w:val="32"/>
        </w:rPr>
        <w:t>查阅或下载。公众如需进一步咨询了解相关信息，请与</w:t>
      </w:r>
      <w:r>
        <w:rPr>
          <w:rFonts w:hint="eastAsia" w:ascii="Times New Roman" w:hAnsi="Times New Roman" w:eastAsia="仿宋_GB2312" w:cs="Times New Roman"/>
          <w:color w:val="auto"/>
          <w:sz w:val="32"/>
          <w:szCs w:val="32"/>
          <w:lang w:val="en-US" w:eastAsia="zh-CN"/>
        </w:rPr>
        <w:t>威海市环翠区农业农村局联系（地址：统一路254号农业大厦8楼，电话：5225046）</w:t>
      </w:r>
      <w:r>
        <w:rPr>
          <w:rFonts w:hint="default" w:ascii="Times New Roman" w:hAnsi="Times New Roman" w:eastAsia="仿宋_GB2312" w:cs="Times New Roman"/>
          <w:color w:val="auto"/>
          <w:sz w:val="32"/>
          <w:szCs w:val="32"/>
        </w:rPr>
        <w:t>。</w:t>
      </w:r>
    </w:p>
    <w:p w14:paraId="1FB3448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333333"/>
          <w:spacing w:val="0"/>
          <w:sz w:val="32"/>
          <w:szCs w:val="32"/>
        </w:rPr>
      </w:pPr>
      <w:r>
        <w:rPr>
          <w:rFonts w:hint="eastAsia" w:ascii="Times New Roman" w:hAnsi="Times New Roman" w:eastAsia="黑体" w:cs="黑体"/>
          <w:b w:val="0"/>
          <w:bCs/>
          <w:i w:val="0"/>
          <w:caps w:val="0"/>
          <w:color w:val="333333"/>
          <w:spacing w:val="0"/>
          <w:sz w:val="32"/>
          <w:szCs w:val="32"/>
          <w:shd w:val="clear" w:fill="FFFFFF"/>
        </w:rPr>
        <w:t>一、总体情况</w:t>
      </w:r>
    </w:p>
    <w:p w14:paraId="377E935C">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lang w:val="en-US" w:eastAsia="zh-CN" w:bidi="ar"/>
        </w:rPr>
      </w:pPr>
      <w:r>
        <w:rPr>
          <w:rFonts w:hint="eastAsia" w:ascii="Times New Roman" w:hAnsi="Times New Roman" w:eastAsia="仿宋_GB2312" w:cs="Times New Roman"/>
          <w:color w:val="auto"/>
          <w:kern w:val="0"/>
          <w:sz w:val="32"/>
          <w:szCs w:val="32"/>
          <w:lang w:val="en-US" w:eastAsia="zh-CN" w:bidi="ar"/>
        </w:rPr>
        <w:t>2024年，环翠区农业农村局坚持以习近平新时代中国特色社会主义思想为指导，深入贯彻落实国家、省、市、区各级关于推进政务公开的部署要求，紧紧围绕农业农村中心工作，持续提高信息公开规范化、透明化水平，充分保障人民群众的知情权、参与权、监督权。</w:t>
      </w:r>
    </w:p>
    <w:p w14:paraId="5F5A8C3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楷体_GB2312"/>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1.</w:t>
      </w:r>
      <w:r>
        <w:rPr>
          <w:rFonts w:hint="eastAsia" w:ascii="Times New Roman" w:hAnsi="Times New Roman" w:eastAsia="楷体_GB2312" w:cs="楷体_GB2312"/>
          <w:b w:val="0"/>
          <w:bCs/>
          <w:color w:val="auto"/>
          <w:sz w:val="32"/>
          <w:szCs w:val="32"/>
          <w:lang w:val="en-US" w:eastAsia="zh-CN"/>
        </w:rPr>
        <w:t>主动公开方面。</w:t>
      </w:r>
      <w:r>
        <w:rPr>
          <w:rFonts w:hint="eastAsia" w:ascii="Times New Roman" w:hAnsi="Times New Roman" w:eastAsia="仿宋_GB2312" w:cs="Times New Roman"/>
          <w:bCs/>
          <w:sz w:val="32"/>
          <w:szCs w:val="32"/>
          <w:highlight w:val="none"/>
        </w:rPr>
        <w:t>202</w:t>
      </w:r>
      <w:r>
        <w:rPr>
          <w:rFonts w:hint="eastAsia" w:ascii="Times New Roman" w:hAnsi="Times New Roman" w:eastAsia="仿宋_GB2312" w:cs="Times New Roman"/>
          <w:bCs/>
          <w:sz w:val="32"/>
          <w:szCs w:val="32"/>
          <w:highlight w:val="none"/>
          <w:lang w:val="en-US" w:eastAsia="zh-CN"/>
        </w:rPr>
        <w:t>4</w:t>
      </w:r>
      <w:r>
        <w:rPr>
          <w:rFonts w:hint="eastAsia" w:ascii="Times New Roman" w:hAnsi="Times New Roman" w:eastAsia="仿宋_GB2312" w:cs="Times New Roman"/>
          <w:bCs/>
          <w:sz w:val="32"/>
          <w:szCs w:val="32"/>
          <w:highlight w:val="none"/>
        </w:rPr>
        <w:t>年，区农业农村局围绕年度政务公开重点工作和</w:t>
      </w:r>
      <w:r>
        <w:rPr>
          <w:rFonts w:hint="eastAsia" w:ascii="Times New Roman" w:hAnsi="Times New Roman" w:eastAsia="仿宋_GB2312" w:cs="Times New Roman"/>
          <w:bCs/>
          <w:sz w:val="32"/>
          <w:szCs w:val="32"/>
          <w:highlight w:val="none"/>
          <w:lang w:val="en-US" w:eastAsia="zh-CN"/>
        </w:rPr>
        <w:t>农业农村工作</w:t>
      </w:r>
      <w:r>
        <w:rPr>
          <w:rFonts w:hint="eastAsia" w:ascii="Times New Roman" w:hAnsi="Times New Roman" w:eastAsia="仿宋_GB2312" w:cs="Times New Roman"/>
          <w:bCs/>
          <w:sz w:val="32"/>
          <w:szCs w:val="32"/>
          <w:highlight w:val="none"/>
        </w:rPr>
        <w:t>领域，在政府网站主动公开信息</w:t>
      </w:r>
      <w:r>
        <w:rPr>
          <w:rFonts w:hint="eastAsia" w:ascii="Times New Roman" w:hAnsi="Times New Roman" w:eastAsia="仿宋_GB2312" w:cs="Times New Roman"/>
          <w:bCs/>
          <w:sz w:val="32"/>
          <w:szCs w:val="32"/>
          <w:highlight w:val="none"/>
          <w:lang w:val="en-US" w:eastAsia="zh-CN"/>
        </w:rPr>
        <w:t>192</w:t>
      </w:r>
      <w:r>
        <w:rPr>
          <w:rFonts w:hint="eastAsia" w:ascii="Times New Roman" w:hAnsi="Times New Roman" w:eastAsia="仿宋_GB2312" w:cs="Times New Roman"/>
          <w:bCs/>
          <w:sz w:val="32"/>
          <w:szCs w:val="32"/>
          <w:highlight w:val="none"/>
        </w:rPr>
        <w:t>条。其中，机构职能</w:t>
      </w:r>
      <w:r>
        <w:rPr>
          <w:rFonts w:hint="eastAsia" w:ascii="Times New Roman" w:hAnsi="Times New Roman" w:eastAsia="仿宋_GB2312" w:cs="Times New Roman"/>
          <w:bCs/>
          <w:sz w:val="32"/>
          <w:szCs w:val="32"/>
          <w:highlight w:val="none"/>
          <w:lang w:val="en-US" w:eastAsia="zh-CN"/>
        </w:rPr>
        <w:t>21</w:t>
      </w:r>
      <w:r>
        <w:rPr>
          <w:rFonts w:hint="eastAsia" w:ascii="Times New Roman" w:hAnsi="Times New Roman" w:eastAsia="仿宋_GB2312" w:cs="Times New Roman"/>
          <w:bCs/>
          <w:sz w:val="32"/>
          <w:szCs w:val="32"/>
          <w:highlight w:val="none"/>
        </w:rPr>
        <w:t>条，人事任免</w:t>
      </w:r>
      <w:r>
        <w:rPr>
          <w:rFonts w:hint="eastAsia" w:ascii="Times New Roman" w:hAnsi="Times New Roman" w:eastAsia="仿宋_GB2312" w:cs="Times New Roman"/>
          <w:bCs/>
          <w:sz w:val="32"/>
          <w:szCs w:val="32"/>
          <w:highlight w:val="none"/>
          <w:lang w:val="en-US" w:eastAsia="zh-CN"/>
        </w:rPr>
        <w:t>2</w:t>
      </w:r>
      <w:r>
        <w:rPr>
          <w:rFonts w:hint="eastAsia" w:ascii="Times New Roman" w:hAnsi="Times New Roman" w:eastAsia="仿宋_GB2312" w:cs="Times New Roman"/>
          <w:bCs/>
          <w:sz w:val="32"/>
          <w:szCs w:val="32"/>
          <w:highlight w:val="none"/>
        </w:rPr>
        <w:t>条，</w:t>
      </w:r>
      <w:r>
        <w:rPr>
          <w:rFonts w:hint="eastAsia" w:ascii="Times New Roman" w:hAnsi="Times New Roman" w:eastAsia="仿宋_GB2312" w:cs="Times New Roman"/>
          <w:bCs/>
          <w:sz w:val="32"/>
          <w:szCs w:val="32"/>
          <w:highlight w:val="none"/>
          <w:lang w:val="en-US" w:eastAsia="zh-CN"/>
        </w:rPr>
        <w:t>政策文件2条</w:t>
      </w:r>
      <w:r>
        <w:rPr>
          <w:rFonts w:hint="eastAsia" w:ascii="Times New Roman" w:hAnsi="Times New Roman" w:eastAsia="仿宋_GB2312" w:cs="Times New Roman"/>
          <w:bCs/>
          <w:sz w:val="32"/>
          <w:szCs w:val="32"/>
          <w:highlight w:val="none"/>
          <w:lang w:eastAsia="zh-CN"/>
        </w:rPr>
        <w:t>，</w:t>
      </w:r>
      <w:r>
        <w:rPr>
          <w:rFonts w:hint="eastAsia" w:ascii="Times New Roman" w:hAnsi="Times New Roman" w:eastAsia="仿宋_GB2312" w:cs="Times New Roman"/>
          <w:bCs/>
          <w:sz w:val="32"/>
          <w:szCs w:val="32"/>
          <w:highlight w:val="none"/>
        </w:rPr>
        <w:t>政府会议</w:t>
      </w:r>
      <w:r>
        <w:rPr>
          <w:rFonts w:hint="eastAsia" w:ascii="Times New Roman" w:hAnsi="Times New Roman" w:eastAsia="仿宋_GB2312" w:cs="Times New Roman"/>
          <w:bCs/>
          <w:sz w:val="32"/>
          <w:szCs w:val="32"/>
          <w:highlight w:val="none"/>
          <w:lang w:val="en-US" w:eastAsia="zh-CN"/>
        </w:rPr>
        <w:t>6</w:t>
      </w:r>
      <w:r>
        <w:rPr>
          <w:rFonts w:hint="eastAsia" w:ascii="Times New Roman" w:hAnsi="Times New Roman" w:eastAsia="仿宋_GB2312" w:cs="Times New Roman"/>
          <w:bCs/>
          <w:sz w:val="32"/>
          <w:szCs w:val="32"/>
          <w:highlight w:val="none"/>
        </w:rPr>
        <w:t>条，规划计划</w:t>
      </w:r>
      <w:r>
        <w:rPr>
          <w:rFonts w:hint="eastAsia" w:ascii="Times New Roman" w:hAnsi="Times New Roman" w:eastAsia="仿宋_GB2312" w:cs="Times New Roman"/>
          <w:bCs/>
          <w:sz w:val="32"/>
          <w:szCs w:val="32"/>
          <w:highlight w:val="none"/>
          <w:lang w:val="en-US" w:eastAsia="zh-CN"/>
        </w:rPr>
        <w:t>7</w:t>
      </w:r>
      <w:r>
        <w:rPr>
          <w:rFonts w:hint="eastAsia" w:ascii="Times New Roman" w:hAnsi="Times New Roman" w:eastAsia="仿宋_GB2312" w:cs="Times New Roman"/>
          <w:bCs/>
          <w:sz w:val="32"/>
          <w:szCs w:val="32"/>
          <w:highlight w:val="none"/>
        </w:rPr>
        <w:t>条，财政预决算4条，重点领域</w:t>
      </w:r>
      <w:r>
        <w:rPr>
          <w:rFonts w:hint="eastAsia" w:ascii="Times New Roman" w:hAnsi="Times New Roman" w:eastAsia="仿宋_GB2312" w:cs="Times New Roman"/>
          <w:bCs/>
          <w:sz w:val="32"/>
          <w:szCs w:val="32"/>
          <w:highlight w:val="none"/>
          <w:lang w:val="en-US" w:eastAsia="zh-CN"/>
        </w:rPr>
        <w:t>41</w:t>
      </w:r>
      <w:r>
        <w:rPr>
          <w:rFonts w:hint="eastAsia" w:ascii="Times New Roman" w:hAnsi="Times New Roman" w:eastAsia="仿宋_GB2312" w:cs="Times New Roman"/>
          <w:bCs/>
          <w:sz w:val="32"/>
          <w:szCs w:val="32"/>
          <w:highlight w:val="none"/>
        </w:rPr>
        <w:t>条</w:t>
      </w:r>
      <w:r>
        <w:rPr>
          <w:rFonts w:hint="eastAsia" w:ascii="Times New Roman" w:hAnsi="Times New Roman" w:eastAsia="仿宋_GB2312" w:cs="Times New Roman"/>
          <w:bCs/>
          <w:sz w:val="32"/>
          <w:szCs w:val="32"/>
          <w:highlight w:val="none"/>
          <w:lang w:eastAsia="zh-CN"/>
        </w:rPr>
        <w:t>（</w:t>
      </w:r>
      <w:r>
        <w:rPr>
          <w:rFonts w:hint="eastAsia" w:ascii="Times New Roman" w:hAnsi="Times New Roman" w:eastAsia="仿宋_GB2312" w:cs="Times New Roman"/>
          <w:bCs/>
          <w:sz w:val="32"/>
          <w:szCs w:val="32"/>
          <w:highlight w:val="none"/>
          <w:lang w:val="en-US" w:eastAsia="zh-CN"/>
        </w:rPr>
        <w:t>乡村振兴24条，涉农补贴6条，行政执法公示8条，“双随机、一公开”监管3条</w:t>
      </w:r>
      <w:r>
        <w:rPr>
          <w:rFonts w:hint="eastAsia" w:ascii="Times New Roman" w:hAnsi="Times New Roman" w:eastAsia="仿宋_GB2312" w:cs="Times New Roman"/>
          <w:bCs/>
          <w:sz w:val="32"/>
          <w:szCs w:val="32"/>
          <w:highlight w:val="none"/>
          <w:lang w:eastAsia="zh-CN"/>
        </w:rPr>
        <w:t>）</w:t>
      </w:r>
      <w:r>
        <w:rPr>
          <w:rFonts w:hint="eastAsia" w:ascii="Times New Roman" w:hAnsi="Times New Roman" w:eastAsia="仿宋_GB2312" w:cs="Times New Roman"/>
          <w:bCs/>
          <w:sz w:val="32"/>
          <w:szCs w:val="32"/>
          <w:highlight w:val="none"/>
        </w:rPr>
        <w:t>，建议提案9条，业务动态</w:t>
      </w:r>
      <w:r>
        <w:rPr>
          <w:rFonts w:hint="eastAsia" w:ascii="Times New Roman" w:hAnsi="Times New Roman" w:eastAsia="仿宋_GB2312" w:cs="Times New Roman"/>
          <w:bCs/>
          <w:sz w:val="32"/>
          <w:szCs w:val="32"/>
          <w:highlight w:val="none"/>
          <w:lang w:val="en-US" w:eastAsia="zh-CN"/>
        </w:rPr>
        <w:t>89</w:t>
      </w:r>
      <w:r>
        <w:rPr>
          <w:rFonts w:hint="eastAsia" w:ascii="Times New Roman" w:hAnsi="Times New Roman" w:eastAsia="仿宋_GB2312" w:cs="Times New Roman"/>
          <w:bCs/>
          <w:sz w:val="32"/>
          <w:szCs w:val="32"/>
          <w:highlight w:val="none"/>
        </w:rPr>
        <w:t>条，政务公开组织管理</w:t>
      </w:r>
      <w:r>
        <w:rPr>
          <w:rFonts w:hint="eastAsia" w:ascii="Times New Roman" w:hAnsi="Times New Roman" w:eastAsia="仿宋_GB2312" w:cs="Times New Roman"/>
          <w:bCs/>
          <w:sz w:val="32"/>
          <w:szCs w:val="32"/>
          <w:highlight w:val="none"/>
          <w:lang w:val="en-US" w:eastAsia="zh-CN"/>
        </w:rPr>
        <w:t>3</w:t>
      </w:r>
      <w:r>
        <w:rPr>
          <w:rFonts w:hint="eastAsia" w:ascii="Times New Roman" w:hAnsi="Times New Roman" w:eastAsia="仿宋_GB2312" w:cs="Times New Roman"/>
          <w:bCs/>
          <w:sz w:val="32"/>
          <w:szCs w:val="32"/>
          <w:highlight w:val="none"/>
        </w:rPr>
        <w:t>条，标准信息公开</w:t>
      </w:r>
      <w:r>
        <w:rPr>
          <w:rFonts w:hint="eastAsia" w:ascii="Times New Roman" w:hAnsi="Times New Roman" w:eastAsia="仿宋_GB2312" w:cs="Times New Roman"/>
          <w:bCs/>
          <w:sz w:val="32"/>
          <w:szCs w:val="32"/>
          <w:highlight w:val="none"/>
          <w:lang w:val="en-US" w:eastAsia="zh-CN"/>
        </w:rPr>
        <w:t>1</w:t>
      </w:r>
      <w:r>
        <w:rPr>
          <w:rFonts w:hint="eastAsia" w:ascii="Times New Roman" w:hAnsi="Times New Roman" w:eastAsia="仿宋_GB2312" w:cs="Times New Roman"/>
          <w:bCs/>
          <w:sz w:val="32"/>
          <w:szCs w:val="32"/>
          <w:highlight w:val="none"/>
        </w:rPr>
        <w:t>条</w:t>
      </w:r>
      <w:r>
        <w:rPr>
          <w:rFonts w:hint="eastAsia" w:ascii="Times New Roman" w:hAnsi="Times New Roman" w:eastAsia="仿宋_GB2312" w:cs="Times New Roman"/>
          <w:bCs/>
          <w:sz w:val="32"/>
          <w:szCs w:val="32"/>
          <w:highlight w:val="none"/>
          <w:lang w:eastAsia="zh-CN"/>
        </w:rPr>
        <w:t>，</w:t>
      </w:r>
      <w:r>
        <w:rPr>
          <w:rFonts w:hint="eastAsia" w:ascii="Times New Roman" w:hAnsi="Times New Roman" w:eastAsia="仿宋_GB2312" w:cs="Times New Roman"/>
          <w:bCs/>
          <w:sz w:val="32"/>
          <w:szCs w:val="32"/>
          <w:highlight w:val="none"/>
          <w:lang w:val="en-US" w:eastAsia="zh-CN"/>
        </w:rPr>
        <w:t>各项专题共7条</w:t>
      </w:r>
      <w:r>
        <w:rPr>
          <w:rFonts w:hint="eastAsia" w:ascii="Times New Roman" w:hAnsi="Times New Roman" w:eastAsia="仿宋_GB2312" w:cs="Times New Roman"/>
          <w:bCs/>
          <w:sz w:val="32"/>
          <w:szCs w:val="32"/>
          <w:highlight w:val="none"/>
        </w:rPr>
        <w:t>。</w:t>
      </w:r>
    </w:p>
    <w:p w14:paraId="350EF21A">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楷体_GB2312"/>
          <w:b w:val="0"/>
          <w:bCs/>
          <w:color w:val="auto"/>
          <w:sz w:val="32"/>
          <w:szCs w:val="32"/>
          <w:lang w:val="en-US" w:eastAsia="zh-CN"/>
        </w:rPr>
        <w:t>依申请公开工作方面。</w:t>
      </w:r>
      <w:r>
        <w:rPr>
          <w:rFonts w:hint="default" w:ascii="Times New Roman" w:hAnsi="Times New Roman" w:eastAsia="仿宋_GB2312" w:cs="Times New Roman"/>
          <w:b w:val="0"/>
          <w:bCs/>
          <w:color w:val="auto"/>
          <w:sz w:val="32"/>
          <w:szCs w:val="32"/>
        </w:rPr>
        <w:t>2024年，本单位新收到政府信息公开申请0件，上年结转0件，比去年减少1件</w:t>
      </w:r>
      <w:bookmarkStart w:id="10" w:name="_GoBack"/>
      <w:bookmarkEnd w:id="10"/>
      <w:r>
        <w:rPr>
          <w:rFonts w:hint="eastAsia" w:ascii="Times New Roman" w:hAnsi="Times New Roman" w:eastAsia="仿宋_GB2312" w:cs="Times New Roman"/>
          <w:b w:val="0"/>
          <w:bCs/>
          <w:sz w:val="32"/>
          <w:szCs w:val="32"/>
          <w:lang w:eastAsia="zh-CN"/>
        </w:rPr>
        <w:t>。</w:t>
      </w:r>
    </w:p>
    <w:p w14:paraId="3452D21C">
      <w:pPr>
        <w:spacing w:line="560" w:lineRule="exact"/>
        <w:ind w:firstLine="640" w:firstLineChars="200"/>
        <w:rPr>
          <w:rFonts w:ascii="Times New Roman" w:hAnsi="Times New Roman" w:eastAsia="仿宋_GB2312" w:cs="Times New Roman"/>
          <w:bCs/>
          <w:color w:val="auto"/>
          <w:sz w:val="32"/>
          <w:szCs w:val="32"/>
          <w:highlight w:val="none"/>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楷体_GB2312"/>
          <w:b w:val="0"/>
          <w:bCs/>
          <w:color w:val="auto"/>
          <w:sz w:val="32"/>
          <w:szCs w:val="32"/>
          <w:lang w:val="en-US" w:eastAsia="zh-CN"/>
        </w:rPr>
        <w:t>政府信息管理方面。</w:t>
      </w:r>
      <w:r>
        <w:rPr>
          <w:rFonts w:hint="eastAsia" w:ascii="Times New Roman" w:hAnsi="Times New Roman" w:eastAsia="仿宋_GB2312" w:cs="仿宋_GB2312"/>
          <w:b w:val="0"/>
          <w:bCs/>
          <w:color w:val="auto"/>
          <w:sz w:val="32"/>
          <w:szCs w:val="32"/>
          <w:highlight w:val="none"/>
          <w:lang w:val="en-US" w:eastAsia="zh-CN"/>
        </w:rPr>
        <w:t>根据省政府办公厅工作要求，区农业农村局按照《条例》及相关法律法规的规定，结合农业农村工作领域信息公开特点，编制了《威海市环翠区农业农村局主动公开事项目录（2024年版）》，进一步</w:t>
      </w:r>
      <w:r>
        <w:rPr>
          <w:rFonts w:hint="eastAsia" w:ascii="Times New Roman" w:hAnsi="Times New Roman" w:eastAsia="仿宋_GB2312" w:cs="Times New Roman"/>
          <w:bCs/>
          <w:color w:val="auto"/>
          <w:sz w:val="32"/>
          <w:szCs w:val="32"/>
          <w:highlight w:val="none"/>
          <w:lang w:eastAsia="zh-CN"/>
        </w:rPr>
        <w:t>加强政府信息全生命周期管理，</w:t>
      </w:r>
      <w:r>
        <w:rPr>
          <w:rFonts w:hint="eastAsia" w:ascii="Times New Roman" w:hAnsi="Times New Roman" w:eastAsia="仿宋_GB2312" w:cs="Times New Roman"/>
          <w:bCs/>
          <w:color w:val="auto"/>
          <w:sz w:val="32"/>
          <w:szCs w:val="32"/>
          <w:highlight w:val="none"/>
          <w:lang w:val="en-US" w:eastAsia="zh-CN"/>
        </w:rPr>
        <w:t>严格遵守信息公开时间表，确保信息时效性。同时，持续健全</w:t>
      </w:r>
      <w:r>
        <w:rPr>
          <w:rFonts w:hint="eastAsia" w:ascii="Times New Roman" w:hAnsi="Times New Roman" w:eastAsia="仿宋_GB2312" w:cs="Times New Roman"/>
          <w:bCs/>
          <w:color w:val="auto"/>
          <w:sz w:val="32"/>
          <w:szCs w:val="32"/>
          <w:highlight w:val="none"/>
        </w:rPr>
        <w:t>信息发布审查机制，遵循“谁主管、谁负责，谁公开、谁审查”的原则，严把内容政治关、法律关、政策关、保密关、文字关，对所发信息先审查后公开，杜绝因信息内容错误和不当引发负面舆情。</w:t>
      </w:r>
    </w:p>
    <w:p w14:paraId="7D7C1ACF">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highlight w:val="none"/>
          <w:lang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楷体_GB2312"/>
          <w:b w:val="0"/>
          <w:bCs/>
          <w:color w:val="auto"/>
          <w:sz w:val="32"/>
          <w:szCs w:val="32"/>
          <w:lang w:val="en-US" w:eastAsia="zh-CN"/>
        </w:rPr>
        <w:t>平台建设方面。</w:t>
      </w:r>
      <w:r>
        <w:rPr>
          <w:rFonts w:ascii="Times New Roman" w:hAnsi="Times New Roman" w:eastAsia="仿宋_GB2312" w:cs="Times New Roman"/>
          <w:bCs/>
          <w:sz w:val="32"/>
          <w:szCs w:val="32"/>
          <w:highlight w:val="none"/>
        </w:rPr>
        <w:t>区农业农村局</w:t>
      </w:r>
      <w:r>
        <w:rPr>
          <w:rFonts w:hint="eastAsia" w:ascii="Times New Roman" w:hAnsi="Times New Roman" w:eastAsia="仿宋_GB2312" w:cs="Times New Roman"/>
          <w:bCs/>
          <w:sz w:val="32"/>
          <w:szCs w:val="32"/>
          <w:highlight w:val="none"/>
        </w:rPr>
        <w:t>主动运用多形式</w:t>
      </w:r>
      <w:r>
        <w:rPr>
          <w:rFonts w:hint="eastAsia" w:ascii="Times New Roman" w:hAnsi="Times New Roman" w:eastAsia="仿宋_GB2312" w:cs="Times New Roman"/>
          <w:bCs/>
          <w:sz w:val="32"/>
          <w:szCs w:val="32"/>
          <w:highlight w:val="none"/>
          <w:lang w:eastAsia="zh-CN"/>
        </w:rPr>
        <w:t>、</w:t>
      </w:r>
      <w:r>
        <w:rPr>
          <w:rFonts w:hint="eastAsia" w:ascii="Times New Roman" w:hAnsi="Times New Roman" w:eastAsia="仿宋_GB2312" w:cs="Times New Roman"/>
          <w:bCs/>
          <w:sz w:val="32"/>
          <w:szCs w:val="32"/>
          <w:highlight w:val="none"/>
        </w:rPr>
        <w:t>多渠道做好政务公开工作，保证了法定基础内容、重点领域信息的及时公开，主动公开重要政策落实情况，重点公开深化</w:t>
      </w:r>
      <w:r>
        <w:rPr>
          <w:rFonts w:hint="eastAsia" w:ascii="Times New Roman" w:hAnsi="Times New Roman" w:eastAsia="仿宋_GB2312" w:cs="Times New Roman"/>
          <w:bCs/>
          <w:sz w:val="32"/>
          <w:szCs w:val="32"/>
          <w:highlight w:val="none"/>
          <w:lang w:val="en-US" w:eastAsia="zh-CN"/>
        </w:rPr>
        <w:t>乡村振兴工作进展</w:t>
      </w:r>
      <w:r>
        <w:rPr>
          <w:rFonts w:hint="eastAsia" w:ascii="Times New Roman" w:hAnsi="Times New Roman" w:eastAsia="仿宋_GB2312" w:cs="Times New Roman"/>
          <w:bCs/>
          <w:sz w:val="32"/>
          <w:szCs w:val="32"/>
          <w:highlight w:val="none"/>
        </w:rPr>
        <w:t>、</w:t>
      </w:r>
      <w:r>
        <w:rPr>
          <w:rFonts w:hint="eastAsia" w:ascii="Times New Roman" w:hAnsi="Times New Roman" w:eastAsia="仿宋_GB2312" w:cs="Times New Roman"/>
          <w:bCs/>
          <w:sz w:val="32"/>
          <w:szCs w:val="32"/>
          <w:highlight w:val="none"/>
          <w:lang w:val="en-US" w:eastAsia="zh-CN"/>
        </w:rPr>
        <w:t>惠农助农</w:t>
      </w:r>
      <w:r>
        <w:rPr>
          <w:rFonts w:hint="eastAsia" w:ascii="Times New Roman" w:hAnsi="Times New Roman" w:eastAsia="仿宋_GB2312" w:cs="Times New Roman"/>
          <w:bCs/>
          <w:sz w:val="32"/>
          <w:szCs w:val="32"/>
          <w:highlight w:val="none"/>
        </w:rPr>
        <w:t>工作措施等方面事项。除</w:t>
      </w:r>
      <w:r>
        <w:rPr>
          <w:rFonts w:hint="eastAsia" w:ascii="Times New Roman" w:hAnsi="Times New Roman" w:eastAsia="仿宋_GB2312" w:cs="Times New Roman"/>
          <w:bCs/>
          <w:sz w:val="32"/>
          <w:szCs w:val="32"/>
          <w:highlight w:val="none"/>
          <w:lang w:val="en-US" w:eastAsia="zh-CN"/>
        </w:rPr>
        <w:t>此之外</w:t>
      </w:r>
      <w:r>
        <w:rPr>
          <w:rFonts w:hint="eastAsia" w:ascii="Times New Roman" w:hAnsi="Times New Roman" w:eastAsia="仿宋_GB2312" w:cs="Times New Roman"/>
          <w:bCs/>
          <w:sz w:val="32"/>
          <w:szCs w:val="32"/>
          <w:highlight w:val="none"/>
        </w:rPr>
        <w:t>，还通过开展农业专家考察指导、举办培训班、召开现场会等活动形式以及微信</w:t>
      </w:r>
      <w:r>
        <w:rPr>
          <w:rFonts w:hint="eastAsia" w:ascii="Times New Roman" w:hAnsi="Times New Roman" w:eastAsia="仿宋_GB2312" w:cs="Times New Roman"/>
          <w:bCs/>
          <w:sz w:val="32"/>
          <w:szCs w:val="32"/>
          <w:highlight w:val="none"/>
          <w:lang w:val="en-US" w:eastAsia="zh-CN"/>
        </w:rPr>
        <w:t>公众号</w:t>
      </w:r>
      <w:r>
        <w:rPr>
          <w:rFonts w:hint="eastAsia" w:ascii="Times New Roman" w:hAnsi="Times New Roman" w:eastAsia="仿宋_GB2312" w:cs="Times New Roman"/>
          <w:bCs/>
          <w:sz w:val="32"/>
          <w:szCs w:val="32"/>
          <w:highlight w:val="none"/>
        </w:rPr>
        <w:t>、</w:t>
      </w:r>
      <w:r>
        <w:rPr>
          <w:rFonts w:hint="eastAsia" w:ascii="Times New Roman" w:hAnsi="Times New Roman" w:eastAsia="仿宋_GB2312" w:cs="Times New Roman"/>
          <w:bCs/>
          <w:sz w:val="32"/>
          <w:szCs w:val="32"/>
          <w:highlight w:val="none"/>
          <w:lang w:eastAsia="zh-CN"/>
        </w:rPr>
        <w:t>“</w:t>
      </w:r>
      <w:r>
        <w:rPr>
          <w:rFonts w:hint="eastAsia" w:ascii="Times New Roman" w:hAnsi="Times New Roman" w:eastAsia="仿宋_GB2312" w:cs="Times New Roman"/>
          <w:bCs/>
          <w:sz w:val="32"/>
          <w:szCs w:val="32"/>
          <w:highlight w:val="none"/>
          <w:lang w:val="en-US" w:eastAsia="zh-CN"/>
        </w:rPr>
        <w:t>最环翠是威海</w:t>
      </w:r>
      <w:r>
        <w:rPr>
          <w:rFonts w:hint="eastAsia" w:ascii="Times New Roman" w:hAnsi="Times New Roman" w:eastAsia="仿宋_GB2312" w:cs="Times New Roman"/>
          <w:bCs/>
          <w:sz w:val="32"/>
          <w:szCs w:val="32"/>
          <w:highlight w:val="none"/>
          <w:lang w:eastAsia="zh-CN"/>
        </w:rPr>
        <w:t>”</w:t>
      </w:r>
      <w:r>
        <w:rPr>
          <w:rFonts w:hint="eastAsia" w:ascii="Times New Roman" w:hAnsi="Times New Roman" w:eastAsia="仿宋_GB2312" w:cs="Times New Roman"/>
          <w:bCs/>
          <w:sz w:val="32"/>
          <w:szCs w:val="32"/>
          <w:highlight w:val="none"/>
        </w:rPr>
        <w:t>等</w:t>
      </w:r>
      <w:r>
        <w:rPr>
          <w:rFonts w:hint="eastAsia" w:ascii="Times New Roman" w:hAnsi="Times New Roman" w:eastAsia="仿宋_GB2312" w:cs="Times New Roman"/>
          <w:bCs/>
          <w:sz w:val="32"/>
          <w:szCs w:val="32"/>
          <w:highlight w:val="none"/>
          <w:lang w:val="en-US" w:eastAsia="zh-CN"/>
        </w:rPr>
        <w:t>平台</w:t>
      </w:r>
      <w:r>
        <w:rPr>
          <w:rFonts w:hint="eastAsia" w:ascii="Times New Roman" w:hAnsi="Times New Roman" w:eastAsia="仿宋_GB2312" w:cs="Times New Roman"/>
          <w:bCs/>
          <w:sz w:val="32"/>
          <w:szCs w:val="32"/>
          <w:highlight w:val="none"/>
        </w:rPr>
        <w:t>对农业农村领域重点工作进展情况进行发布与报道</w:t>
      </w:r>
      <w:r>
        <w:rPr>
          <w:rFonts w:hint="eastAsia" w:ascii="Times New Roman" w:hAnsi="Times New Roman" w:eastAsia="仿宋_GB2312" w:cs="Times New Roman"/>
          <w:bCs/>
          <w:sz w:val="32"/>
          <w:szCs w:val="32"/>
          <w:highlight w:val="none"/>
          <w:lang w:eastAsia="zh-CN"/>
        </w:rPr>
        <w:t>，</w:t>
      </w:r>
      <w:r>
        <w:rPr>
          <w:rFonts w:hint="eastAsia" w:ascii="Times New Roman" w:hAnsi="Times New Roman" w:eastAsia="仿宋_GB2312" w:cs="Times New Roman"/>
          <w:bCs/>
          <w:sz w:val="32"/>
          <w:szCs w:val="32"/>
          <w:highlight w:val="none"/>
        </w:rPr>
        <w:t>进一步加大政府信息公开力度，提高政府信息公开的广度</w:t>
      </w:r>
      <w:r>
        <w:rPr>
          <w:rFonts w:hint="eastAsia" w:ascii="Times New Roman" w:hAnsi="Times New Roman" w:eastAsia="仿宋_GB2312" w:cs="Times New Roman"/>
          <w:bCs/>
          <w:sz w:val="32"/>
          <w:szCs w:val="32"/>
          <w:highlight w:val="none"/>
          <w:lang w:val="en-US" w:eastAsia="zh-CN"/>
        </w:rPr>
        <w:t>和</w:t>
      </w:r>
      <w:r>
        <w:rPr>
          <w:rFonts w:hint="eastAsia" w:ascii="Times New Roman" w:hAnsi="Times New Roman" w:eastAsia="仿宋_GB2312" w:cs="Times New Roman"/>
          <w:bCs/>
          <w:sz w:val="32"/>
          <w:szCs w:val="32"/>
          <w:highlight w:val="none"/>
        </w:rPr>
        <w:t>深度</w:t>
      </w:r>
      <w:r>
        <w:rPr>
          <w:rFonts w:hint="eastAsia" w:ascii="Times New Roman" w:hAnsi="Times New Roman" w:eastAsia="仿宋_GB2312" w:cs="Times New Roman"/>
          <w:bCs/>
          <w:sz w:val="32"/>
          <w:szCs w:val="32"/>
          <w:highlight w:val="none"/>
          <w:lang w:eastAsia="zh-CN"/>
        </w:rPr>
        <w:t>。</w:t>
      </w:r>
    </w:p>
    <w:p w14:paraId="0DB3ED2B">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i w:val="0"/>
          <w:caps w:val="0"/>
          <w:color w:val="333333"/>
          <w:spacing w:val="0"/>
          <w:sz w:val="32"/>
          <w:szCs w:val="32"/>
          <w:shd w:val="clear" w:fill="FFFFFF"/>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楷体_GB2312"/>
          <w:b w:val="0"/>
          <w:bCs/>
          <w:color w:val="auto"/>
          <w:sz w:val="32"/>
          <w:szCs w:val="32"/>
          <w:lang w:val="en-US" w:eastAsia="zh-CN"/>
        </w:rPr>
        <w:t>监督保障方面。</w:t>
      </w:r>
      <w:r>
        <w:rPr>
          <w:rFonts w:hint="eastAsia" w:ascii="仿宋_GB2312" w:hAnsi="仿宋_GB2312" w:eastAsia="仿宋_GB2312" w:cs="仿宋_GB2312"/>
          <w:b w:val="0"/>
          <w:bCs/>
          <w:color w:val="auto"/>
          <w:sz w:val="32"/>
          <w:szCs w:val="32"/>
          <w:lang w:val="en-US" w:eastAsia="zh-CN"/>
        </w:rPr>
        <w:t>根据局内分工变化，</w:t>
      </w:r>
      <w:r>
        <w:rPr>
          <w:rFonts w:hint="default" w:ascii="Times New Roman" w:hAnsi="Times New Roman" w:eastAsia="仿宋_GB2312" w:cs="Times New Roman"/>
          <w:b w:val="0"/>
          <w:bCs/>
          <w:sz w:val="32"/>
          <w:szCs w:val="32"/>
        </w:rPr>
        <w:t>区农业农村局积极调整并充实政务公开工作领导小组</w:t>
      </w:r>
      <w:r>
        <w:rPr>
          <w:rFonts w:hint="eastAsia"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rPr>
        <w:t>确定办公室为政务公开具体承办科室</w:t>
      </w:r>
      <w:r>
        <w:rPr>
          <w:rFonts w:hint="eastAsia"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rPr>
        <w:t>其他科室</w:t>
      </w:r>
      <w:r>
        <w:rPr>
          <w:rFonts w:hint="eastAsia" w:ascii="Times New Roman" w:hAnsi="Times New Roman" w:eastAsia="仿宋_GB2312" w:cs="Times New Roman"/>
          <w:b w:val="0"/>
          <w:bCs/>
          <w:sz w:val="32"/>
          <w:szCs w:val="32"/>
          <w:lang w:val="en-US" w:eastAsia="zh-CN"/>
        </w:rPr>
        <w:t>协助</w:t>
      </w:r>
      <w:r>
        <w:rPr>
          <w:rFonts w:hint="default" w:ascii="Times New Roman" w:hAnsi="Times New Roman" w:eastAsia="仿宋_GB2312" w:cs="Times New Roman"/>
          <w:b w:val="0"/>
          <w:bCs/>
          <w:sz w:val="32"/>
          <w:szCs w:val="32"/>
        </w:rPr>
        <w:t>配合，由专人负责政务公开工作，严格按照《条例》要求，开展我局政府信息公开相关工作，并认真研究部署政府信息公开工作，保证监督到位。2024年，未收到政府信息公开有关的投诉、举报，也无其他责任追究的情形</w:t>
      </w:r>
      <w:r>
        <w:rPr>
          <w:rFonts w:hint="eastAsia" w:ascii="Times New Roman" w:hAnsi="Times New Roman" w:eastAsia="仿宋_GB2312" w:cs="Times New Roman"/>
          <w:b w:val="0"/>
          <w:bCs/>
          <w:sz w:val="32"/>
          <w:szCs w:val="32"/>
          <w:lang w:eastAsia="zh-CN"/>
        </w:rPr>
        <w:t>。</w:t>
      </w:r>
    </w:p>
    <w:p w14:paraId="21DFA63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14:paraId="55B1FAE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472184E">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2FA61F3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22C5B2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11F4E55D">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2878B46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61DFA77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0174747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8CB85C9">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30347C27">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5C5DF12F">
            <w:pPr>
              <w:widowControl/>
              <w:jc w:val="center"/>
              <w:rPr>
                <w:rFonts w:hint="eastAsia"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0516EC90">
            <w:pPr>
              <w:widowControl/>
              <w:jc w:val="center"/>
              <w:rPr>
                <w:rFonts w:hint="eastAsia"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14:paraId="12864D1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05272AA">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59622BCE">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415C8B97">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5B6D5ED4">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r>
      <w:tr w14:paraId="48A6C84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2A878DB">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386A172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9B1DC5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CF74C5E">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AE3A00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3C1E66F">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4A698AA">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22</w:t>
            </w:r>
          </w:p>
        </w:tc>
      </w:tr>
      <w:tr w14:paraId="6F02ADB7">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14351B2">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32907FA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1D4EB7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7A3783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6915FF6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E78348A">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9D1163B">
            <w:pPr>
              <w:widowControl/>
              <w:jc w:val="center"/>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5</w:t>
            </w:r>
          </w:p>
        </w:tc>
      </w:tr>
      <w:tr w14:paraId="427854E2">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3F17DDC">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9B28745">
            <w:pPr>
              <w:widowControl/>
              <w:jc w:val="center"/>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14:paraId="292A141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9270EEE">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2707733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7E21B47">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96A608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68EE263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FD0AFCD">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022C892">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auto"/>
                <w:kern w:val="0"/>
                <w:szCs w:val="21"/>
                <w:lang w:val="en-US" w:eastAsia="zh-CN"/>
              </w:rPr>
              <w:t>0</w:t>
            </w:r>
          </w:p>
        </w:tc>
      </w:tr>
    </w:tbl>
    <w:p w14:paraId="6627E781">
      <w:pPr>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14:paraId="32AF1A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08B9059E">
            <w:pPr>
              <w:widowControl/>
              <w:jc w:val="center"/>
              <w:rPr>
                <w:rFonts w:ascii="楷体_GB2312" w:hAnsi="黑体" w:eastAsia="楷体_GB2312"/>
                <w:color w:val="auto"/>
                <w:kern w:val="0"/>
                <w:szCs w:val="21"/>
              </w:rPr>
            </w:pPr>
            <w:r>
              <w:rPr>
                <w:rFonts w:hint="eastAsia" w:ascii="楷体_GB2312" w:hAnsi="黑体" w:eastAsia="楷体_GB2312"/>
                <w:color w:val="auto"/>
                <w:kern w:val="0"/>
                <w:szCs w:val="21"/>
              </w:rPr>
              <w:t>（本列数据的勾稽关系为：第一项加第二项之和，</w:t>
            </w:r>
          </w:p>
          <w:p w14:paraId="351EA1DA">
            <w:pPr>
              <w:widowControl/>
              <w:jc w:val="center"/>
              <w:rPr>
                <w:rFonts w:ascii="仿宋_GB2312" w:hAnsi="Times New Roman" w:eastAsia="仿宋_GB2312"/>
                <w:color w:val="auto"/>
                <w:szCs w:val="21"/>
              </w:rPr>
            </w:pPr>
            <w:r>
              <w:rPr>
                <w:rFonts w:hint="eastAsia" w:ascii="楷体_GB2312" w:hAnsi="黑体" w:eastAsia="楷体_GB2312"/>
                <w:color w:val="auto"/>
                <w:kern w:val="0"/>
                <w:szCs w:val="21"/>
              </w:rPr>
              <w:t>等于第三项加第四项之和）</w:t>
            </w:r>
          </w:p>
        </w:tc>
        <w:tc>
          <w:tcPr>
            <w:tcW w:w="4448" w:type="dxa"/>
            <w:gridSpan w:val="20"/>
            <w:shd w:val="clear" w:color="auto" w:fill="auto"/>
            <w:tcMar>
              <w:left w:w="108" w:type="dxa"/>
              <w:right w:w="108" w:type="dxa"/>
            </w:tcMar>
            <w:vAlign w:val="center"/>
          </w:tcPr>
          <w:p w14:paraId="6DA76195">
            <w:pPr>
              <w:widowControl/>
              <w:spacing w:line="320" w:lineRule="exact"/>
              <w:jc w:val="center"/>
              <w:rPr>
                <w:rFonts w:ascii="黑体" w:hAnsi="黑体" w:eastAsia="黑体"/>
                <w:color w:val="auto"/>
                <w:szCs w:val="21"/>
              </w:rPr>
            </w:pPr>
            <w:r>
              <w:rPr>
                <w:rFonts w:hint="eastAsia" w:ascii="黑体" w:hAnsi="黑体" w:eastAsia="黑体"/>
                <w:color w:val="auto"/>
                <w:kern w:val="0"/>
                <w:szCs w:val="21"/>
              </w:rPr>
              <w:t>申请人情况</w:t>
            </w:r>
          </w:p>
        </w:tc>
      </w:tr>
      <w:tr w14:paraId="5A53E7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63FD2451">
            <w:pPr>
              <w:jc w:val="center"/>
              <w:rPr>
                <w:rFonts w:ascii="仿宋_GB2312" w:hAnsi="Times New Roman" w:eastAsia="仿宋_GB2312"/>
                <w:color w:val="auto"/>
                <w:szCs w:val="21"/>
              </w:rPr>
            </w:pPr>
          </w:p>
        </w:tc>
        <w:tc>
          <w:tcPr>
            <w:tcW w:w="747" w:type="dxa"/>
            <w:vMerge w:val="restart"/>
            <w:shd w:val="clear" w:color="auto" w:fill="auto"/>
            <w:tcMar>
              <w:left w:w="108" w:type="dxa"/>
              <w:right w:w="108" w:type="dxa"/>
            </w:tcMar>
            <w:vAlign w:val="center"/>
          </w:tcPr>
          <w:p w14:paraId="72AF8831">
            <w:pPr>
              <w:widowControl/>
              <w:jc w:val="center"/>
              <w:rPr>
                <w:rFonts w:ascii="黑体" w:hAnsi="黑体" w:eastAsia="黑体"/>
                <w:color w:val="auto"/>
                <w:szCs w:val="21"/>
              </w:rPr>
            </w:pPr>
            <w:r>
              <w:rPr>
                <w:rFonts w:hint="eastAsia" w:ascii="黑体" w:hAnsi="黑体" w:eastAsia="黑体"/>
                <w:color w:val="auto"/>
                <w:kern w:val="0"/>
                <w:szCs w:val="21"/>
              </w:rPr>
              <w:t>自然人</w:t>
            </w:r>
          </w:p>
        </w:tc>
        <w:tc>
          <w:tcPr>
            <w:tcW w:w="3000" w:type="dxa"/>
            <w:gridSpan w:val="17"/>
            <w:shd w:val="clear" w:color="auto" w:fill="auto"/>
            <w:tcMar>
              <w:left w:w="108" w:type="dxa"/>
              <w:right w:w="108" w:type="dxa"/>
            </w:tcMar>
            <w:vAlign w:val="center"/>
          </w:tcPr>
          <w:p w14:paraId="6AE0E315">
            <w:pPr>
              <w:widowControl/>
              <w:spacing w:line="320" w:lineRule="exact"/>
              <w:jc w:val="center"/>
              <w:rPr>
                <w:rFonts w:ascii="黑体" w:hAnsi="黑体" w:eastAsia="黑体"/>
                <w:color w:val="auto"/>
                <w:szCs w:val="21"/>
              </w:rPr>
            </w:pPr>
            <w:r>
              <w:rPr>
                <w:rFonts w:hint="eastAsia" w:ascii="黑体" w:hAnsi="黑体" w:eastAsia="黑体"/>
                <w:color w:val="auto"/>
                <w:kern w:val="0"/>
                <w:szCs w:val="21"/>
              </w:rPr>
              <w:t>法人或其他组织</w:t>
            </w:r>
          </w:p>
        </w:tc>
        <w:tc>
          <w:tcPr>
            <w:tcW w:w="701" w:type="dxa"/>
            <w:gridSpan w:val="2"/>
            <w:vMerge w:val="restart"/>
            <w:shd w:val="clear" w:color="auto" w:fill="auto"/>
            <w:tcMar>
              <w:left w:w="108" w:type="dxa"/>
              <w:right w:w="108" w:type="dxa"/>
            </w:tcMar>
            <w:vAlign w:val="center"/>
          </w:tcPr>
          <w:p w14:paraId="201649C5">
            <w:pPr>
              <w:widowControl/>
              <w:jc w:val="center"/>
              <w:rPr>
                <w:rFonts w:ascii="黑体" w:hAnsi="黑体" w:eastAsia="黑体"/>
                <w:color w:val="auto"/>
                <w:szCs w:val="21"/>
              </w:rPr>
            </w:pPr>
            <w:r>
              <w:rPr>
                <w:rFonts w:hint="eastAsia" w:ascii="黑体" w:hAnsi="黑体" w:eastAsia="黑体"/>
                <w:color w:val="auto"/>
                <w:kern w:val="0"/>
                <w:szCs w:val="21"/>
              </w:rPr>
              <w:t>总计</w:t>
            </w:r>
          </w:p>
        </w:tc>
      </w:tr>
      <w:tr w14:paraId="6A6C40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4FB26803">
            <w:pPr>
              <w:jc w:val="center"/>
              <w:rPr>
                <w:rFonts w:ascii="仿宋_GB2312" w:hAnsi="Times New Roman" w:eastAsia="仿宋_GB2312"/>
                <w:color w:val="auto"/>
                <w:szCs w:val="21"/>
              </w:rPr>
            </w:pPr>
          </w:p>
        </w:tc>
        <w:tc>
          <w:tcPr>
            <w:tcW w:w="747" w:type="dxa"/>
            <w:vMerge w:val="continue"/>
            <w:shd w:val="clear" w:color="auto" w:fill="auto"/>
            <w:tcMar>
              <w:left w:w="108" w:type="dxa"/>
              <w:right w:w="108" w:type="dxa"/>
            </w:tcMar>
            <w:vAlign w:val="center"/>
          </w:tcPr>
          <w:p w14:paraId="08E29CAF">
            <w:pPr>
              <w:jc w:val="center"/>
              <w:rPr>
                <w:rFonts w:ascii="黑体" w:hAnsi="黑体" w:eastAsia="黑体"/>
                <w:color w:val="auto"/>
                <w:szCs w:val="21"/>
              </w:rPr>
            </w:pPr>
          </w:p>
        </w:tc>
        <w:tc>
          <w:tcPr>
            <w:tcW w:w="540" w:type="dxa"/>
            <w:gridSpan w:val="7"/>
            <w:shd w:val="clear" w:color="auto" w:fill="auto"/>
            <w:tcMar>
              <w:left w:w="108" w:type="dxa"/>
              <w:right w:w="108" w:type="dxa"/>
            </w:tcMar>
            <w:vAlign w:val="center"/>
          </w:tcPr>
          <w:p w14:paraId="6B43C203">
            <w:pPr>
              <w:widowControl/>
              <w:spacing w:line="320" w:lineRule="exact"/>
              <w:ind w:left="-106" w:leftChars="-51" w:right="-107" w:rightChars="-51" w:hanging="1"/>
              <w:jc w:val="center"/>
              <w:rPr>
                <w:rFonts w:ascii="黑体" w:hAnsi="黑体" w:eastAsia="黑体"/>
                <w:color w:val="auto"/>
                <w:szCs w:val="21"/>
              </w:rPr>
            </w:pPr>
            <w:r>
              <w:rPr>
                <w:rFonts w:hint="eastAsia" w:ascii="黑体" w:hAnsi="黑体" w:eastAsia="黑体"/>
                <w:color w:val="auto"/>
                <w:kern w:val="0"/>
                <w:szCs w:val="21"/>
              </w:rPr>
              <w:t>商业企业</w:t>
            </w:r>
          </w:p>
        </w:tc>
        <w:tc>
          <w:tcPr>
            <w:tcW w:w="540" w:type="dxa"/>
            <w:gridSpan w:val="7"/>
            <w:shd w:val="clear" w:color="auto" w:fill="auto"/>
            <w:tcMar>
              <w:left w:w="108" w:type="dxa"/>
              <w:right w:w="108" w:type="dxa"/>
            </w:tcMar>
            <w:vAlign w:val="center"/>
          </w:tcPr>
          <w:p w14:paraId="5E91BEA8">
            <w:pPr>
              <w:widowControl/>
              <w:spacing w:line="320" w:lineRule="exact"/>
              <w:ind w:left="-107" w:leftChars="-51" w:right="-107" w:rightChars="-51"/>
              <w:jc w:val="center"/>
              <w:rPr>
                <w:rFonts w:ascii="黑体" w:hAnsi="黑体" w:eastAsia="黑体"/>
                <w:color w:val="auto"/>
                <w:szCs w:val="21"/>
              </w:rPr>
            </w:pPr>
            <w:r>
              <w:rPr>
                <w:rFonts w:hint="eastAsia" w:ascii="黑体" w:hAnsi="黑体" w:eastAsia="黑体"/>
                <w:color w:val="auto"/>
                <w:kern w:val="0"/>
                <w:szCs w:val="21"/>
              </w:rPr>
              <w:t>科研机构</w:t>
            </w:r>
          </w:p>
        </w:tc>
        <w:tc>
          <w:tcPr>
            <w:tcW w:w="720" w:type="dxa"/>
            <w:shd w:val="clear" w:color="auto" w:fill="auto"/>
            <w:tcMar>
              <w:left w:w="108" w:type="dxa"/>
              <w:right w:w="108" w:type="dxa"/>
            </w:tcMar>
            <w:vAlign w:val="center"/>
          </w:tcPr>
          <w:p w14:paraId="4D1F00F7">
            <w:pPr>
              <w:widowControl/>
              <w:spacing w:line="320" w:lineRule="exact"/>
              <w:ind w:left="-107" w:leftChars="-51" w:right="-107" w:rightChars="-51"/>
              <w:jc w:val="center"/>
              <w:rPr>
                <w:rFonts w:ascii="黑体" w:hAnsi="黑体" w:eastAsia="黑体"/>
                <w:color w:val="auto"/>
                <w:szCs w:val="21"/>
              </w:rPr>
            </w:pPr>
            <w:r>
              <w:rPr>
                <w:rFonts w:hint="eastAsia" w:ascii="黑体" w:hAnsi="黑体" w:eastAsia="黑体"/>
                <w:color w:val="auto"/>
                <w:kern w:val="0"/>
                <w:szCs w:val="21"/>
              </w:rPr>
              <w:t>社会公益组织</w:t>
            </w:r>
          </w:p>
        </w:tc>
        <w:tc>
          <w:tcPr>
            <w:tcW w:w="675" w:type="dxa"/>
            <w:shd w:val="clear" w:color="auto" w:fill="auto"/>
            <w:tcMar>
              <w:left w:w="108" w:type="dxa"/>
              <w:right w:w="108" w:type="dxa"/>
            </w:tcMar>
            <w:vAlign w:val="center"/>
          </w:tcPr>
          <w:p w14:paraId="0B1FD81B">
            <w:pPr>
              <w:widowControl/>
              <w:spacing w:line="320" w:lineRule="exact"/>
              <w:ind w:left="-106" w:leftChars="-51" w:right="-107" w:rightChars="-51" w:hanging="1"/>
              <w:jc w:val="center"/>
              <w:rPr>
                <w:rFonts w:ascii="黑体" w:hAnsi="黑体" w:eastAsia="黑体"/>
                <w:color w:val="auto"/>
                <w:szCs w:val="21"/>
              </w:rPr>
            </w:pPr>
            <w:r>
              <w:rPr>
                <w:rFonts w:hint="eastAsia" w:ascii="黑体" w:hAnsi="黑体" w:eastAsia="黑体"/>
                <w:color w:val="auto"/>
                <w:kern w:val="0"/>
                <w:szCs w:val="21"/>
              </w:rPr>
              <w:t>法律服务机构</w:t>
            </w:r>
          </w:p>
        </w:tc>
        <w:tc>
          <w:tcPr>
            <w:tcW w:w="525" w:type="dxa"/>
            <w:shd w:val="clear" w:color="auto" w:fill="auto"/>
            <w:tcMar>
              <w:left w:w="108" w:type="dxa"/>
              <w:right w:w="108" w:type="dxa"/>
            </w:tcMar>
            <w:vAlign w:val="center"/>
          </w:tcPr>
          <w:p w14:paraId="6EEA613D">
            <w:pPr>
              <w:widowControl/>
              <w:spacing w:line="360" w:lineRule="exact"/>
              <w:ind w:left="-63" w:leftChars="-30" w:right="-134" w:rightChars="-64"/>
              <w:jc w:val="center"/>
              <w:rPr>
                <w:rFonts w:ascii="黑体" w:hAnsi="黑体" w:eastAsia="黑体"/>
                <w:color w:val="auto"/>
                <w:szCs w:val="21"/>
              </w:rPr>
            </w:pPr>
            <w:r>
              <w:rPr>
                <w:rFonts w:hint="eastAsia" w:ascii="黑体" w:hAnsi="黑体" w:eastAsia="黑体"/>
                <w:color w:val="auto"/>
                <w:kern w:val="0"/>
                <w:szCs w:val="21"/>
              </w:rPr>
              <w:t>其他</w:t>
            </w:r>
          </w:p>
        </w:tc>
        <w:tc>
          <w:tcPr>
            <w:tcW w:w="701" w:type="dxa"/>
            <w:gridSpan w:val="2"/>
            <w:vMerge w:val="continue"/>
            <w:shd w:val="clear" w:color="auto" w:fill="auto"/>
            <w:tcMar>
              <w:left w:w="108" w:type="dxa"/>
              <w:right w:w="108" w:type="dxa"/>
            </w:tcMar>
            <w:vAlign w:val="center"/>
          </w:tcPr>
          <w:p w14:paraId="59BA2472">
            <w:pPr>
              <w:jc w:val="center"/>
              <w:rPr>
                <w:rFonts w:ascii="仿宋_GB2312" w:hAnsi="Times New Roman" w:eastAsia="仿宋_GB2312"/>
                <w:color w:val="auto"/>
                <w:szCs w:val="21"/>
              </w:rPr>
            </w:pPr>
          </w:p>
        </w:tc>
      </w:tr>
      <w:tr w14:paraId="408031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36430BD3">
            <w:pPr>
              <w:widowControl/>
              <w:rPr>
                <w:rFonts w:ascii="黑体" w:hAnsi="黑体" w:eastAsia="黑体"/>
                <w:color w:val="auto"/>
                <w:szCs w:val="21"/>
              </w:rPr>
            </w:pPr>
            <w:r>
              <w:rPr>
                <w:rFonts w:hint="eastAsia" w:ascii="黑体" w:hAnsi="黑体" w:eastAsia="黑体"/>
                <w:color w:val="auto"/>
                <w:kern w:val="0"/>
                <w:szCs w:val="21"/>
              </w:rPr>
              <w:t>一、</w:t>
            </w:r>
            <w:bookmarkStart w:id="0" w:name="_Hlk66973412"/>
            <w:r>
              <w:rPr>
                <w:rFonts w:hint="eastAsia" w:ascii="黑体" w:hAnsi="黑体" w:eastAsia="黑体"/>
                <w:color w:val="auto"/>
                <w:kern w:val="0"/>
                <w:szCs w:val="21"/>
              </w:rPr>
              <w:t>本年新收政府信息公开申请数量</w:t>
            </w:r>
            <w:bookmarkEnd w:id="0"/>
          </w:p>
        </w:tc>
        <w:tc>
          <w:tcPr>
            <w:tcW w:w="747" w:type="dxa"/>
            <w:shd w:val="clear" w:color="auto" w:fill="auto"/>
            <w:tcMar>
              <w:left w:w="108" w:type="dxa"/>
              <w:right w:w="108" w:type="dxa"/>
            </w:tcMar>
            <w:vAlign w:val="center"/>
          </w:tcPr>
          <w:p w14:paraId="5360B1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02EB7F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58F8B4A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26C9AC5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47803C3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5" w:type="dxa"/>
            <w:shd w:val="clear" w:color="auto" w:fill="auto"/>
            <w:tcMar>
              <w:left w:w="108" w:type="dxa"/>
              <w:right w:w="108" w:type="dxa"/>
            </w:tcMar>
            <w:vAlign w:val="center"/>
          </w:tcPr>
          <w:p w14:paraId="2CEDD3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1" w:type="dxa"/>
            <w:gridSpan w:val="2"/>
            <w:shd w:val="clear" w:color="auto" w:fill="auto"/>
            <w:tcMar>
              <w:left w:w="108" w:type="dxa"/>
              <w:right w:w="108" w:type="dxa"/>
            </w:tcMar>
            <w:vAlign w:val="center"/>
          </w:tcPr>
          <w:p w14:paraId="70583B5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4EAFCA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52F23D28">
            <w:pPr>
              <w:widowControl/>
              <w:rPr>
                <w:rFonts w:ascii="黑体" w:hAnsi="黑体" w:eastAsia="黑体"/>
                <w:color w:val="auto"/>
                <w:szCs w:val="21"/>
              </w:rPr>
            </w:pPr>
            <w:r>
              <w:rPr>
                <w:rFonts w:hint="eastAsia" w:ascii="黑体" w:hAnsi="黑体" w:eastAsia="黑体"/>
                <w:color w:val="auto"/>
                <w:kern w:val="0"/>
                <w:szCs w:val="21"/>
              </w:rPr>
              <w:t>二、上年结转政府信息公开申请数量</w:t>
            </w:r>
          </w:p>
        </w:tc>
        <w:tc>
          <w:tcPr>
            <w:tcW w:w="747" w:type="dxa"/>
            <w:shd w:val="clear" w:color="auto" w:fill="auto"/>
            <w:tcMar>
              <w:left w:w="108" w:type="dxa"/>
              <w:right w:w="108" w:type="dxa"/>
            </w:tcMar>
            <w:vAlign w:val="center"/>
          </w:tcPr>
          <w:p w14:paraId="293515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089CB9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784FF0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5BEE13B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6BEAD77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5" w:type="dxa"/>
            <w:shd w:val="clear" w:color="auto" w:fill="auto"/>
            <w:tcMar>
              <w:left w:w="108" w:type="dxa"/>
              <w:right w:w="108" w:type="dxa"/>
            </w:tcMar>
            <w:vAlign w:val="center"/>
          </w:tcPr>
          <w:p w14:paraId="47B60D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1" w:type="dxa"/>
            <w:gridSpan w:val="2"/>
            <w:shd w:val="clear" w:color="auto" w:fill="auto"/>
            <w:tcMar>
              <w:left w:w="108" w:type="dxa"/>
              <w:right w:w="108" w:type="dxa"/>
            </w:tcMar>
            <w:vAlign w:val="center"/>
          </w:tcPr>
          <w:p w14:paraId="3FA445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57286E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13F7843F">
            <w:pPr>
              <w:widowControl/>
              <w:spacing w:after="180"/>
              <w:rPr>
                <w:rFonts w:ascii="黑体" w:hAnsi="黑体" w:eastAsia="黑体"/>
                <w:color w:val="auto"/>
                <w:szCs w:val="21"/>
              </w:rPr>
            </w:pPr>
            <w:r>
              <w:rPr>
                <w:rFonts w:hint="eastAsia" w:ascii="黑体" w:hAnsi="黑体" w:eastAsia="黑体"/>
                <w:color w:val="auto"/>
                <w:kern w:val="0"/>
                <w:szCs w:val="21"/>
              </w:rPr>
              <w:t>三、本年度办理结果</w:t>
            </w:r>
          </w:p>
        </w:tc>
        <w:tc>
          <w:tcPr>
            <w:tcW w:w="4677" w:type="dxa"/>
            <w:gridSpan w:val="2"/>
            <w:shd w:val="clear" w:color="auto" w:fill="auto"/>
            <w:tcMar>
              <w:left w:w="108" w:type="dxa"/>
              <w:right w:w="108" w:type="dxa"/>
            </w:tcMar>
            <w:vAlign w:val="center"/>
          </w:tcPr>
          <w:p w14:paraId="0AFA2B2B">
            <w:pPr>
              <w:widowControl/>
              <w:rPr>
                <w:rFonts w:ascii="黑体" w:hAnsi="黑体" w:eastAsia="黑体"/>
                <w:color w:val="auto"/>
                <w:szCs w:val="21"/>
              </w:rPr>
            </w:pPr>
            <w:r>
              <w:rPr>
                <w:rFonts w:hint="eastAsia" w:ascii="黑体" w:hAnsi="黑体" w:eastAsia="黑体"/>
                <w:color w:val="auto"/>
                <w:kern w:val="0"/>
                <w:szCs w:val="21"/>
              </w:rPr>
              <w:t>（一）予以公开</w:t>
            </w:r>
          </w:p>
        </w:tc>
        <w:tc>
          <w:tcPr>
            <w:tcW w:w="752" w:type="dxa"/>
            <w:gridSpan w:val="2"/>
            <w:shd w:val="clear" w:color="auto" w:fill="auto"/>
            <w:tcMar>
              <w:left w:w="108" w:type="dxa"/>
              <w:right w:w="108" w:type="dxa"/>
            </w:tcMar>
            <w:vAlign w:val="center"/>
          </w:tcPr>
          <w:p w14:paraId="006B69E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55CB4A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14:paraId="3D8116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777DA5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2BBD1B2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61F01D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2489068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249313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7F5EE65">
            <w:pPr>
              <w:rPr>
                <w:rFonts w:ascii="黑体" w:hAnsi="黑体" w:eastAsia="黑体"/>
                <w:color w:val="auto"/>
                <w:szCs w:val="21"/>
              </w:rPr>
            </w:pPr>
          </w:p>
        </w:tc>
        <w:tc>
          <w:tcPr>
            <w:tcW w:w="4677" w:type="dxa"/>
            <w:gridSpan w:val="2"/>
            <w:shd w:val="clear" w:color="auto" w:fill="auto"/>
            <w:tcMar>
              <w:left w:w="108" w:type="dxa"/>
              <w:right w:w="108" w:type="dxa"/>
            </w:tcMar>
            <w:vAlign w:val="center"/>
          </w:tcPr>
          <w:p w14:paraId="4E295212">
            <w:pPr>
              <w:widowControl/>
              <w:rPr>
                <w:rFonts w:ascii="黑体" w:hAnsi="黑体" w:eastAsia="黑体"/>
                <w:color w:val="auto"/>
                <w:szCs w:val="21"/>
              </w:rPr>
            </w:pPr>
            <w:r>
              <w:rPr>
                <w:rFonts w:hint="eastAsia" w:ascii="黑体" w:hAnsi="黑体" w:eastAsia="黑体"/>
                <w:color w:val="auto"/>
                <w:kern w:val="0"/>
                <w:szCs w:val="21"/>
              </w:rPr>
              <w:t>（二）部分公开（</w:t>
            </w:r>
            <w:bookmarkStart w:id="1" w:name="_Hlk66973981"/>
            <w:r>
              <w:rPr>
                <w:rFonts w:hint="eastAsia" w:ascii="黑体" w:hAnsi="黑体" w:eastAsia="黑体"/>
                <w:color w:val="auto"/>
                <w:kern w:val="0"/>
                <w:szCs w:val="21"/>
              </w:rPr>
              <w:t>区分处理的，只计这一情形，不计其他情形</w:t>
            </w:r>
            <w:bookmarkEnd w:id="1"/>
            <w:r>
              <w:rPr>
                <w:rFonts w:hint="eastAsia" w:ascii="黑体" w:hAnsi="黑体" w:eastAsia="黑体"/>
                <w:color w:val="auto"/>
                <w:kern w:val="0"/>
                <w:szCs w:val="21"/>
              </w:rPr>
              <w:t>）</w:t>
            </w:r>
          </w:p>
        </w:tc>
        <w:tc>
          <w:tcPr>
            <w:tcW w:w="752" w:type="dxa"/>
            <w:gridSpan w:val="2"/>
            <w:shd w:val="clear" w:color="auto" w:fill="auto"/>
            <w:tcMar>
              <w:left w:w="108" w:type="dxa"/>
              <w:right w:w="108" w:type="dxa"/>
            </w:tcMar>
            <w:vAlign w:val="center"/>
          </w:tcPr>
          <w:p w14:paraId="268FA17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317E9E3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14:paraId="024A03F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21D623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D2219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10A238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523A01A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112A96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210832C">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14:paraId="79CFA4B9">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（三）不予公开</w:t>
            </w:r>
          </w:p>
        </w:tc>
        <w:tc>
          <w:tcPr>
            <w:tcW w:w="2976" w:type="dxa"/>
            <w:shd w:val="clear" w:color="auto" w:fill="auto"/>
            <w:tcMar>
              <w:left w:w="108" w:type="dxa"/>
              <w:right w:w="108" w:type="dxa"/>
            </w:tcMar>
            <w:vAlign w:val="center"/>
          </w:tcPr>
          <w:p w14:paraId="04D95597">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1.属于国家秘密</w:t>
            </w:r>
          </w:p>
        </w:tc>
        <w:tc>
          <w:tcPr>
            <w:tcW w:w="752" w:type="dxa"/>
            <w:gridSpan w:val="2"/>
            <w:shd w:val="clear" w:color="auto" w:fill="auto"/>
            <w:tcMar>
              <w:left w:w="108" w:type="dxa"/>
              <w:right w:w="108" w:type="dxa"/>
            </w:tcMar>
            <w:vAlign w:val="center"/>
          </w:tcPr>
          <w:p w14:paraId="7804DD8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4B72E9A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14:paraId="46A391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0219F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471A334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24221A0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0F5659F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3054F6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84601CB">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0AE5F5D5">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43EA6B38">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w:t>
            </w:r>
            <w:bookmarkStart w:id="2" w:name="_Hlk66974104"/>
            <w:r>
              <w:rPr>
                <w:rFonts w:hint="eastAsia" w:ascii="仿宋_GB2312" w:hAnsi="黑体" w:eastAsia="仿宋_GB2312"/>
                <w:color w:val="auto"/>
                <w:kern w:val="0"/>
                <w:szCs w:val="21"/>
              </w:rPr>
              <w:t>其他法律行政法规禁止公开</w:t>
            </w:r>
            <w:bookmarkEnd w:id="2"/>
          </w:p>
        </w:tc>
        <w:tc>
          <w:tcPr>
            <w:tcW w:w="757" w:type="dxa"/>
            <w:gridSpan w:val="3"/>
            <w:shd w:val="clear" w:color="auto" w:fill="auto"/>
            <w:tcMar>
              <w:left w:w="108" w:type="dxa"/>
              <w:right w:w="108" w:type="dxa"/>
            </w:tcMar>
            <w:vAlign w:val="center"/>
          </w:tcPr>
          <w:p w14:paraId="085C1B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0BDA8FC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14:paraId="3833B59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16A038B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092466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1F44CEB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55333CF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10BF64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9A90A91">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5C64C98A">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14274F2C">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3.危及“三安全一稳定”</w:t>
            </w:r>
          </w:p>
        </w:tc>
        <w:tc>
          <w:tcPr>
            <w:tcW w:w="757" w:type="dxa"/>
            <w:gridSpan w:val="3"/>
            <w:shd w:val="clear" w:color="auto" w:fill="auto"/>
            <w:tcMar>
              <w:left w:w="108" w:type="dxa"/>
              <w:right w:w="108" w:type="dxa"/>
            </w:tcMar>
            <w:vAlign w:val="center"/>
          </w:tcPr>
          <w:p w14:paraId="045539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0CF2D0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14:paraId="77BABC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7BA2F0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320DA6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547A4B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3E79BE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45A62F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814BAEA">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1CCE9C00">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1C7628D0">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4.</w:t>
            </w:r>
            <w:bookmarkStart w:id="3" w:name="_Hlk66974290"/>
            <w:r>
              <w:rPr>
                <w:rFonts w:hint="eastAsia" w:ascii="仿宋_GB2312" w:hAnsi="黑体" w:eastAsia="仿宋_GB2312"/>
                <w:color w:val="auto"/>
                <w:kern w:val="0"/>
                <w:szCs w:val="21"/>
              </w:rPr>
              <w:t>保护第三方合法权益</w:t>
            </w:r>
            <w:bookmarkEnd w:id="3"/>
          </w:p>
        </w:tc>
        <w:tc>
          <w:tcPr>
            <w:tcW w:w="757" w:type="dxa"/>
            <w:gridSpan w:val="3"/>
            <w:shd w:val="clear" w:color="auto" w:fill="auto"/>
            <w:tcMar>
              <w:left w:w="108" w:type="dxa"/>
              <w:right w:w="108" w:type="dxa"/>
            </w:tcMar>
            <w:vAlign w:val="center"/>
          </w:tcPr>
          <w:p w14:paraId="47D23B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64C77AD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14:paraId="31B7B0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E6687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0FBCC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21E036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626C53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7A2B45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E42AEAB">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34EE4BA3">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5791D361">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5.属于三类内部事务信息</w:t>
            </w:r>
          </w:p>
        </w:tc>
        <w:tc>
          <w:tcPr>
            <w:tcW w:w="761" w:type="dxa"/>
            <w:gridSpan w:val="4"/>
            <w:shd w:val="clear" w:color="auto" w:fill="auto"/>
            <w:tcMar>
              <w:left w:w="108" w:type="dxa"/>
              <w:right w:w="108" w:type="dxa"/>
            </w:tcMar>
            <w:vAlign w:val="center"/>
          </w:tcPr>
          <w:p w14:paraId="1215569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7D58BC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1832470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906E7B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64A0E1B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0C739B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0B0E5B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385C39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9A6D982">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1F9FB3A9">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00B681E9">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6.</w:t>
            </w:r>
            <w:bookmarkStart w:id="4" w:name="_Hlk66974555"/>
            <w:r>
              <w:rPr>
                <w:rFonts w:hint="eastAsia" w:ascii="仿宋_GB2312" w:hAnsi="黑体" w:eastAsia="仿宋_GB2312"/>
                <w:color w:val="auto"/>
                <w:kern w:val="0"/>
                <w:szCs w:val="21"/>
              </w:rPr>
              <w:t>属于四类过程性信息</w:t>
            </w:r>
            <w:bookmarkEnd w:id="4"/>
          </w:p>
        </w:tc>
        <w:tc>
          <w:tcPr>
            <w:tcW w:w="761" w:type="dxa"/>
            <w:gridSpan w:val="4"/>
            <w:shd w:val="clear" w:color="auto" w:fill="auto"/>
            <w:tcMar>
              <w:left w:w="108" w:type="dxa"/>
              <w:right w:w="108" w:type="dxa"/>
            </w:tcMar>
            <w:vAlign w:val="center"/>
          </w:tcPr>
          <w:p w14:paraId="555F2F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0F0D02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6881CC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12EF7E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183696E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4F921E8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481451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659753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DB82522">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051B2518">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5ACE78C6">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7.属于行政执法案卷</w:t>
            </w:r>
          </w:p>
        </w:tc>
        <w:tc>
          <w:tcPr>
            <w:tcW w:w="761" w:type="dxa"/>
            <w:gridSpan w:val="4"/>
            <w:shd w:val="clear" w:color="auto" w:fill="auto"/>
            <w:tcMar>
              <w:left w:w="108" w:type="dxa"/>
              <w:right w:w="108" w:type="dxa"/>
            </w:tcMar>
            <w:vAlign w:val="center"/>
          </w:tcPr>
          <w:p w14:paraId="067013F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1ED2355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26939E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6B848F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48D7252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275D373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6A27F35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4D48C3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C1C2673">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49C11736">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3A8A188C">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8.</w:t>
            </w:r>
            <w:bookmarkStart w:id="5" w:name="_Hlk66975211"/>
            <w:r>
              <w:rPr>
                <w:rFonts w:hint="eastAsia" w:ascii="仿宋_GB2312" w:hAnsi="黑体" w:eastAsia="仿宋_GB2312"/>
                <w:color w:val="auto"/>
                <w:kern w:val="0"/>
                <w:szCs w:val="21"/>
              </w:rPr>
              <w:t>属于行政查询事项</w:t>
            </w:r>
            <w:bookmarkEnd w:id="5"/>
          </w:p>
        </w:tc>
        <w:tc>
          <w:tcPr>
            <w:tcW w:w="761" w:type="dxa"/>
            <w:gridSpan w:val="4"/>
            <w:shd w:val="clear" w:color="auto" w:fill="auto"/>
            <w:tcMar>
              <w:left w:w="108" w:type="dxa"/>
              <w:right w:w="108" w:type="dxa"/>
            </w:tcMar>
            <w:vAlign w:val="center"/>
          </w:tcPr>
          <w:p w14:paraId="3D74AC7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297556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15E953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65AD55A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975A3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436A886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4D5B747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7A4A54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EC5D01F">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14:paraId="6D50DA4D">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（四）无法提供</w:t>
            </w:r>
          </w:p>
        </w:tc>
        <w:tc>
          <w:tcPr>
            <w:tcW w:w="2976" w:type="dxa"/>
            <w:shd w:val="clear" w:color="auto" w:fill="auto"/>
            <w:tcMar>
              <w:left w:w="108" w:type="dxa"/>
              <w:right w:w="108" w:type="dxa"/>
            </w:tcMar>
            <w:vAlign w:val="center"/>
          </w:tcPr>
          <w:p w14:paraId="15724613">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1.本机关不掌握相关政府信息</w:t>
            </w:r>
          </w:p>
        </w:tc>
        <w:tc>
          <w:tcPr>
            <w:tcW w:w="765" w:type="dxa"/>
            <w:gridSpan w:val="5"/>
            <w:shd w:val="clear" w:color="auto" w:fill="auto"/>
            <w:tcMar>
              <w:left w:w="108" w:type="dxa"/>
              <w:right w:w="108" w:type="dxa"/>
            </w:tcMar>
            <w:vAlign w:val="center"/>
          </w:tcPr>
          <w:p w14:paraId="5F1F84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173010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14:paraId="1A8496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D2E4F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16D5547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5B0509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142C3B1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0C0760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D348FBE">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1F944E4D">
            <w:pPr>
              <w:spacing w:line="200" w:lineRule="exact"/>
              <w:ind w:left="-107" w:leftChars="-51"/>
              <w:rPr>
                <w:rFonts w:ascii="黑体" w:hAnsi="黑体" w:eastAsia="黑体"/>
                <w:color w:val="auto"/>
                <w:szCs w:val="21"/>
              </w:rPr>
            </w:pPr>
          </w:p>
        </w:tc>
        <w:tc>
          <w:tcPr>
            <w:tcW w:w="2976" w:type="dxa"/>
            <w:shd w:val="clear" w:color="auto" w:fill="auto"/>
            <w:tcMar>
              <w:left w:w="108" w:type="dxa"/>
              <w:right w:w="108" w:type="dxa"/>
            </w:tcMar>
            <w:vAlign w:val="center"/>
          </w:tcPr>
          <w:p w14:paraId="6C8B36E6">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w:t>
            </w:r>
            <w:bookmarkStart w:id="6" w:name="_Hlk66975392"/>
            <w:r>
              <w:rPr>
                <w:rFonts w:hint="eastAsia" w:ascii="仿宋_GB2312" w:hAnsi="黑体" w:eastAsia="仿宋_GB2312"/>
                <w:color w:val="auto"/>
                <w:kern w:val="0"/>
                <w:szCs w:val="21"/>
              </w:rPr>
              <w:t>没有现成信息需要另行制作</w:t>
            </w:r>
            <w:bookmarkEnd w:id="6"/>
          </w:p>
        </w:tc>
        <w:tc>
          <w:tcPr>
            <w:tcW w:w="765" w:type="dxa"/>
            <w:gridSpan w:val="5"/>
            <w:shd w:val="clear" w:color="auto" w:fill="auto"/>
            <w:tcMar>
              <w:left w:w="108" w:type="dxa"/>
              <w:right w:w="108" w:type="dxa"/>
            </w:tcMar>
            <w:vAlign w:val="center"/>
          </w:tcPr>
          <w:p w14:paraId="1933540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2069716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14:paraId="75EDC9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6ACFA8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2FB2776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7CC852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3814595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310220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BE4E789">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0600D9B5">
            <w:pPr>
              <w:spacing w:line="200" w:lineRule="exact"/>
              <w:ind w:left="-107" w:leftChars="-51"/>
              <w:rPr>
                <w:rFonts w:ascii="黑体" w:hAnsi="黑体" w:eastAsia="黑体"/>
                <w:color w:val="auto"/>
                <w:szCs w:val="21"/>
              </w:rPr>
            </w:pPr>
          </w:p>
        </w:tc>
        <w:tc>
          <w:tcPr>
            <w:tcW w:w="2976" w:type="dxa"/>
            <w:shd w:val="clear" w:color="auto" w:fill="auto"/>
            <w:tcMar>
              <w:left w:w="108" w:type="dxa"/>
              <w:right w:w="108" w:type="dxa"/>
            </w:tcMar>
            <w:vAlign w:val="center"/>
          </w:tcPr>
          <w:p w14:paraId="3A111ACC">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3.</w:t>
            </w:r>
            <w:bookmarkStart w:id="7" w:name="_Hlk66975466"/>
            <w:r>
              <w:rPr>
                <w:rFonts w:hint="eastAsia" w:ascii="仿宋_GB2312" w:hAnsi="黑体" w:eastAsia="仿宋_GB2312"/>
                <w:color w:val="auto"/>
                <w:kern w:val="0"/>
                <w:szCs w:val="21"/>
              </w:rPr>
              <w:t>补正后申请内容仍不明确</w:t>
            </w:r>
            <w:bookmarkEnd w:id="7"/>
          </w:p>
        </w:tc>
        <w:tc>
          <w:tcPr>
            <w:tcW w:w="765" w:type="dxa"/>
            <w:gridSpan w:val="5"/>
            <w:shd w:val="clear" w:color="auto" w:fill="auto"/>
            <w:tcMar>
              <w:left w:w="108" w:type="dxa"/>
              <w:right w:w="108" w:type="dxa"/>
            </w:tcMar>
            <w:vAlign w:val="center"/>
          </w:tcPr>
          <w:p w14:paraId="7540DD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045283E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14:paraId="00D108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1B44451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AA765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6A5E6B1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13EF763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034A54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11A4A44">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14:paraId="740277F6">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（五）不予处理</w:t>
            </w:r>
          </w:p>
        </w:tc>
        <w:tc>
          <w:tcPr>
            <w:tcW w:w="2976" w:type="dxa"/>
            <w:shd w:val="clear" w:color="auto" w:fill="auto"/>
            <w:tcMar>
              <w:left w:w="108" w:type="dxa"/>
              <w:right w:w="108" w:type="dxa"/>
            </w:tcMar>
            <w:vAlign w:val="center"/>
          </w:tcPr>
          <w:p w14:paraId="7F96B9D6">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w:t>
            </w:r>
            <w:bookmarkStart w:id="8" w:name="_Hlk66975537"/>
            <w:r>
              <w:rPr>
                <w:rFonts w:hint="eastAsia" w:ascii="仿宋_GB2312" w:hAnsi="黑体" w:eastAsia="仿宋_GB2312"/>
                <w:color w:val="auto"/>
                <w:kern w:val="0"/>
                <w:szCs w:val="21"/>
              </w:rPr>
              <w:t>信访举报投诉类申请</w:t>
            </w:r>
            <w:bookmarkEnd w:id="8"/>
          </w:p>
        </w:tc>
        <w:tc>
          <w:tcPr>
            <w:tcW w:w="765" w:type="dxa"/>
            <w:gridSpan w:val="5"/>
            <w:shd w:val="clear" w:color="auto" w:fill="auto"/>
            <w:tcMar>
              <w:left w:w="108" w:type="dxa"/>
              <w:right w:w="108" w:type="dxa"/>
            </w:tcMar>
            <w:vAlign w:val="center"/>
          </w:tcPr>
          <w:p w14:paraId="7426B4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60C4B2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14:paraId="2766BF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332E7C5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5A83A7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3572FC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2916935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779D77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AEABC3E">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4844A5A2">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1CFFF672">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2.重复申请</w:t>
            </w:r>
          </w:p>
        </w:tc>
        <w:tc>
          <w:tcPr>
            <w:tcW w:w="768" w:type="dxa"/>
            <w:gridSpan w:val="6"/>
            <w:shd w:val="clear" w:color="auto" w:fill="auto"/>
            <w:tcMar>
              <w:left w:w="108" w:type="dxa"/>
              <w:right w:w="108" w:type="dxa"/>
            </w:tcMar>
            <w:vAlign w:val="center"/>
          </w:tcPr>
          <w:p w14:paraId="19C182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12C7AA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14:paraId="2B6808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9D81E7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3D50389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2CDC6D4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28E292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4BF028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322F3D7">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69F0A5AA">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7B7046ED">
            <w:pPr>
              <w:widowControl/>
              <w:spacing w:line="200" w:lineRule="exact"/>
              <w:rPr>
                <w:rFonts w:ascii="仿宋_GB2312" w:hAnsi="黑体" w:eastAsia="仿宋_GB2312"/>
                <w:color w:val="auto"/>
                <w:szCs w:val="21"/>
              </w:rPr>
            </w:pPr>
            <w:r>
              <w:rPr>
                <w:rFonts w:hint="eastAsia" w:ascii="仿宋_GB2312" w:hAnsi="黑体" w:eastAsia="仿宋_GB2312"/>
                <w:color w:val="auto"/>
                <w:kern w:val="0"/>
                <w:szCs w:val="21"/>
              </w:rPr>
              <w:t>3.要求提供公开出版物</w:t>
            </w:r>
          </w:p>
        </w:tc>
        <w:tc>
          <w:tcPr>
            <w:tcW w:w="768" w:type="dxa"/>
            <w:gridSpan w:val="6"/>
            <w:shd w:val="clear" w:color="auto" w:fill="auto"/>
            <w:tcMar>
              <w:left w:w="108" w:type="dxa"/>
              <w:right w:w="108" w:type="dxa"/>
            </w:tcMar>
            <w:vAlign w:val="center"/>
          </w:tcPr>
          <w:p w14:paraId="1C8BFD8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2E2DAE8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14:paraId="61A67E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D4292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14DA225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269C10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4E5635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6F9FF5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2696FF8C">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0C2BACE7">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67889FE3">
            <w:pPr>
              <w:widowControl/>
              <w:spacing w:line="200" w:lineRule="exact"/>
              <w:rPr>
                <w:rFonts w:ascii="仿宋_GB2312" w:hAnsi="黑体" w:eastAsia="仿宋_GB2312"/>
                <w:color w:val="auto"/>
                <w:szCs w:val="21"/>
              </w:rPr>
            </w:pPr>
            <w:r>
              <w:rPr>
                <w:rFonts w:hint="eastAsia" w:ascii="仿宋_GB2312" w:hAnsi="黑体" w:eastAsia="仿宋_GB2312"/>
                <w:color w:val="auto"/>
                <w:kern w:val="0"/>
                <w:szCs w:val="21"/>
              </w:rPr>
              <w:t>4.无正当理由大量反复申请</w:t>
            </w:r>
          </w:p>
        </w:tc>
        <w:tc>
          <w:tcPr>
            <w:tcW w:w="768" w:type="dxa"/>
            <w:gridSpan w:val="6"/>
            <w:shd w:val="clear" w:color="auto" w:fill="auto"/>
            <w:tcMar>
              <w:left w:w="108" w:type="dxa"/>
              <w:right w:w="108" w:type="dxa"/>
            </w:tcMar>
            <w:vAlign w:val="center"/>
          </w:tcPr>
          <w:p w14:paraId="7E605E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25FFE8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14:paraId="450E4E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5CB1582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141A59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3039349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5C63E5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490ECA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AF0153D">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5DA73149">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14:paraId="22E2BEB5">
            <w:pPr>
              <w:widowControl/>
              <w:spacing w:line="300" w:lineRule="exact"/>
              <w:rPr>
                <w:rFonts w:ascii="仿宋_GB2312" w:hAnsi="黑体" w:eastAsia="仿宋_GB2312"/>
                <w:color w:val="auto"/>
                <w:kern w:val="0"/>
                <w:szCs w:val="21"/>
              </w:rPr>
            </w:pPr>
            <w:r>
              <w:rPr>
                <w:rFonts w:hint="eastAsia" w:ascii="仿宋_GB2312" w:hAnsi="黑体" w:eastAsia="仿宋_GB2312"/>
                <w:color w:val="auto"/>
                <w:kern w:val="0"/>
                <w:szCs w:val="21"/>
              </w:rPr>
              <w:t>5.要求行政机关确认或重新</w:t>
            </w:r>
          </w:p>
          <w:p w14:paraId="014FD8C8">
            <w:pPr>
              <w:widowControl/>
              <w:spacing w:line="300" w:lineRule="exact"/>
              <w:ind w:firstLine="210" w:firstLineChars="100"/>
              <w:rPr>
                <w:rFonts w:ascii="仿宋_GB2312" w:hAnsi="黑体" w:eastAsia="仿宋_GB2312"/>
                <w:color w:val="auto"/>
                <w:szCs w:val="21"/>
              </w:rPr>
            </w:pPr>
            <w:r>
              <w:rPr>
                <w:rFonts w:hint="eastAsia" w:ascii="仿宋_GB2312" w:hAnsi="黑体" w:eastAsia="仿宋_GB2312"/>
                <w:color w:val="auto"/>
                <w:kern w:val="0"/>
                <w:szCs w:val="21"/>
              </w:rPr>
              <w:t>出具已获取信息</w:t>
            </w:r>
          </w:p>
        </w:tc>
        <w:tc>
          <w:tcPr>
            <w:tcW w:w="768" w:type="dxa"/>
            <w:gridSpan w:val="6"/>
            <w:shd w:val="clear" w:color="auto" w:fill="auto"/>
            <w:tcMar>
              <w:left w:w="108" w:type="dxa"/>
              <w:right w:w="108" w:type="dxa"/>
            </w:tcMar>
            <w:vAlign w:val="center"/>
          </w:tcPr>
          <w:p w14:paraId="1B5720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442758A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14:paraId="21A2980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694DA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0AC8172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7EB5D8F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0BD520F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578638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85C79E1">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14:paraId="22979EB2">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（六）其他处理</w:t>
            </w:r>
          </w:p>
        </w:tc>
        <w:tc>
          <w:tcPr>
            <w:tcW w:w="2976" w:type="dxa"/>
            <w:shd w:val="clear" w:color="auto" w:fill="auto"/>
            <w:vAlign w:val="center"/>
          </w:tcPr>
          <w:p w14:paraId="5656942F">
            <w:pPr>
              <w:widowControl/>
              <w:spacing w:line="300" w:lineRule="exact"/>
              <w:rPr>
                <w:rFonts w:ascii="仿宋_GB2312" w:hAnsi="楷体" w:eastAsia="仿宋_GB2312"/>
                <w:color w:val="auto"/>
              </w:rPr>
            </w:pPr>
            <w:r>
              <w:rPr>
                <w:rFonts w:hint="eastAsia" w:ascii="仿宋_GB2312" w:hAnsi="楷体" w:eastAsia="仿宋_GB2312"/>
                <w:color w:val="auto"/>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43F0022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60D9A0F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14:paraId="4F5FDE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1BBB149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6DCEBE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461181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5211630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355144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7D4CB7A">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58F6A20B">
            <w:pPr>
              <w:widowControl/>
              <w:spacing w:line="300" w:lineRule="exact"/>
              <w:rPr>
                <w:rFonts w:ascii="黑体" w:hAnsi="黑体" w:eastAsia="黑体"/>
                <w:color w:val="auto"/>
                <w:kern w:val="0"/>
                <w:szCs w:val="21"/>
              </w:rPr>
            </w:pPr>
          </w:p>
        </w:tc>
        <w:tc>
          <w:tcPr>
            <w:tcW w:w="2976" w:type="dxa"/>
            <w:shd w:val="clear" w:color="auto" w:fill="auto"/>
            <w:vAlign w:val="center"/>
          </w:tcPr>
          <w:p w14:paraId="21F32C5D">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0F3FD4E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2788E3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14:paraId="12AAACE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6B9CC45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2E7266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7A9BD60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368660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14:paraId="245A57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5D23479">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14:paraId="5B4A5702">
            <w:pPr>
              <w:widowControl/>
              <w:spacing w:line="300" w:lineRule="exact"/>
              <w:rPr>
                <w:rFonts w:ascii="黑体" w:hAnsi="黑体" w:eastAsia="黑体"/>
                <w:color w:val="auto"/>
                <w:kern w:val="0"/>
                <w:szCs w:val="21"/>
              </w:rPr>
            </w:pPr>
          </w:p>
        </w:tc>
        <w:tc>
          <w:tcPr>
            <w:tcW w:w="2976" w:type="dxa"/>
            <w:shd w:val="clear" w:color="auto" w:fill="auto"/>
            <w:vAlign w:val="center"/>
          </w:tcPr>
          <w:p w14:paraId="7D9EC772">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3.其他</w:t>
            </w:r>
          </w:p>
        </w:tc>
        <w:tc>
          <w:tcPr>
            <w:tcW w:w="771" w:type="dxa"/>
            <w:gridSpan w:val="7"/>
            <w:shd w:val="clear" w:color="auto" w:fill="auto"/>
            <w:tcMar>
              <w:left w:w="108" w:type="dxa"/>
              <w:right w:w="108" w:type="dxa"/>
            </w:tcMar>
            <w:vAlign w:val="center"/>
          </w:tcPr>
          <w:p w14:paraId="3FCE43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7BB1140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14:paraId="53AF85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B6F52E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06B6CA0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79F46D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27E4B57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03E6F6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89AE6BC">
            <w:pPr>
              <w:rPr>
                <w:rFonts w:ascii="黑体" w:hAnsi="黑体" w:eastAsia="黑体"/>
                <w:color w:val="auto"/>
                <w:szCs w:val="21"/>
              </w:rPr>
            </w:pPr>
          </w:p>
        </w:tc>
        <w:tc>
          <w:tcPr>
            <w:tcW w:w="4677" w:type="dxa"/>
            <w:gridSpan w:val="2"/>
            <w:shd w:val="clear" w:color="auto" w:fill="auto"/>
            <w:tcMar>
              <w:left w:w="108" w:type="dxa"/>
              <w:right w:w="108" w:type="dxa"/>
            </w:tcMar>
            <w:vAlign w:val="center"/>
          </w:tcPr>
          <w:p w14:paraId="48E10F27">
            <w:pPr>
              <w:widowControl/>
              <w:spacing w:line="300" w:lineRule="exact"/>
              <w:rPr>
                <w:rFonts w:ascii="黑体" w:hAnsi="黑体" w:eastAsia="黑体"/>
                <w:color w:val="auto"/>
                <w:kern w:val="0"/>
                <w:szCs w:val="21"/>
              </w:rPr>
            </w:pPr>
            <w:r>
              <w:rPr>
                <w:rFonts w:hint="eastAsia" w:ascii="黑体" w:hAnsi="黑体" w:eastAsia="黑体"/>
                <w:color w:val="auto"/>
                <w:kern w:val="0"/>
                <w:szCs w:val="21"/>
              </w:rPr>
              <w:t>（七）总计</w:t>
            </w:r>
          </w:p>
        </w:tc>
        <w:tc>
          <w:tcPr>
            <w:tcW w:w="761" w:type="dxa"/>
            <w:gridSpan w:val="4"/>
            <w:shd w:val="clear" w:color="auto" w:fill="auto"/>
            <w:tcMar>
              <w:left w:w="108" w:type="dxa"/>
              <w:right w:w="108" w:type="dxa"/>
            </w:tcMar>
            <w:vAlign w:val="center"/>
          </w:tcPr>
          <w:p w14:paraId="3A224B3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611A9C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72D9CB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7DF49BF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1165882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73A22F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02D2B8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14:paraId="08635B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019B68FD">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四、结转下年度继续办理</w:t>
            </w:r>
          </w:p>
        </w:tc>
        <w:tc>
          <w:tcPr>
            <w:tcW w:w="761" w:type="dxa"/>
            <w:gridSpan w:val="4"/>
            <w:shd w:val="clear" w:color="auto" w:fill="auto"/>
            <w:tcMar>
              <w:left w:w="108" w:type="dxa"/>
              <w:right w:w="108" w:type="dxa"/>
            </w:tcMar>
            <w:vAlign w:val="center"/>
          </w:tcPr>
          <w:p w14:paraId="2189E7D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18EB81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108F667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44737C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77E42ED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14:paraId="0829ED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14:paraId="25C391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bl>
    <w:p w14:paraId="12C2F9BA">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仿宋_GB2312" w:cs="Times New Roman"/>
          <w:b w:val="0"/>
          <w:bCs/>
          <w:i w:val="0"/>
          <w:caps w:val="0"/>
          <w:color w:val="FF0000"/>
          <w:spacing w:val="0"/>
          <w:kern w:val="2"/>
          <w:sz w:val="32"/>
          <w:szCs w:val="32"/>
          <w:shd w:val="clear" w:fill="FFFFFF"/>
          <w:lang w:val="en-US" w:eastAsia="zh-CN" w:bidi="ar-SA"/>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699611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051F9BA">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28E359">
            <w:pPr>
              <w:widowControl/>
              <w:jc w:val="center"/>
              <w:rPr>
                <w:rFonts w:ascii="黑体" w:hAnsi="黑体" w:eastAsia="黑体"/>
              </w:rPr>
            </w:pPr>
            <w:r>
              <w:rPr>
                <w:rFonts w:ascii="黑体" w:hAnsi="黑体" w:eastAsia="黑体"/>
                <w:kern w:val="0"/>
                <w:sz w:val="20"/>
                <w:szCs w:val="20"/>
              </w:rPr>
              <w:t>行政诉讼</w:t>
            </w:r>
          </w:p>
        </w:tc>
      </w:tr>
      <w:tr w14:paraId="2146FB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6291C0C">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24285FF4">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0747F7A8">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3055216">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7827F24">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1FC82751">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358DD0D">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15CBC693">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26D5B49">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383598F">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788053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80D36FD">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3156FD68">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FAB2153">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349396F">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64A5F39">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6FF57665">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2A55E55">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33E0BF0">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07D64998">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D3EE99F">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35E21CA8">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B51DF67">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2AD89C4">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413327B">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50918414">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BDCDA22">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7F2B30E9">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7E2B3DA">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9358FCE">
            <w:pPr>
              <w:widowControl/>
              <w:jc w:val="center"/>
              <w:rPr>
                <w:rFonts w:ascii="黑体" w:hAnsi="黑体" w:eastAsia="黑体"/>
              </w:rPr>
            </w:pPr>
            <w:r>
              <w:rPr>
                <w:rFonts w:ascii="黑体" w:hAnsi="黑体" w:eastAsia="黑体"/>
                <w:kern w:val="0"/>
                <w:sz w:val="20"/>
                <w:szCs w:val="20"/>
              </w:rPr>
              <w:t>总计</w:t>
            </w:r>
          </w:p>
        </w:tc>
      </w:tr>
      <w:tr w14:paraId="0DB0B7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B04B51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41A1485">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36C83BE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2A5E847C">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375BD29A">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164263DE">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F28F27D">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F717AE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948CEF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2286DAD">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2B51E5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F99D6B5">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C4B91A4">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7BBCCC58">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1C9B59C0">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14:paraId="651337D2">
      <w:pPr>
        <w:widowControl/>
        <w:jc w:val="left"/>
        <w:rPr>
          <w:rFonts w:hint="eastAsia" w:ascii="仿宋_GB2312" w:hAnsi="Calibri" w:eastAsia="仿宋_GB2312" w:cs="Calibri"/>
          <w:color w:val="FF0000"/>
          <w:kern w:val="0"/>
          <w:szCs w:val="21"/>
          <w:lang w:val="en-US" w:eastAsia="zh-CN"/>
        </w:rPr>
      </w:pPr>
    </w:p>
    <w:p w14:paraId="5212696F">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14:paraId="43A64EB7">
      <w:pPr>
        <w:widowControl/>
        <w:shd w:val="clear" w:color="auto" w:fill="FFFFFF"/>
        <w:spacing w:beforeAutospacing="0" w:afterAutospacing="0" w:line="560" w:lineRule="exact"/>
        <w:ind w:firstLine="640" w:firstLineChars="200"/>
        <w:jc w:val="both"/>
        <w:rPr>
          <w:rFonts w:ascii="Times New Roman" w:hAnsi="Times New Roman" w:eastAsia="仿宋_GB2312" w:cs="仿宋_GB2312"/>
          <w:color w:val="auto"/>
          <w:kern w:val="2"/>
          <w:sz w:val="32"/>
          <w:szCs w:val="32"/>
          <w:highlight w:val="none"/>
          <w:shd w:val="clear" w:color="auto" w:fill="FFFFFF"/>
          <w:lang w:val="en-US" w:eastAsia="zh-CN" w:bidi="ar-SA"/>
        </w:rPr>
      </w:pPr>
      <w:r>
        <w:rPr>
          <w:rFonts w:ascii="Times New Roman" w:hAnsi="Times New Roman" w:eastAsia="仿宋_GB2312" w:cs="Times New Roman"/>
          <w:color w:val="auto"/>
          <w:kern w:val="2"/>
          <w:sz w:val="32"/>
          <w:szCs w:val="32"/>
          <w:highlight w:val="none"/>
          <w:shd w:val="clear" w:color="auto" w:fill="FFFFFF"/>
          <w:lang w:val="en-US" w:eastAsia="zh-CN" w:bidi="ar-SA"/>
        </w:rPr>
        <w:t>202</w:t>
      </w:r>
      <w:r>
        <w:rPr>
          <w:rFonts w:hint="eastAsia" w:ascii="Times New Roman" w:hAnsi="Times New Roman" w:eastAsia="仿宋_GB2312" w:cs="Times New Roman"/>
          <w:color w:val="auto"/>
          <w:kern w:val="2"/>
          <w:sz w:val="32"/>
          <w:szCs w:val="32"/>
          <w:highlight w:val="none"/>
          <w:shd w:val="clear" w:color="auto" w:fill="FFFFFF"/>
          <w:lang w:val="en-US" w:eastAsia="zh-CN" w:bidi="ar-SA"/>
        </w:rPr>
        <w:t>4</w:t>
      </w:r>
      <w:r>
        <w:rPr>
          <w:rFonts w:hint="eastAsia" w:ascii="Times New Roman" w:hAnsi="Times New Roman" w:eastAsia="仿宋_GB2312" w:cs="仿宋_GB2312"/>
          <w:color w:val="auto"/>
          <w:kern w:val="2"/>
          <w:sz w:val="32"/>
          <w:szCs w:val="32"/>
          <w:highlight w:val="none"/>
          <w:shd w:val="clear" w:color="auto" w:fill="FFFFFF"/>
          <w:lang w:val="en-US" w:eastAsia="zh-CN" w:bidi="ar-SA"/>
        </w:rPr>
        <w:t>年，虽然我局政府信息公开工作虽然取得了一定成效，但还存在信息公开内容的创新性和时效性有待进一步提高等问题。针对这些问题，下一步将做好以下几方面工作：</w:t>
      </w:r>
    </w:p>
    <w:p w14:paraId="5FA12B29">
      <w:pPr>
        <w:widowControl/>
        <w:shd w:val="clear" w:color="auto" w:fill="FFFFFF"/>
        <w:spacing w:beforeAutospacing="0" w:afterAutospacing="0" w:line="560" w:lineRule="exact"/>
        <w:ind w:firstLine="640" w:firstLineChars="200"/>
        <w:jc w:val="both"/>
        <w:rPr>
          <w:rFonts w:hint="eastAsia" w:ascii="Times New Roman" w:hAnsi="Times New Roman" w:eastAsia="仿宋_GB2312" w:cs="仿宋_GB2312"/>
          <w:color w:val="auto"/>
          <w:kern w:val="0"/>
          <w:sz w:val="32"/>
          <w:szCs w:val="32"/>
          <w:highlight w:val="none"/>
          <w:lang w:val="en-US" w:eastAsia="zh-CN" w:bidi="ar-SA"/>
        </w:rPr>
      </w:pPr>
      <w:r>
        <w:rPr>
          <w:rFonts w:hint="eastAsia" w:ascii="Times New Roman" w:hAnsi="Times New Roman" w:eastAsia="楷体_GB2312" w:cs="楷体_GB2312"/>
          <w:color w:val="auto"/>
          <w:kern w:val="0"/>
          <w:sz w:val="32"/>
          <w:szCs w:val="32"/>
          <w:highlight w:val="none"/>
          <w:lang w:val="en-US" w:eastAsia="zh-CN" w:bidi="ar-SA"/>
        </w:rPr>
        <w:t>一是强化公开时间及时性。</w:t>
      </w:r>
      <w:r>
        <w:rPr>
          <w:rFonts w:hint="eastAsia" w:ascii="Times New Roman" w:hAnsi="Times New Roman" w:eastAsia="仿宋_GB2312" w:cs="仿宋_GB2312"/>
          <w:color w:val="auto"/>
          <w:kern w:val="0"/>
          <w:sz w:val="32"/>
          <w:szCs w:val="32"/>
          <w:highlight w:val="none"/>
          <w:lang w:val="en-US" w:eastAsia="zh-CN" w:bidi="ar-SA"/>
        </w:rPr>
        <w:t>进一步压实工作责任，要求牵头科室根据公开规定抓牢公开提醒，相关科室结合自身工作以及往年经验，提前做好准备工作，时间上须做到尽快、及时公开。</w:t>
      </w:r>
    </w:p>
    <w:p w14:paraId="481E4A91">
      <w:pPr>
        <w:widowControl/>
        <w:shd w:val="clear" w:color="auto" w:fill="FFFFFF"/>
        <w:spacing w:beforeAutospacing="0" w:afterAutospacing="0" w:line="560" w:lineRule="exact"/>
        <w:ind w:firstLine="640" w:firstLineChars="200"/>
        <w:jc w:val="both"/>
        <w:rPr>
          <w:rFonts w:hint="eastAsia" w:ascii="Times New Roman" w:hAnsi="Times New Roman" w:eastAsia="仿宋_GB2312" w:cs="仿宋_GB2312"/>
          <w:color w:val="auto"/>
          <w:kern w:val="0"/>
          <w:sz w:val="32"/>
          <w:szCs w:val="32"/>
          <w:highlight w:val="none"/>
          <w:lang w:val="en-US" w:eastAsia="zh-CN" w:bidi="ar-SA"/>
        </w:rPr>
      </w:pPr>
      <w:r>
        <w:rPr>
          <w:rFonts w:hint="eastAsia" w:ascii="Times New Roman" w:hAnsi="Times New Roman" w:eastAsia="楷体_GB2312" w:cs="楷体_GB2312"/>
          <w:color w:val="auto"/>
          <w:kern w:val="0"/>
          <w:sz w:val="32"/>
          <w:szCs w:val="32"/>
          <w:highlight w:val="none"/>
          <w:lang w:val="en-US" w:eastAsia="zh-CN" w:bidi="ar-SA"/>
        </w:rPr>
        <w:t>二是确保公开内容完整性。</w:t>
      </w:r>
      <w:r>
        <w:rPr>
          <w:rFonts w:hint="eastAsia" w:ascii="Times New Roman" w:hAnsi="Times New Roman" w:eastAsia="仿宋_GB2312" w:cs="仿宋_GB2312"/>
          <w:color w:val="auto"/>
          <w:kern w:val="0"/>
          <w:sz w:val="32"/>
          <w:szCs w:val="32"/>
          <w:highlight w:val="none"/>
          <w:lang w:val="en-US" w:eastAsia="zh-CN" w:bidi="ar-SA"/>
        </w:rPr>
        <w:t>严格执行“三审三校”制度，规范公开流程，确保不出现信息错误等问题，并对政策文件做好立体式、多方位解读，保障公开信息的准确性和权威性。</w:t>
      </w:r>
    </w:p>
    <w:p w14:paraId="482459D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仿宋_GB2312"/>
          <w:color w:val="auto"/>
          <w:kern w:val="0"/>
          <w:sz w:val="32"/>
          <w:szCs w:val="32"/>
          <w:highlight w:val="none"/>
          <w:lang w:val="en-US" w:eastAsia="zh-CN" w:bidi="ar-SA"/>
        </w:rPr>
      </w:pPr>
      <w:r>
        <w:rPr>
          <w:rFonts w:hint="eastAsia" w:ascii="Times New Roman" w:hAnsi="Times New Roman" w:eastAsia="楷体_GB2312" w:cs="楷体_GB2312"/>
          <w:color w:val="auto"/>
          <w:kern w:val="0"/>
          <w:sz w:val="32"/>
          <w:szCs w:val="32"/>
          <w:highlight w:val="none"/>
          <w:lang w:val="en-US" w:eastAsia="zh-CN" w:bidi="ar-SA"/>
        </w:rPr>
        <w:t>三是创新公开形式多样性。</w:t>
      </w:r>
      <w:r>
        <w:rPr>
          <w:rFonts w:hint="eastAsia" w:ascii="Times New Roman" w:hAnsi="Times New Roman" w:eastAsia="仿宋_GB2312" w:cs="仿宋_GB2312"/>
          <w:color w:val="auto"/>
          <w:kern w:val="0"/>
          <w:sz w:val="32"/>
          <w:szCs w:val="32"/>
          <w:highlight w:val="none"/>
          <w:lang w:val="en-US" w:eastAsia="zh-CN" w:bidi="ar-SA"/>
        </w:rPr>
        <w:t>充分利用村务公开、普法进村、宣传手册等群众喜闻乐见的形式做好信息公开服务，让老百姓更加了解与其息息相关的各项政策，真正实现看得懂、记得住、信得过、用得上。</w:t>
      </w:r>
    </w:p>
    <w:p w14:paraId="082F01C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14:paraId="275C4C66">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rPr>
      </w:pPr>
      <w:r>
        <w:rPr>
          <w:rFonts w:hint="default" w:ascii="Times New Roman" w:hAnsi="Times New Roman"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4</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环翠区农业农村局</w:t>
      </w:r>
      <w:r>
        <w:rPr>
          <w:rFonts w:hint="default" w:ascii="Times New Roman" w:hAnsi="Times New Roman" w:eastAsia="仿宋_GB2312" w:cs="Times New Roman"/>
          <w:sz w:val="32"/>
          <w:szCs w:val="32"/>
        </w:rPr>
        <w:t>未收取政府信息公开信息处理费。</w:t>
      </w:r>
    </w:p>
    <w:p w14:paraId="514C9AC8">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4</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lang w:val="en-US" w:eastAsia="zh-CN"/>
        </w:rPr>
        <w:t>环翠区农业农村局</w:t>
      </w:r>
      <w:r>
        <w:rPr>
          <w:rFonts w:hint="default" w:ascii="Times New Roman" w:hAnsi="Times New Roman" w:eastAsia="仿宋_GB2312" w:cs="Times New Roman"/>
          <w:sz w:val="32"/>
          <w:szCs w:val="32"/>
          <w:highlight w:val="none"/>
        </w:rPr>
        <w:t>共承办</w:t>
      </w:r>
      <w:r>
        <w:rPr>
          <w:rFonts w:hint="eastAsia" w:ascii="Times New Roman" w:hAnsi="Times New Roman"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rPr>
        <w:t>人大代表建议</w:t>
      </w:r>
      <w:r>
        <w:rPr>
          <w:rFonts w:hint="eastAsia"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rPr>
        <w:t>件、政协提案</w:t>
      </w:r>
      <w:r>
        <w:rPr>
          <w:rFonts w:hint="eastAsia"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件。目前，已全部办理完成，办复率</w:t>
      </w:r>
      <w:r>
        <w:rPr>
          <w:rFonts w:hint="default" w:ascii="Times New Roman" w:hAnsi="Times New Roman" w:cs="Times New Roman"/>
          <w:sz w:val="32"/>
          <w:szCs w:val="32"/>
          <w:highlight w:val="none"/>
        </w:rPr>
        <w:t>100%</w:t>
      </w:r>
      <w:r>
        <w:rPr>
          <w:rFonts w:hint="default" w:ascii="Times New Roman" w:hAnsi="Times New Roman" w:eastAsia="仿宋_GB2312" w:cs="Times New Roman"/>
          <w:sz w:val="32"/>
          <w:szCs w:val="32"/>
          <w:highlight w:val="none"/>
        </w:rPr>
        <w:t>，办理结果</w:t>
      </w:r>
      <w:r>
        <w:rPr>
          <w:rFonts w:hint="eastAsia" w:ascii="Times New Roman" w:hAnsi="Times New Roman" w:eastAsia="仿宋_GB2312" w:cs="Times New Roman"/>
          <w:sz w:val="32"/>
          <w:szCs w:val="32"/>
          <w:highlight w:val="none"/>
          <w:lang w:val="en-US" w:eastAsia="zh-CN"/>
        </w:rPr>
        <w:t>均为满意</w:t>
      </w:r>
      <w:r>
        <w:rPr>
          <w:rFonts w:hint="default" w:ascii="Times New Roman" w:hAnsi="Times New Roman" w:eastAsia="仿宋_GB2312" w:cs="Times New Roman"/>
          <w:sz w:val="32"/>
          <w:szCs w:val="32"/>
          <w:highlight w:val="none"/>
        </w:rPr>
        <w:t>。</w:t>
      </w:r>
    </w:p>
    <w:p w14:paraId="60D02EC4">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ascii="Times New Roman" w:hAnsi="Times New Roman" w:eastAsia="楷体_GB2312" w:cs="Times New Roman"/>
          <w:sz w:val="32"/>
          <w:szCs w:val="32"/>
          <w:highlight w:val="none"/>
        </w:rPr>
        <w:t>202</w:t>
      </w:r>
      <w:r>
        <w:rPr>
          <w:rFonts w:hint="eastAsia" w:ascii="Times New Roman" w:hAnsi="Times New Roman" w:eastAsia="楷体_GB2312" w:cs="Times New Roman"/>
          <w:sz w:val="32"/>
          <w:szCs w:val="32"/>
          <w:highlight w:val="none"/>
          <w:lang w:val="en-US" w:eastAsia="zh-CN"/>
        </w:rPr>
        <w:t>4</w:t>
      </w:r>
      <w:r>
        <w:rPr>
          <w:rFonts w:hint="eastAsia" w:ascii="Times New Roman" w:hAnsi="Times New Roman" w:eastAsia="仿宋_GB2312" w:cs="仿宋_GB2312"/>
          <w:sz w:val="32"/>
          <w:szCs w:val="32"/>
          <w:highlight w:val="none"/>
        </w:rPr>
        <w:t>年，</w:t>
      </w:r>
      <w:r>
        <w:rPr>
          <w:rFonts w:hint="eastAsia" w:ascii="Times New Roman" w:hAnsi="Times New Roman" w:eastAsia="仿宋_GB2312" w:cs="仿宋_GB2312"/>
          <w:sz w:val="32"/>
          <w:szCs w:val="32"/>
          <w:highlight w:val="none"/>
          <w:lang w:val="en-US" w:eastAsia="zh-CN"/>
        </w:rPr>
        <w:t>环翠区农业农村局不断加强组织领导，认真落实上级政务公开工作要点，继续</w:t>
      </w:r>
      <w:r>
        <w:rPr>
          <w:rFonts w:hint="eastAsia" w:ascii="Times New Roman" w:hAnsi="Times New Roman" w:eastAsia="仿宋_GB2312" w:cs="仿宋_GB2312"/>
          <w:sz w:val="32"/>
          <w:szCs w:val="32"/>
          <w:highlight w:val="none"/>
        </w:rPr>
        <w:t>坚持以“公开为常态、不公开为例外”的原则，</w:t>
      </w:r>
      <w:r>
        <w:rPr>
          <w:rFonts w:hint="eastAsia" w:ascii="Times New Roman" w:hAnsi="Times New Roman" w:eastAsia="仿宋_GB2312" w:cs="仿宋_GB2312"/>
          <w:sz w:val="32"/>
          <w:szCs w:val="32"/>
          <w:highlight w:val="none"/>
          <w:lang w:val="en-US" w:eastAsia="zh-CN"/>
        </w:rPr>
        <w:t>不断丰富公开形式，推动年度政务公开重点工作任务落实到位</w:t>
      </w:r>
      <w:r>
        <w:rPr>
          <w:rFonts w:hint="eastAsia" w:ascii="Times New Roman" w:hAnsi="Times New Roman" w:eastAsia="仿宋_GB2312" w:cs="Times New Roman"/>
          <w:sz w:val="32"/>
          <w:szCs w:val="32"/>
          <w:highlight w:val="none"/>
        </w:rPr>
        <w:t>。充分运用大数据等新一代信息技术</w:t>
      </w:r>
      <w:r>
        <w:rPr>
          <w:rFonts w:hint="eastAsia" w:ascii="Times New Roman" w:hAnsi="Times New Roman" w:eastAsia="仿宋_GB2312" w:cs="Times New Roman"/>
          <w:sz w:val="32"/>
          <w:szCs w:val="32"/>
          <w:highlight w:val="none"/>
          <w:lang w:val="en-US" w:eastAsia="zh-CN"/>
        </w:rPr>
        <w:t>建设</w:t>
      </w:r>
      <w:r>
        <w:rPr>
          <w:rFonts w:hint="eastAsia" w:ascii="Times New Roman" w:hAnsi="Times New Roman" w:eastAsia="仿宋_GB2312" w:cs="Times New Roman"/>
          <w:sz w:val="32"/>
          <w:szCs w:val="32"/>
          <w:highlight w:val="none"/>
        </w:rPr>
        <w:t>“环翠·链乡”智慧平台</w:t>
      </w:r>
      <w:r>
        <w:rPr>
          <w:rFonts w:hint="eastAsia" w:ascii="Times New Roman" w:hAnsi="Times New Roman" w:eastAsia="仿宋_GB2312" w:cs="Times New Roman"/>
          <w:sz w:val="32"/>
          <w:szCs w:val="32"/>
          <w:highlight w:val="none"/>
          <w:lang w:eastAsia="zh-CN"/>
        </w:rPr>
        <w:t>，已累计发布各类宣传推广信息360余条，进一步激发了乡村优质资源活力和近郊文旅消费潜力；运用微信公众号、“最威海是环翠区”政企号共发布了90余条政务信息和工作动态，充分保障公众的知情权；组织开展“政府开放日”活动1次，邀请群众代表参加“三新”配套技术示范观摩会，持续拓宽政民互动渠道。</w:t>
      </w:r>
    </w:p>
    <w:p w14:paraId="7260E7B9">
      <w:pPr>
        <w:pStyle w:val="2"/>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color w:val="FF000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1dd35732-a7eb-4dcc-b7df-a041ac7d42d0"/>
  </w:docVars>
  <w:rsids>
    <w:rsidRoot w:val="11AF18C8"/>
    <w:rsid w:val="08D157AC"/>
    <w:rsid w:val="0F557531"/>
    <w:rsid w:val="11AF18C8"/>
    <w:rsid w:val="19D66905"/>
    <w:rsid w:val="1A6A77C7"/>
    <w:rsid w:val="21E9640B"/>
    <w:rsid w:val="28E36E74"/>
    <w:rsid w:val="3FFB8F66"/>
    <w:rsid w:val="464F74E8"/>
    <w:rsid w:val="4DDF2AD4"/>
    <w:rsid w:val="511E6463"/>
    <w:rsid w:val="54F23AC6"/>
    <w:rsid w:val="56F344A5"/>
    <w:rsid w:val="5B1A6578"/>
    <w:rsid w:val="68C9088B"/>
    <w:rsid w:val="6C7C7FF0"/>
    <w:rsid w:val="77181135"/>
    <w:rsid w:val="77927421"/>
    <w:rsid w:val="7AE22F29"/>
    <w:rsid w:val="7E2277F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2881</Words>
  <Characters>3021</Characters>
  <Lines>0</Lines>
  <Paragraphs>0</Paragraphs>
  <TotalTime>44</TotalTime>
  <ScaleCrop>false</ScaleCrop>
  <LinksUpToDate>false</LinksUpToDate>
  <CharactersWithSpaces>3021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LENOVO</cp:lastModifiedBy>
  <cp:lastPrinted>2023-01-16T17:08:00Z</cp:lastPrinted>
  <dcterms:modified xsi:type="dcterms:W3CDTF">2025-01-15T07:51:17Z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E69FC135B6704485BACA57740AE2D712</vt:lpwstr>
  </property>
  <property fmtid="{D5CDD505-2E9C-101B-9397-08002B2CF9AE}" pid="4" name="KSOTemplateDocerSaveRecord">
    <vt:lpwstr>eyJoZGlkIjoiNTNlYzU2NDZlZWRhZGY1YzdjNGExMDUwNGJjODllMjkifQ==</vt:lpwstr>
  </property>
</Properties>
</file>