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文星简小标宋" w:eastAsia="文星简小标宋"/>
          <w:color w:val="000000" w:themeColor="text1"/>
          <w:sz w:val="44"/>
          <w:szCs w:val="44"/>
          <w:shd w:val="clear" w:color="auto" w:fill="FFFFFF"/>
        </w:rPr>
      </w:pPr>
      <w:r>
        <w:rPr>
          <w:rFonts w:hint="eastAsia" w:ascii="文星简小标宋" w:eastAsia="文星简小标宋"/>
          <w:color w:val="000000" w:themeColor="text1"/>
          <w:sz w:val="44"/>
          <w:szCs w:val="44"/>
          <w:shd w:val="clear" w:color="auto" w:fill="FFFFFF"/>
        </w:rPr>
        <w:t>201</w:t>
      </w:r>
      <w:r>
        <w:rPr>
          <w:rFonts w:hint="eastAsia" w:ascii="文星简小标宋" w:eastAsia="文星简小标宋"/>
          <w:color w:val="000000" w:themeColor="text1"/>
          <w:sz w:val="44"/>
          <w:szCs w:val="44"/>
          <w:shd w:val="clear" w:color="auto" w:fill="FFFFFF"/>
          <w:lang w:val="en-US" w:eastAsia="zh-CN"/>
        </w:rPr>
        <w:t>7</w:t>
      </w:r>
      <w:r>
        <w:rPr>
          <w:rFonts w:hint="eastAsia" w:ascii="文星简小标宋" w:eastAsia="文星简小标宋"/>
          <w:color w:val="000000" w:themeColor="text1"/>
          <w:sz w:val="44"/>
          <w:szCs w:val="44"/>
          <w:shd w:val="clear" w:color="auto" w:fill="FFFFFF"/>
        </w:rPr>
        <w:t>年环翠区住建局政府信息公开年度报告</w:t>
      </w:r>
    </w:p>
    <w:p>
      <w:pPr>
        <w:spacing w:line="560" w:lineRule="exact"/>
        <w:jc w:val="center"/>
        <w:rPr>
          <w:rFonts w:hint="eastAsia" w:ascii="文星简小标宋" w:eastAsia="文星简小标宋"/>
          <w:color w:val="000000" w:themeColor="text1"/>
          <w:sz w:val="44"/>
          <w:szCs w:val="44"/>
          <w:shd w:val="clear" w:color="auto" w:fill="FFFFFF"/>
        </w:rPr>
      </w:pPr>
    </w:p>
    <w:p>
      <w:pPr>
        <w:spacing w:line="560" w:lineRule="exact"/>
        <w:ind w:firstLine="800" w:firstLineChars="250"/>
        <w:rPr>
          <w:rFonts w:hint="eastAsia" w:ascii="仿宋_GB2312" w:eastAsia="仿宋_GB2312"/>
          <w:color w:val="000000" w:themeColor="text1"/>
          <w:sz w:val="32"/>
          <w:szCs w:val="32"/>
          <w:shd w:val="clear" w:color="auto" w:fill="FFFFFF"/>
        </w:rPr>
      </w:pPr>
      <w:r>
        <w:rPr>
          <w:rFonts w:hint="eastAsia" w:ascii="仿宋_GB2312" w:eastAsia="仿宋_GB2312"/>
          <w:color w:val="000000" w:themeColor="text1"/>
          <w:sz w:val="32"/>
          <w:szCs w:val="32"/>
          <w:shd w:val="clear" w:color="auto" w:fill="FFFFFF"/>
        </w:rPr>
        <w:t>本年度报告根据《中华人民共和国政府信息公开条例》（以下简称《条例》）和《山东省政府信息公开办法》编制。</w:t>
      </w:r>
      <w:r>
        <w:rPr>
          <w:rFonts w:hint="eastAsia" w:ascii="仿宋_GB2312" w:eastAsia="仿宋_GB2312"/>
          <w:color w:val="000000" w:themeColor="text1"/>
          <w:sz w:val="32"/>
          <w:szCs w:val="32"/>
          <w:shd w:val="clear" w:color="auto" w:fill="FFFFFF"/>
          <w:lang w:val="en-US" w:eastAsia="zh-CN"/>
        </w:rPr>
        <w:t>报告中所列数据统计期限为2017年1月1日至2017年12月31日。</w:t>
      </w:r>
      <w:r>
        <w:rPr>
          <w:rFonts w:hint="eastAsia" w:ascii="仿宋_GB2312" w:eastAsia="仿宋_GB2312"/>
          <w:color w:val="000000" w:themeColor="text1"/>
          <w:sz w:val="32"/>
          <w:szCs w:val="32"/>
          <w:shd w:val="clear" w:color="auto" w:fill="FFFFFF"/>
        </w:rPr>
        <w:t>报告全文在</w:t>
      </w:r>
      <w:r>
        <w:rPr>
          <w:rFonts w:hint="eastAsia" w:ascii="Times New Roman" w:hAnsi="仿宋_GB2312" w:eastAsia="仿宋_GB2312"/>
          <w:color w:val="000000" w:themeColor="text1"/>
          <w:kern w:val="0"/>
          <w:sz w:val="32"/>
          <w:szCs w:val="32"/>
          <w:lang w:bidi="ar"/>
        </w:rPr>
        <w:t>威海市环翠区人民政府网站</w:t>
      </w:r>
      <w:r>
        <w:rPr>
          <w:rFonts w:hint="eastAsia" w:ascii="仿宋_GB2312" w:eastAsia="仿宋_GB2312"/>
          <w:color w:val="000000" w:themeColor="text1"/>
          <w:sz w:val="32"/>
          <w:szCs w:val="32"/>
          <w:shd w:val="clear" w:color="auto" w:fill="FFFFFF"/>
        </w:rPr>
        <w:t>（www.huancui.gov.cn）进行公布。如对本报告有疑问，可与环翠区住房和城乡建设局法制科联系（地址：环翠区四方路58号，邮编：264200，联系电话：5224110）。</w:t>
      </w:r>
    </w:p>
    <w:p>
      <w:pPr>
        <w:spacing w:line="560" w:lineRule="exact"/>
        <w:ind w:firstLine="640" w:firstLineChars="200"/>
        <w:rPr>
          <w:rFonts w:ascii="黑体" w:hAnsi="黑体" w:eastAsia="黑体"/>
          <w:color w:val="000000" w:themeColor="text1"/>
          <w:sz w:val="32"/>
          <w:szCs w:val="32"/>
          <w:shd w:val="clear" w:color="auto" w:fill="FFFFFF"/>
        </w:rPr>
      </w:pPr>
      <w:r>
        <w:rPr>
          <w:rFonts w:hint="eastAsia" w:ascii="黑体" w:hAnsi="黑体" w:eastAsia="黑体"/>
          <w:color w:val="000000" w:themeColor="text1"/>
          <w:sz w:val="32"/>
          <w:szCs w:val="32"/>
          <w:shd w:val="clear" w:color="auto" w:fill="FFFFFF"/>
        </w:rPr>
        <w:t>一、</w:t>
      </w:r>
      <w:r>
        <w:rPr>
          <w:rFonts w:hint="eastAsia" w:ascii="黑体" w:hAnsi="黑体" w:eastAsia="黑体"/>
          <w:color w:val="000000" w:themeColor="text1"/>
          <w:sz w:val="32"/>
          <w:szCs w:val="32"/>
          <w:shd w:val="clear" w:color="auto" w:fill="FFFFFF"/>
          <w:lang w:val="en-US" w:eastAsia="zh-CN"/>
        </w:rPr>
        <w:t>概述</w:t>
      </w:r>
    </w:p>
    <w:p>
      <w:pPr>
        <w:keepNext w:val="0"/>
        <w:keepLines w:val="0"/>
        <w:pageBreakBefore w:val="0"/>
        <w:widowControl w:val="0"/>
        <w:kinsoku/>
        <w:wordWrap/>
        <w:overflowPunct/>
        <w:topLinePunct w:val="0"/>
        <w:autoSpaceDE/>
        <w:autoSpaceDN/>
        <w:bidi w:val="0"/>
        <w:adjustRightInd/>
        <w:snapToGrid/>
        <w:ind w:right="0" w:rightChars="0" w:firstLine="640" w:firstLineChars="200"/>
        <w:jc w:val="both"/>
        <w:textAlignment w:val="auto"/>
        <w:outlineLvl w:val="9"/>
        <w:rPr>
          <w:rFonts w:hint="eastAsia" w:ascii="仿宋_GB2312" w:eastAsia="仿宋_GB2312"/>
          <w:color w:val="000000" w:themeColor="text1"/>
          <w:sz w:val="32"/>
          <w:szCs w:val="32"/>
          <w:shd w:val="clear" w:color="auto" w:fill="FFFFFF"/>
        </w:rPr>
      </w:pPr>
      <w:r>
        <w:rPr>
          <w:rFonts w:hint="eastAsia" w:ascii="仿宋_GB2312" w:eastAsia="仿宋_GB2312"/>
          <w:color w:val="000000" w:themeColor="text1"/>
          <w:sz w:val="32"/>
          <w:szCs w:val="32"/>
          <w:shd w:val="clear" w:color="auto" w:fill="FFFFFF"/>
        </w:rPr>
        <w:t>201</w:t>
      </w:r>
      <w:r>
        <w:rPr>
          <w:rFonts w:hint="eastAsia" w:ascii="仿宋_GB2312" w:eastAsia="仿宋_GB2312"/>
          <w:color w:val="000000" w:themeColor="text1"/>
          <w:sz w:val="32"/>
          <w:szCs w:val="32"/>
          <w:shd w:val="clear" w:color="auto" w:fill="FFFFFF"/>
          <w:lang w:val="en-US" w:eastAsia="zh-CN"/>
        </w:rPr>
        <w:t>7</w:t>
      </w:r>
      <w:r>
        <w:rPr>
          <w:rFonts w:hint="eastAsia" w:ascii="仿宋_GB2312" w:eastAsia="仿宋_GB2312"/>
          <w:color w:val="000000" w:themeColor="text1"/>
          <w:sz w:val="32"/>
          <w:szCs w:val="32"/>
          <w:shd w:val="clear" w:color="auto" w:fill="FFFFFF"/>
        </w:rPr>
        <w:t>年，环翠区住建局按照区政</w:t>
      </w:r>
      <w:r>
        <w:rPr>
          <w:rFonts w:hint="eastAsia" w:ascii="仿宋_GB2312" w:eastAsia="仿宋_GB2312"/>
          <w:color w:val="000000" w:themeColor="text1"/>
          <w:sz w:val="32"/>
          <w:szCs w:val="32"/>
          <w:shd w:val="clear" w:color="auto" w:fill="FFFFFF"/>
          <w:lang w:val="en-US" w:eastAsia="zh-CN"/>
        </w:rPr>
        <w:t>府</w:t>
      </w:r>
      <w:r>
        <w:rPr>
          <w:rFonts w:hint="eastAsia" w:ascii="仿宋_GB2312" w:eastAsia="仿宋_GB2312"/>
          <w:color w:val="000000" w:themeColor="text1"/>
          <w:sz w:val="32"/>
          <w:szCs w:val="32"/>
          <w:shd w:val="clear" w:color="auto" w:fill="FFFFFF"/>
        </w:rPr>
        <w:t>的部署要求</w:t>
      </w:r>
      <w:r>
        <w:rPr>
          <w:rFonts w:hint="eastAsia" w:ascii="仿宋_GB2312" w:eastAsia="仿宋_GB2312"/>
          <w:color w:val="000000" w:themeColor="text1"/>
          <w:sz w:val="32"/>
          <w:szCs w:val="32"/>
          <w:shd w:val="clear" w:color="auto" w:fill="FFFFFF"/>
          <w:lang w:eastAsia="zh-CN"/>
        </w:rPr>
        <w:t>，</w:t>
      </w:r>
      <w:r>
        <w:rPr>
          <w:rFonts w:hint="eastAsia" w:ascii="仿宋_GB2312" w:eastAsia="仿宋_GB2312"/>
          <w:color w:val="000000" w:themeColor="text1"/>
          <w:sz w:val="32"/>
          <w:szCs w:val="32"/>
          <w:shd w:val="clear" w:color="auto" w:fill="FFFFFF"/>
        </w:rPr>
        <w:t>高度重视</w:t>
      </w:r>
      <w:r>
        <w:rPr>
          <w:rFonts w:hint="eastAsia" w:ascii="仿宋_GB2312" w:eastAsia="仿宋_GB2312"/>
          <w:color w:val="000000" w:themeColor="text1"/>
          <w:sz w:val="32"/>
          <w:szCs w:val="32"/>
          <w:shd w:val="clear" w:color="auto" w:fill="FFFFFF"/>
          <w:lang w:val="en-US" w:eastAsia="zh-CN"/>
        </w:rPr>
        <w:t>政府信息公开工作</w:t>
      </w:r>
      <w:r>
        <w:rPr>
          <w:rFonts w:hint="eastAsia" w:ascii="仿宋_GB2312" w:eastAsia="仿宋_GB2312"/>
          <w:color w:val="000000" w:themeColor="text1"/>
          <w:sz w:val="32"/>
          <w:szCs w:val="32"/>
          <w:shd w:val="clear" w:color="auto" w:fill="FFFFFF"/>
        </w:rPr>
        <w:t>，</w:t>
      </w:r>
      <w:r>
        <w:rPr>
          <w:rFonts w:hint="eastAsia" w:ascii="仿宋_GB2312" w:eastAsia="仿宋_GB2312"/>
          <w:color w:val="000000" w:themeColor="text1"/>
          <w:sz w:val="32"/>
          <w:szCs w:val="32"/>
          <w:shd w:val="clear" w:color="auto" w:fill="FFFFFF"/>
          <w:lang w:eastAsia="zh-CN"/>
        </w:rPr>
        <w:t>主动做好下属机构的信息公开工作，</w:t>
      </w:r>
      <w:r>
        <w:rPr>
          <w:rFonts w:hint="eastAsia" w:ascii="仿宋_GB2312" w:eastAsia="仿宋_GB2312"/>
          <w:color w:val="000000" w:themeColor="text1"/>
          <w:sz w:val="32"/>
          <w:szCs w:val="32"/>
          <w:shd w:val="clear" w:color="auto" w:fill="FFFFFF"/>
          <w:lang w:val="en-US" w:eastAsia="zh-CN"/>
        </w:rPr>
        <w:t>召开</w:t>
      </w:r>
      <w:r>
        <w:rPr>
          <w:rFonts w:hint="eastAsia" w:ascii="仿宋_GB2312" w:eastAsia="仿宋_GB2312"/>
          <w:color w:val="000000" w:themeColor="text1"/>
          <w:sz w:val="32"/>
          <w:szCs w:val="32"/>
          <w:shd w:val="clear" w:color="auto" w:fill="FFFFFF"/>
        </w:rPr>
        <w:t>专题</w:t>
      </w:r>
      <w:r>
        <w:rPr>
          <w:rFonts w:hint="eastAsia" w:ascii="仿宋_GB2312" w:eastAsia="仿宋_GB2312"/>
          <w:color w:val="000000" w:themeColor="text1"/>
          <w:sz w:val="32"/>
          <w:szCs w:val="32"/>
          <w:shd w:val="clear" w:color="auto" w:fill="FFFFFF"/>
          <w:lang w:val="en-US" w:eastAsia="zh-CN"/>
        </w:rPr>
        <w:t>会议</w:t>
      </w:r>
      <w:r>
        <w:rPr>
          <w:rFonts w:hint="eastAsia" w:ascii="仿宋_GB2312" w:eastAsia="仿宋_GB2312"/>
          <w:color w:val="000000" w:themeColor="text1"/>
          <w:sz w:val="32"/>
          <w:szCs w:val="32"/>
          <w:shd w:val="clear" w:color="auto" w:fill="FFFFFF"/>
        </w:rPr>
        <w:t>研究部署，</w:t>
      </w:r>
      <w:r>
        <w:rPr>
          <w:rFonts w:hint="eastAsia" w:ascii="仿宋_GB2312" w:eastAsia="仿宋_GB2312"/>
          <w:color w:val="000000" w:themeColor="text1"/>
          <w:sz w:val="32"/>
          <w:szCs w:val="32"/>
          <w:shd w:val="clear" w:color="auto" w:fill="FFFFFF"/>
          <w:lang w:val="en-US" w:eastAsia="zh-CN"/>
        </w:rPr>
        <w:t>形成</w:t>
      </w:r>
      <w:r>
        <w:rPr>
          <w:rFonts w:hint="eastAsia" w:ascii="仿宋_GB2312" w:eastAsia="仿宋_GB2312"/>
          <w:color w:val="000000" w:themeColor="text1"/>
          <w:sz w:val="32"/>
          <w:szCs w:val="32"/>
          <w:shd w:val="clear" w:color="auto" w:fill="FFFFFF"/>
        </w:rPr>
        <w:t>主要领导亲自抓</w:t>
      </w:r>
      <w:r>
        <w:rPr>
          <w:rFonts w:hint="eastAsia" w:ascii="仿宋_GB2312" w:eastAsia="仿宋_GB2312"/>
          <w:color w:val="000000" w:themeColor="text1"/>
          <w:sz w:val="32"/>
          <w:szCs w:val="32"/>
          <w:shd w:val="clear" w:color="auto" w:fill="FFFFFF"/>
          <w:lang w:eastAsia="zh-CN"/>
        </w:rPr>
        <w:t>、</w:t>
      </w:r>
      <w:r>
        <w:rPr>
          <w:rFonts w:hint="eastAsia" w:ascii="仿宋_GB2312" w:eastAsia="仿宋_GB2312"/>
          <w:color w:val="000000" w:themeColor="text1"/>
          <w:sz w:val="32"/>
          <w:szCs w:val="32"/>
          <w:shd w:val="clear" w:color="auto" w:fill="FFFFFF"/>
        </w:rPr>
        <w:t>分管领导具体抓</w:t>
      </w:r>
      <w:r>
        <w:rPr>
          <w:rFonts w:hint="eastAsia" w:ascii="仿宋_GB2312" w:eastAsia="仿宋_GB2312"/>
          <w:color w:val="000000" w:themeColor="text1"/>
          <w:sz w:val="32"/>
          <w:szCs w:val="32"/>
          <w:shd w:val="clear" w:color="auto" w:fill="FFFFFF"/>
          <w:lang w:val="en-US" w:eastAsia="zh-CN"/>
        </w:rPr>
        <w:t>的强大合力</w:t>
      </w:r>
      <w:r>
        <w:rPr>
          <w:rFonts w:hint="eastAsia" w:ascii="仿宋_GB2312" w:eastAsia="仿宋_GB2312"/>
          <w:color w:val="000000" w:themeColor="text1"/>
          <w:sz w:val="32"/>
          <w:szCs w:val="32"/>
          <w:shd w:val="clear" w:color="auto" w:fill="FFFFFF"/>
        </w:rPr>
        <w:t>，扎实有效推</w:t>
      </w:r>
      <w:bookmarkStart w:id="0" w:name="_GoBack"/>
      <w:bookmarkEnd w:id="0"/>
      <w:r>
        <w:rPr>
          <w:rFonts w:hint="eastAsia" w:ascii="仿宋_GB2312" w:eastAsia="仿宋_GB2312"/>
          <w:color w:val="000000" w:themeColor="text1"/>
          <w:sz w:val="32"/>
          <w:szCs w:val="32"/>
          <w:shd w:val="clear" w:color="auto" w:fill="FFFFFF"/>
        </w:rPr>
        <w:t>进政务信息公开工作，取得了新的进展，主要采取</w:t>
      </w:r>
      <w:r>
        <w:rPr>
          <w:rFonts w:hint="eastAsia" w:ascii="仿宋_GB2312" w:eastAsia="仿宋_GB2312"/>
          <w:color w:val="000000" w:themeColor="text1"/>
          <w:sz w:val="32"/>
          <w:szCs w:val="32"/>
          <w:shd w:val="clear" w:color="auto" w:fill="FFFFFF"/>
          <w:lang w:val="en-US" w:eastAsia="zh-CN"/>
        </w:rPr>
        <w:t>以</w:t>
      </w:r>
      <w:r>
        <w:rPr>
          <w:rFonts w:hint="eastAsia" w:ascii="仿宋_GB2312" w:eastAsia="仿宋_GB2312"/>
          <w:color w:val="000000" w:themeColor="text1"/>
          <w:sz w:val="32"/>
          <w:szCs w:val="32"/>
          <w:shd w:val="clear" w:color="auto" w:fill="FFFFFF"/>
        </w:rPr>
        <w:t>下措施。 </w:t>
      </w:r>
      <w:r>
        <w:rPr>
          <w:rFonts w:hint="eastAsia" w:ascii="仿宋_GB2312" w:eastAsia="仿宋_GB2312"/>
          <w:color w:val="000000" w:themeColor="text1"/>
          <w:sz w:val="32"/>
          <w:szCs w:val="32"/>
          <w:shd w:val="clear" w:color="auto" w:fill="FFFFFF"/>
        </w:rPr>
        <w:br w:type="textWrapping"/>
      </w:r>
      <w:r>
        <w:rPr>
          <w:rFonts w:hint="eastAsia" w:ascii="仿宋_GB2312" w:eastAsia="仿宋_GB2312"/>
          <w:color w:val="000000" w:themeColor="text1"/>
          <w:sz w:val="32"/>
          <w:szCs w:val="32"/>
          <w:shd w:val="clear" w:color="auto" w:fill="FFFFFF"/>
        </w:rPr>
        <w:t>　　</w:t>
      </w:r>
      <w:r>
        <w:rPr>
          <w:rFonts w:hint="eastAsia" w:ascii="楷体_GB2312" w:hAnsi="楷体_GB2312" w:eastAsia="楷体_GB2312" w:cs="楷体_GB2312"/>
          <w:color w:val="000000" w:themeColor="text1"/>
          <w:sz w:val="32"/>
          <w:szCs w:val="32"/>
          <w:shd w:val="clear" w:color="auto" w:fill="FFFFFF"/>
        </w:rPr>
        <w:t>一是加强领导，落实工作责任。</w:t>
      </w:r>
      <w:r>
        <w:rPr>
          <w:rFonts w:hint="eastAsia" w:ascii="仿宋_GB2312" w:eastAsia="仿宋_GB2312"/>
          <w:color w:val="000000" w:themeColor="text1"/>
          <w:sz w:val="32"/>
          <w:szCs w:val="32"/>
          <w:shd w:val="clear" w:color="auto" w:fill="FFFFFF"/>
          <w:lang w:val="en-US" w:eastAsia="zh-CN"/>
        </w:rPr>
        <w:t>区住建局</w:t>
      </w:r>
      <w:r>
        <w:rPr>
          <w:rFonts w:hint="eastAsia" w:ascii="仿宋_GB2312" w:eastAsia="仿宋_GB2312"/>
          <w:color w:val="000000" w:themeColor="text1"/>
          <w:sz w:val="32"/>
          <w:szCs w:val="32"/>
          <w:shd w:val="clear" w:color="auto" w:fill="FFFFFF"/>
        </w:rPr>
        <w:t>围绕促进行政权力公开透明运行</w:t>
      </w:r>
      <w:r>
        <w:rPr>
          <w:rFonts w:hint="eastAsia" w:ascii="仿宋_GB2312" w:eastAsia="仿宋_GB2312"/>
          <w:color w:val="000000" w:themeColor="text1"/>
          <w:sz w:val="32"/>
          <w:szCs w:val="32"/>
          <w:shd w:val="clear" w:color="auto" w:fill="FFFFFF"/>
          <w:lang w:val="en-US" w:eastAsia="zh-CN"/>
        </w:rPr>
        <w:t>机制</w:t>
      </w:r>
      <w:r>
        <w:rPr>
          <w:rFonts w:hint="eastAsia" w:ascii="仿宋_GB2312" w:eastAsia="仿宋_GB2312"/>
          <w:color w:val="000000" w:themeColor="text1"/>
          <w:sz w:val="32"/>
          <w:szCs w:val="32"/>
          <w:shd w:val="clear" w:color="auto" w:fill="FFFFFF"/>
        </w:rPr>
        <w:t>，自始至终把推行政府信息公开工作作为落实党风廉政建设责任制、转变机关作风、提高行政效能、优化部门形象的一项重要工作来抓，切实加强对政务公开工作的组织领导，成立了政务公开领导小组，建立健全政务公开工作制度，落实责任制，将政务公开任务分解下达到</w:t>
      </w:r>
      <w:r>
        <w:rPr>
          <w:rFonts w:hint="eastAsia" w:ascii="仿宋_GB2312" w:eastAsia="仿宋_GB2312"/>
          <w:color w:val="000000" w:themeColor="text1"/>
          <w:sz w:val="32"/>
          <w:szCs w:val="32"/>
          <w:shd w:val="clear" w:color="auto" w:fill="FFFFFF"/>
          <w:lang w:val="en-US" w:eastAsia="zh-CN"/>
        </w:rPr>
        <w:t>各科室、部门</w:t>
      </w:r>
      <w:r>
        <w:rPr>
          <w:rFonts w:hint="eastAsia" w:ascii="仿宋_GB2312" w:eastAsia="仿宋_GB2312"/>
          <w:color w:val="000000" w:themeColor="text1"/>
          <w:sz w:val="32"/>
          <w:szCs w:val="32"/>
          <w:shd w:val="clear" w:color="auto" w:fill="FFFFFF"/>
        </w:rPr>
        <w:t>。领导小组办公室</w:t>
      </w:r>
      <w:r>
        <w:rPr>
          <w:rFonts w:hint="eastAsia" w:ascii="仿宋_GB2312" w:eastAsia="仿宋_GB2312"/>
          <w:color w:val="000000" w:themeColor="text1"/>
          <w:sz w:val="32"/>
          <w:szCs w:val="32"/>
          <w:shd w:val="clear" w:color="auto" w:fill="FFFFFF"/>
          <w:lang w:val="en-US" w:eastAsia="zh-CN"/>
        </w:rPr>
        <w:t>设在法制科</w:t>
      </w:r>
      <w:r>
        <w:rPr>
          <w:rFonts w:hint="eastAsia" w:ascii="仿宋_GB2312" w:eastAsia="仿宋_GB2312"/>
          <w:color w:val="000000" w:themeColor="text1"/>
          <w:sz w:val="32"/>
          <w:szCs w:val="32"/>
          <w:shd w:val="clear" w:color="auto" w:fill="FFFFFF"/>
        </w:rPr>
        <w:t>，负责协调跟踪督办局机关政务公开的日常工作，为推动政务公开工作深入开展提供了坚强的组织保证。</w:t>
      </w:r>
    </w:p>
    <w:p>
      <w:pPr>
        <w:keepNext w:val="0"/>
        <w:keepLines w:val="0"/>
        <w:pageBreakBefore w:val="0"/>
        <w:widowControl w:val="0"/>
        <w:kinsoku/>
        <w:wordWrap/>
        <w:overflowPunct/>
        <w:topLinePunct w:val="0"/>
        <w:autoSpaceDE/>
        <w:autoSpaceDN/>
        <w:bidi w:val="0"/>
        <w:adjustRightInd/>
        <w:snapToGrid/>
        <w:ind w:right="0" w:rightChars="0"/>
        <w:jc w:val="both"/>
        <w:textAlignment w:val="auto"/>
        <w:outlineLvl w:val="9"/>
        <w:rPr>
          <w:rFonts w:hint="eastAsia" w:ascii="仿宋_GB2312" w:eastAsia="仿宋_GB2312"/>
          <w:color w:val="000000" w:themeColor="text1"/>
          <w:sz w:val="32"/>
          <w:szCs w:val="32"/>
          <w:shd w:val="clear" w:color="auto" w:fill="FFFFFF"/>
        </w:rPr>
      </w:pPr>
      <w:r>
        <w:drawing>
          <wp:inline distT="0" distB="0" distL="114300" distR="114300">
            <wp:extent cx="5934075" cy="3646170"/>
            <wp:effectExtent l="0" t="0" r="952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
                    <a:stretch>
                      <a:fillRect/>
                    </a:stretch>
                  </pic:blipFill>
                  <pic:spPr>
                    <a:xfrm>
                      <a:off x="0" y="0"/>
                      <a:ext cx="5934075" cy="36461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right="0" w:rightChars="0"/>
        <w:jc w:val="both"/>
        <w:textAlignment w:val="auto"/>
        <w:outlineLvl w:val="9"/>
        <w:rPr>
          <w:rFonts w:hint="eastAsia" w:ascii="仿宋_GB2312" w:eastAsia="仿宋_GB2312"/>
          <w:color w:val="000000" w:themeColor="text1"/>
          <w:sz w:val="32"/>
          <w:szCs w:val="32"/>
          <w:shd w:val="clear" w:color="auto" w:fill="FFFFFF"/>
        </w:rPr>
      </w:pPr>
      <w:r>
        <w:drawing>
          <wp:inline distT="0" distB="0" distL="114300" distR="114300">
            <wp:extent cx="5936615" cy="1850390"/>
            <wp:effectExtent l="0" t="0" r="6985"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936615" cy="1850390"/>
                    </a:xfrm>
                    <a:prstGeom prst="rect">
                      <a:avLst/>
                    </a:prstGeom>
                    <a:noFill/>
                    <a:ln w="9525">
                      <a:noFill/>
                    </a:ln>
                  </pic:spPr>
                </pic:pic>
              </a:graphicData>
            </a:graphic>
          </wp:inline>
        </w:drawing>
      </w:r>
      <w:r>
        <w:rPr>
          <w:rFonts w:hint="eastAsia" w:ascii="仿宋_GB2312" w:eastAsia="仿宋_GB2312"/>
          <w:color w:val="000000" w:themeColor="text1"/>
          <w:sz w:val="32"/>
          <w:szCs w:val="32"/>
          <w:shd w:val="clear" w:color="auto" w:fill="FFFFFF"/>
        </w:rPr>
        <w:br w:type="textWrapping"/>
      </w:r>
      <w:r>
        <w:rPr>
          <w:rFonts w:hint="eastAsia" w:ascii="仿宋_GB2312" w:eastAsia="仿宋_GB2312"/>
          <w:color w:val="000000" w:themeColor="text1"/>
          <w:sz w:val="32"/>
          <w:szCs w:val="32"/>
          <w:shd w:val="clear" w:color="auto" w:fill="FFFFFF"/>
        </w:rPr>
        <w:t>　　</w:t>
      </w:r>
      <w:r>
        <w:rPr>
          <w:rFonts w:hint="eastAsia" w:ascii="楷体_GB2312" w:hAnsi="楷体_GB2312" w:eastAsia="楷体_GB2312" w:cs="楷体_GB2312"/>
          <w:color w:val="000000" w:themeColor="text1"/>
          <w:sz w:val="32"/>
          <w:szCs w:val="32"/>
          <w:shd w:val="clear" w:color="auto" w:fill="FFFFFF"/>
        </w:rPr>
        <w:t>二是严格把关，确保安全公开。</w:t>
      </w:r>
      <w:r>
        <w:rPr>
          <w:rFonts w:hint="eastAsia" w:ascii="仿宋_GB2312" w:eastAsia="仿宋_GB2312"/>
          <w:color w:val="000000" w:themeColor="text1"/>
          <w:sz w:val="32"/>
          <w:szCs w:val="32"/>
          <w:shd w:val="clear" w:color="auto" w:fill="FFFFFF"/>
        </w:rPr>
        <w:t>定期收集、整理和发布政务信息，发布前，严格按照“谁承办谁公开”</w:t>
      </w:r>
      <w:r>
        <w:rPr>
          <w:rFonts w:hint="eastAsia" w:ascii="仿宋_GB2312" w:eastAsia="仿宋_GB2312"/>
          <w:color w:val="000000" w:themeColor="text1"/>
          <w:sz w:val="32"/>
          <w:szCs w:val="32"/>
          <w:shd w:val="clear" w:color="auto" w:fill="FFFFFF"/>
          <w:lang w:eastAsia="zh-CN"/>
        </w:rPr>
        <w:t>、</w:t>
      </w:r>
      <w:r>
        <w:rPr>
          <w:rFonts w:hint="eastAsia" w:ascii="仿宋_GB2312" w:eastAsia="仿宋_GB2312"/>
          <w:color w:val="000000" w:themeColor="text1"/>
          <w:sz w:val="32"/>
          <w:szCs w:val="32"/>
          <w:shd w:val="clear" w:color="auto" w:fill="FFFFFF"/>
        </w:rPr>
        <w:t>“谁主管谁负责”的原则，凡公开的信息均履行审核程序和保密审查，全年公开的政务信息，未发生信息不完整、不准确、不规范的情况，未出现泄密事故。</w:t>
      </w:r>
    </w:p>
    <w:p>
      <w:pPr>
        <w:keepNext w:val="0"/>
        <w:keepLines w:val="0"/>
        <w:pageBreakBefore w:val="0"/>
        <w:widowControl w:val="0"/>
        <w:kinsoku/>
        <w:wordWrap/>
        <w:overflowPunct/>
        <w:topLinePunct w:val="0"/>
        <w:autoSpaceDE/>
        <w:autoSpaceDN/>
        <w:bidi w:val="0"/>
        <w:adjustRightInd/>
        <w:snapToGrid/>
        <w:ind w:right="0" w:rightChars="0"/>
        <w:jc w:val="both"/>
        <w:textAlignment w:val="auto"/>
        <w:outlineLvl w:val="9"/>
        <w:rPr>
          <w:rFonts w:hint="eastAsia" w:ascii="仿宋_GB2312" w:eastAsia="仿宋_GB2312"/>
          <w:color w:val="000000" w:themeColor="text1"/>
          <w:sz w:val="32"/>
          <w:szCs w:val="32"/>
          <w:shd w:val="clear" w:color="auto" w:fill="FFFFFF"/>
        </w:rPr>
      </w:pPr>
      <w:r>
        <w:rPr>
          <w:color w:val="000000" w:themeColor="text1"/>
        </w:rPr>
        <w:drawing>
          <wp:inline distT="0" distB="0" distL="114300" distR="114300">
            <wp:extent cx="5713730" cy="2496185"/>
            <wp:effectExtent l="0" t="0" r="1270" b="184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
                    <a:stretch>
                      <a:fillRect/>
                    </a:stretch>
                  </pic:blipFill>
                  <pic:spPr>
                    <a:xfrm>
                      <a:off x="0" y="0"/>
                      <a:ext cx="5713730" cy="24961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right="0" w:rightChars="0"/>
        <w:jc w:val="both"/>
        <w:textAlignment w:val="auto"/>
        <w:outlineLvl w:val="9"/>
        <w:rPr>
          <w:rFonts w:hint="eastAsia" w:ascii="仿宋_GB2312" w:eastAsia="仿宋_GB2312"/>
          <w:color w:val="000000" w:themeColor="text1"/>
          <w:sz w:val="32"/>
          <w:szCs w:val="32"/>
          <w:shd w:val="clear" w:color="auto" w:fill="FFFFFF"/>
        </w:rPr>
      </w:pPr>
      <w:r>
        <w:rPr>
          <w:rFonts w:hint="eastAsia" w:ascii="仿宋_GB2312" w:eastAsia="仿宋_GB2312"/>
          <w:color w:val="000000" w:themeColor="text1"/>
          <w:sz w:val="32"/>
          <w:szCs w:val="32"/>
          <w:shd w:val="clear" w:color="auto" w:fill="FFFFFF"/>
        </w:rPr>
        <w:t>　　</w:t>
      </w:r>
      <w:r>
        <w:rPr>
          <w:rFonts w:hint="eastAsia" w:ascii="楷体_GB2312" w:hAnsi="楷体_GB2312" w:eastAsia="楷体_GB2312" w:cs="楷体_GB2312"/>
          <w:color w:val="000000" w:themeColor="text1"/>
          <w:sz w:val="32"/>
          <w:szCs w:val="32"/>
          <w:shd w:val="clear" w:color="auto" w:fill="FFFFFF"/>
        </w:rPr>
        <w:t>三是创新载体，及时公开。</w:t>
      </w:r>
      <w:r>
        <w:rPr>
          <w:rFonts w:hint="eastAsia" w:ascii="仿宋_GB2312" w:eastAsia="仿宋_GB2312"/>
          <w:color w:val="000000" w:themeColor="text1"/>
          <w:sz w:val="32"/>
          <w:szCs w:val="32"/>
          <w:shd w:val="clear" w:color="auto" w:fill="FFFFFF"/>
          <w:lang w:val="en-US" w:eastAsia="zh-CN"/>
        </w:rPr>
        <w:t>一方面</w:t>
      </w:r>
      <w:r>
        <w:rPr>
          <w:rFonts w:hint="eastAsia" w:ascii="仿宋_GB2312" w:eastAsia="仿宋_GB2312"/>
          <w:color w:val="000000" w:themeColor="text1"/>
          <w:sz w:val="32"/>
          <w:szCs w:val="32"/>
          <w:shd w:val="clear" w:color="auto" w:fill="FFFFFF"/>
        </w:rPr>
        <w:t>开展咨询服务。结合“法制宣传日”、“安全生产月”等宣传活动，设立政策咨询台，开展法规宣传，提高群众知法、懂法、用法、守法意识，有效促进各项政策法规落到实处。</w:t>
      </w:r>
      <w:r>
        <w:rPr>
          <w:rFonts w:hint="eastAsia" w:ascii="仿宋_GB2312" w:eastAsia="仿宋_GB2312"/>
          <w:color w:val="000000" w:themeColor="text1"/>
          <w:sz w:val="32"/>
          <w:szCs w:val="32"/>
          <w:shd w:val="clear" w:color="auto" w:fill="FFFFFF"/>
          <w:lang w:val="en-US" w:eastAsia="zh-CN"/>
        </w:rPr>
        <w:t>另一方面</w:t>
      </w:r>
      <w:r>
        <w:rPr>
          <w:rFonts w:hint="eastAsia" w:ascii="仿宋_GB2312" w:eastAsia="仿宋_GB2312"/>
          <w:color w:val="000000" w:themeColor="text1"/>
          <w:sz w:val="32"/>
          <w:szCs w:val="32"/>
          <w:shd w:val="clear" w:color="auto" w:fill="FFFFFF"/>
        </w:rPr>
        <w:t>加强信息公开载体建设。将政府信息公开的内容通过</w:t>
      </w:r>
      <w:r>
        <w:rPr>
          <w:rFonts w:hint="eastAsia" w:ascii="仿宋_GB2312" w:eastAsia="仿宋_GB2312"/>
          <w:color w:val="000000" w:themeColor="text1"/>
          <w:sz w:val="32"/>
          <w:szCs w:val="32"/>
          <w:shd w:val="clear" w:color="auto" w:fill="FFFFFF"/>
          <w:lang w:val="en-US" w:eastAsia="zh-CN"/>
        </w:rPr>
        <w:t>环翠区政务网、</w:t>
      </w:r>
      <w:r>
        <w:rPr>
          <w:rFonts w:hint="eastAsia" w:ascii="仿宋_GB2312" w:eastAsia="仿宋_GB2312"/>
          <w:color w:val="000000" w:themeColor="text1"/>
          <w:sz w:val="32"/>
          <w:szCs w:val="32"/>
          <w:shd w:val="clear" w:color="auto" w:fill="FFFFFF"/>
        </w:rPr>
        <w:t>微信、微博</w:t>
      </w:r>
      <w:r>
        <w:rPr>
          <w:rFonts w:hint="eastAsia" w:ascii="仿宋_GB2312" w:eastAsia="仿宋_GB2312"/>
          <w:color w:val="000000" w:themeColor="text1"/>
          <w:sz w:val="32"/>
          <w:szCs w:val="32"/>
          <w:shd w:val="clear" w:color="auto" w:fill="FFFFFF"/>
          <w:lang w:eastAsia="zh-CN"/>
        </w:rPr>
        <w:t>、</w:t>
      </w:r>
      <w:r>
        <w:rPr>
          <w:rFonts w:hint="eastAsia" w:ascii="仿宋_GB2312" w:eastAsia="仿宋_GB2312"/>
          <w:color w:val="000000" w:themeColor="text1"/>
          <w:sz w:val="32"/>
          <w:szCs w:val="32"/>
          <w:shd w:val="clear" w:color="auto" w:fill="FFFFFF"/>
          <w:lang w:val="en-US" w:eastAsia="zh-CN"/>
        </w:rPr>
        <w:t>新闻发布会</w:t>
      </w:r>
      <w:r>
        <w:rPr>
          <w:rFonts w:hint="eastAsia" w:ascii="仿宋_GB2312" w:eastAsia="仿宋_GB2312"/>
          <w:color w:val="000000" w:themeColor="text1"/>
          <w:sz w:val="32"/>
          <w:szCs w:val="32"/>
          <w:shd w:val="clear" w:color="auto" w:fill="FFFFFF"/>
        </w:rPr>
        <w:t>等新媒体向社会公众发布，确保政务信息公开途径更快捷，透明度更高，使公开的内容渗透到社会生活的各方面。 </w:t>
      </w:r>
    </w:p>
    <w:p>
      <w:pPr>
        <w:keepNext w:val="0"/>
        <w:keepLines w:val="0"/>
        <w:pageBreakBefore w:val="0"/>
        <w:widowControl w:val="0"/>
        <w:kinsoku/>
        <w:wordWrap/>
        <w:overflowPunct/>
        <w:topLinePunct w:val="0"/>
        <w:autoSpaceDE/>
        <w:autoSpaceDN/>
        <w:bidi w:val="0"/>
        <w:adjustRightInd/>
        <w:snapToGrid/>
        <w:ind w:left="840" w:right="0" w:rightChars="0" w:hanging="840" w:hangingChars="400"/>
        <w:jc w:val="both"/>
        <w:textAlignment w:val="auto"/>
        <w:outlineLvl w:val="9"/>
        <w:rPr>
          <w:rFonts w:hint="eastAsia" w:ascii="仿宋_GB2312" w:eastAsia="仿宋_GB2312"/>
          <w:color w:val="000000" w:themeColor="text1"/>
          <w:sz w:val="32"/>
          <w:szCs w:val="32"/>
          <w:shd w:val="clear" w:color="auto" w:fill="FFFFFF"/>
        </w:rPr>
      </w:pPr>
      <w:r>
        <w:rPr>
          <w:color w:val="000000" w:themeColor="text1"/>
        </w:rPr>
        <w:drawing>
          <wp:inline distT="0" distB="0" distL="114300" distR="114300">
            <wp:extent cx="5762625" cy="3066415"/>
            <wp:effectExtent l="0" t="0" r="9525"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5762625" cy="3066415"/>
                    </a:xfrm>
                    <a:prstGeom prst="rect">
                      <a:avLst/>
                    </a:prstGeom>
                    <a:noFill/>
                    <a:ln w="9525">
                      <a:noFill/>
                    </a:ln>
                  </pic:spPr>
                </pic:pic>
              </a:graphicData>
            </a:graphic>
          </wp:inline>
        </w:drawing>
      </w:r>
      <w:r>
        <w:rPr>
          <w:rFonts w:hint="eastAsia" w:ascii="仿宋_GB2312" w:eastAsia="仿宋_GB2312"/>
          <w:color w:val="000000" w:themeColor="text1"/>
          <w:sz w:val="32"/>
          <w:szCs w:val="32"/>
          <w:shd w:val="clear" w:color="auto" w:fill="FFFFFF"/>
        </w:rPr>
        <w:br w:type="textWrapping"/>
      </w:r>
      <w:r>
        <w:rPr>
          <w:rFonts w:hint="eastAsia" w:ascii="黑体" w:hAnsi="黑体" w:eastAsia="黑体" w:cs="黑体"/>
          <w:color w:val="000000" w:themeColor="text1"/>
          <w:sz w:val="32"/>
          <w:szCs w:val="32"/>
          <w:shd w:val="clear" w:color="auto" w:fill="FFFFFF"/>
          <w:lang w:val="en-US" w:eastAsia="zh-CN"/>
        </w:rPr>
        <w:t>二、</w:t>
      </w:r>
      <w:r>
        <w:rPr>
          <w:rFonts w:hint="eastAsia" w:ascii="黑体" w:hAnsi="黑体" w:eastAsia="黑体"/>
          <w:color w:val="000000" w:themeColor="text1"/>
          <w:sz w:val="32"/>
          <w:szCs w:val="32"/>
          <w:shd w:val="clear" w:color="auto" w:fill="FFFFFF"/>
          <w:lang w:val="en-US" w:eastAsia="zh-CN"/>
        </w:rPr>
        <w:t>政府信息公开工作推进情况</w:t>
      </w:r>
      <w:r>
        <w:rPr>
          <w:rFonts w:hint="eastAsia" w:ascii="仿宋_GB2312" w:eastAsia="仿宋_GB2312"/>
          <w:color w:val="000000" w:themeColor="text1"/>
          <w:sz w:val="32"/>
          <w:szCs w:val="32"/>
          <w:shd w:val="clear" w:color="auto" w:fill="FFFFFF"/>
        </w:rPr>
        <w:t>　　</w:t>
      </w:r>
    </w:p>
    <w:p>
      <w:pPr>
        <w:spacing w:line="560" w:lineRule="exact"/>
        <w:ind w:firstLine="640" w:firstLineChars="200"/>
        <w:rPr>
          <w:rFonts w:hint="eastAsia" w:ascii="仿宋_GB2312" w:eastAsia="仿宋_GB2312"/>
          <w:color w:val="000000" w:themeColor="text1"/>
          <w:sz w:val="32"/>
          <w:szCs w:val="32"/>
          <w:shd w:val="clear" w:color="auto" w:fill="FFFFFF"/>
          <w:lang w:eastAsia="zh-CN"/>
        </w:rPr>
      </w:pPr>
      <w:r>
        <w:rPr>
          <w:rFonts w:hint="eastAsia" w:ascii="楷体_GB2312" w:hAnsi="楷体_GB2312" w:eastAsia="楷体_GB2312" w:cs="楷体_GB2312"/>
          <w:color w:val="000000" w:themeColor="text1"/>
          <w:sz w:val="32"/>
          <w:szCs w:val="32"/>
          <w:shd w:val="clear" w:color="auto" w:fill="FFFFFF"/>
          <w:lang w:val="en-US" w:eastAsia="zh-CN"/>
        </w:rPr>
        <w:t>1.</w:t>
      </w:r>
      <w:r>
        <w:rPr>
          <w:rFonts w:hint="eastAsia" w:ascii="楷体_GB2312" w:hAnsi="楷体_GB2312" w:eastAsia="楷体_GB2312" w:cs="楷体_GB2312"/>
          <w:color w:val="000000" w:themeColor="text1"/>
          <w:sz w:val="32"/>
          <w:szCs w:val="32"/>
          <w:shd w:val="clear" w:color="auto" w:fill="FFFFFF"/>
        </w:rPr>
        <w:t>主动公开政府信息的情况</w:t>
      </w:r>
      <w:r>
        <w:rPr>
          <w:rFonts w:hint="eastAsia" w:ascii="楷体_GB2312" w:hAnsi="楷体_GB2312" w:eastAsia="楷体_GB2312" w:cs="楷体_GB2312"/>
          <w:color w:val="000000" w:themeColor="text1"/>
          <w:sz w:val="32"/>
          <w:szCs w:val="32"/>
          <w:shd w:val="clear" w:color="auto" w:fill="FFFFFF"/>
          <w:lang w:eastAsia="zh-CN"/>
        </w:rPr>
        <w:t>。</w:t>
      </w:r>
      <w:r>
        <w:rPr>
          <w:rFonts w:hint="eastAsia" w:ascii="仿宋_GB2312" w:eastAsia="仿宋_GB2312"/>
          <w:color w:val="000000" w:themeColor="text1"/>
          <w:sz w:val="32"/>
          <w:szCs w:val="32"/>
          <w:shd w:val="clear" w:color="auto" w:fill="FFFFFF"/>
        </w:rPr>
        <w:t>201</w:t>
      </w:r>
      <w:r>
        <w:rPr>
          <w:rFonts w:hint="eastAsia" w:ascii="仿宋_GB2312" w:eastAsia="仿宋_GB2312"/>
          <w:color w:val="000000" w:themeColor="text1"/>
          <w:sz w:val="32"/>
          <w:szCs w:val="32"/>
          <w:shd w:val="clear" w:color="auto" w:fill="FFFFFF"/>
          <w:lang w:val="en-US" w:eastAsia="zh-CN"/>
        </w:rPr>
        <w:t>7</w:t>
      </w:r>
      <w:r>
        <w:rPr>
          <w:rFonts w:hint="eastAsia" w:ascii="仿宋_GB2312" w:eastAsia="仿宋_GB2312"/>
          <w:color w:val="000000" w:themeColor="text1"/>
          <w:sz w:val="32"/>
          <w:szCs w:val="32"/>
          <w:shd w:val="clear" w:color="auto" w:fill="FFFFFF"/>
        </w:rPr>
        <w:t>年，我局通过环翠政务网主动公开信息</w:t>
      </w:r>
      <w:r>
        <w:rPr>
          <w:rFonts w:hint="eastAsia" w:ascii="仿宋_GB2312" w:eastAsia="仿宋_GB2312"/>
          <w:color w:val="000000" w:themeColor="text1"/>
          <w:sz w:val="32"/>
          <w:szCs w:val="32"/>
          <w:shd w:val="clear" w:color="auto" w:fill="FFFFFF"/>
          <w:lang w:val="en-US" w:eastAsia="zh-CN"/>
        </w:rPr>
        <w:t>170</w:t>
      </w:r>
      <w:r>
        <w:rPr>
          <w:rFonts w:hint="eastAsia" w:ascii="仿宋_GB2312" w:eastAsia="仿宋_GB2312"/>
          <w:color w:val="000000" w:themeColor="text1"/>
          <w:sz w:val="32"/>
          <w:szCs w:val="32"/>
          <w:shd w:val="clear" w:color="auto" w:fill="FFFFFF"/>
        </w:rPr>
        <w:t>条，通过微信公开信息</w:t>
      </w:r>
      <w:r>
        <w:rPr>
          <w:rFonts w:hint="eastAsia" w:ascii="仿宋_GB2312" w:eastAsia="仿宋_GB2312"/>
          <w:color w:val="000000" w:themeColor="text1"/>
          <w:sz w:val="32"/>
          <w:szCs w:val="32"/>
          <w:shd w:val="clear" w:color="auto" w:fill="FFFFFF"/>
          <w:lang w:val="en-US" w:eastAsia="zh-CN"/>
        </w:rPr>
        <w:t>106</w:t>
      </w:r>
      <w:r>
        <w:rPr>
          <w:rFonts w:hint="eastAsia" w:ascii="仿宋_GB2312" w:eastAsia="仿宋_GB2312"/>
          <w:color w:val="000000" w:themeColor="text1"/>
          <w:sz w:val="32"/>
          <w:szCs w:val="32"/>
          <w:shd w:val="clear" w:color="auto" w:fill="FFFFFF"/>
        </w:rPr>
        <w:t>条，内容</w:t>
      </w:r>
      <w:r>
        <w:rPr>
          <w:rFonts w:hint="eastAsia" w:ascii="仿宋_GB2312" w:eastAsia="仿宋_GB2312"/>
          <w:color w:val="000000" w:themeColor="text1"/>
          <w:sz w:val="32"/>
          <w:szCs w:val="32"/>
          <w:shd w:val="clear" w:color="auto" w:fill="FFFFFF"/>
          <w:lang w:eastAsia="zh-CN"/>
        </w:rPr>
        <w:t>包括整合下属机构的政府信息公开工作，</w:t>
      </w:r>
      <w:r>
        <w:rPr>
          <w:rFonts w:hint="eastAsia" w:ascii="仿宋_GB2312" w:eastAsia="仿宋_GB2312"/>
          <w:color w:val="000000" w:themeColor="text1"/>
          <w:sz w:val="32"/>
          <w:szCs w:val="32"/>
          <w:shd w:val="clear" w:color="auto" w:fill="FFFFFF"/>
        </w:rPr>
        <w:t>涉及机构设置、政策法规、工作动态、三公经费、保障性住房、棚户区改造等内容。</w:t>
      </w:r>
    </w:p>
    <w:p>
      <w:pPr>
        <w:spacing w:line="560" w:lineRule="exact"/>
        <w:rPr>
          <w:rFonts w:hint="eastAsia" w:ascii="仿宋_GB2312" w:eastAsia="仿宋_GB2312"/>
          <w:color w:val="000000" w:themeColor="text1"/>
          <w:sz w:val="32"/>
          <w:szCs w:val="32"/>
          <w:shd w:val="clear" w:color="auto" w:fill="FFFFFF"/>
        </w:rPr>
      </w:pPr>
      <w:r>
        <w:rPr>
          <w:rFonts w:hint="eastAsia" w:ascii="楷体_GB2312" w:hAnsi="楷体_GB2312" w:eastAsia="楷体_GB2312" w:cs="楷体_GB2312"/>
          <w:color w:val="000000" w:themeColor="text1"/>
          <w:sz w:val="32"/>
          <w:szCs w:val="32"/>
          <w:lang w:val="en-US"/>
        </w:rPr>
        <w:drawing>
          <wp:anchor distT="0" distB="0" distL="114300" distR="114300" simplePos="0" relativeHeight="251659264" behindDoc="0" locked="0" layoutInCell="1" allowOverlap="1">
            <wp:simplePos x="0" y="0"/>
            <wp:positionH relativeFrom="column">
              <wp:posOffset>3267075</wp:posOffset>
            </wp:positionH>
            <wp:positionV relativeFrom="paragraph">
              <wp:posOffset>640080</wp:posOffset>
            </wp:positionV>
            <wp:extent cx="2447925" cy="5191125"/>
            <wp:effectExtent l="0" t="0" r="9525" b="9525"/>
            <wp:wrapTopAndBottom/>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8"/>
                    <a:stretch>
                      <a:fillRect/>
                    </a:stretch>
                  </pic:blipFill>
                  <pic:spPr>
                    <a:xfrm>
                      <a:off x="0" y="0"/>
                      <a:ext cx="2447925" cy="5191125"/>
                    </a:xfrm>
                    <a:prstGeom prst="rect">
                      <a:avLst/>
                    </a:prstGeom>
                    <a:noFill/>
                    <a:ln w="9525">
                      <a:noFill/>
                    </a:ln>
                  </pic:spPr>
                </pic:pic>
              </a:graphicData>
            </a:graphic>
          </wp:anchor>
        </w:drawing>
      </w:r>
      <w:r>
        <w:rPr>
          <w:rFonts w:hint="eastAsia" w:ascii="楷体_GB2312" w:hAnsi="楷体_GB2312" w:eastAsia="楷体_GB2312" w:cs="楷体_GB2312"/>
          <w:color w:val="000000" w:themeColor="text1"/>
          <w:sz w:val="32"/>
          <w:szCs w:val="32"/>
          <w:lang w:val="en-US"/>
        </w:rPr>
        <w:drawing>
          <wp:anchor distT="0" distB="0" distL="114300" distR="114300" simplePos="0" relativeHeight="251658240" behindDoc="0" locked="0" layoutInCell="1" allowOverlap="1">
            <wp:simplePos x="0" y="0"/>
            <wp:positionH relativeFrom="column">
              <wp:posOffset>-161925</wp:posOffset>
            </wp:positionH>
            <wp:positionV relativeFrom="paragraph">
              <wp:posOffset>440055</wp:posOffset>
            </wp:positionV>
            <wp:extent cx="3067050" cy="5295900"/>
            <wp:effectExtent l="0" t="0" r="0" b="0"/>
            <wp:wrapTopAndBottom/>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9"/>
                    <a:stretch>
                      <a:fillRect/>
                    </a:stretch>
                  </pic:blipFill>
                  <pic:spPr>
                    <a:xfrm>
                      <a:off x="0" y="0"/>
                      <a:ext cx="3067050" cy="5295900"/>
                    </a:xfrm>
                    <a:prstGeom prst="rect">
                      <a:avLst/>
                    </a:prstGeom>
                    <a:noFill/>
                    <a:ln w="9525">
                      <a:noFill/>
                    </a:ln>
                  </pic:spPr>
                </pic:pic>
              </a:graphicData>
            </a:graphic>
          </wp:anchor>
        </w:drawing>
      </w:r>
    </w:p>
    <w:p>
      <w:pPr>
        <w:spacing w:line="560" w:lineRule="exact"/>
        <w:ind w:firstLine="420" w:firstLineChars="200"/>
        <w:rPr>
          <w:rFonts w:hint="eastAsia" w:ascii="仿宋_GB2312" w:eastAsia="仿宋_GB2312"/>
          <w:color w:val="000000" w:themeColor="text1"/>
          <w:sz w:val="32"/>
          <w:szCs w:val="32"/>
          <w:shd w:val="clear" w:color="auto" w:fill="FFFFFF"/>
        </w:rPr>
      </w:pPr>
      <w:r>
        <w:rPr>
          <w:color w:val="000000" w:themeColor="text1"/>
        </w:rPr>
        <w:drawing>
          <wp:anchor distT="0" distB="0" distL="114300" distR="114300" simplePos="0" relativeHeight="251662336" behindDoc="0" locked="0" layoutInCell="1" allowOverlap="1">
            <wp:simplePos x="0" y="0"/>
            <wp:positionH relativeFrom="column">
              <wp:posOffset>52070</wp:posOffset>
            </wp:positionH>
            <wp:positionV relativeFrom="page">
              <wp:posOffset>6605905</wp:posOffset>
            </wp:positionV>
            <wp:extent cx="5935345" cy="3224530"/>
            <wp:effectExtent l="0" t="0" r="8255" b="139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35345" cy="3224530"/>
                    </a:xfrm>
                    <a:prstGeom prst="rect">
                      <a:avLst/>
                    </a:prstGeom>
                    <a:noFill/>
                    <a:ln w="9525">
                      <a:noFill/>
                    </a:ln>
                  </pic:spPr>
                </pic:pic>
              </a:graphicData>
            </a:graphic>
          </wp:anchor>
        </w:drawing>
      </w:r>
      <w:r>
        <w:rPr>
          <w:rFonts w:hint="eastAsia" w:ascii="楷体_GB2312" w:hAnsi="楷体_GB2312" w:eastAsia="楷体_GB2312" w:cs="楷体_GB2312"/>
          <w:color w:val="000000" w:themeColor="text1"/>
          <w:sz w:val="32"/>
          <w:szCs w:val="32"/>
          <w:lang w:val="en-US" w:eastAsia="zh-CN"/>
        </w:rPr>
        <w:t>2.</w:t>
      </w:r>
      <w:r>
        <w:rPr>
          <w:rFonts w:hint="eastAsia" w:ascii="楷体_GB2312" w:hAnsi="楷体_GB2312" w:eastAsia="楷体_GB2312" w:cs="楷体_GB2312"/>
          <w:color w:val="000000" w:themeColor="text1"/>
          <w:sz w:val="32"/>
          <w:szCs w:val="32"/>
          <w:shd w:val="clear" w:color="auto" w:fill="FFFFFF"/>
        </w:rPr>
        <w:t>依申请公开政府信息办理情况</w:t>
      </w:r>
      <w:r>
        <w:rPr>
          <w:rFonts w:hint="eastAsia" w:ascii="楷体_GB2312" w:hAnsi="楷体_GB2312" w:eastAsia="楷体_GB2312" w:cs="楷体_GB2312"/>
          <w:color w:val="000000" w:themeColor="text1"/>
          <w:sz w:val="32"/>
          <w:szCs w:val="32"/>
          <w:shd w:val="clear" w:color="auto" w:fill="FFFFFF"/>
          <w:lang w:eastAsia="zh-CN"/>
        </w:rPr>
        <w:t>。</w:t>
      </w:r>
      <w:r>
        <w:rPr>
          <w:rFonts w:hint="eastAsia" w:ascii="仿宋_GB2312" w:eastAsia="仿宋_GB2312"/>
          <w:color w:val="000000" w:themeColor="text1"/>
          <w:sz w:val="32"/>
          <w:szCs w:val="32"/>
          <w:shd w:val="clear" w:color="auto" w:fill="FFFFFF"/>
        </w:rPr>
        <w:t>201</w:t>
      </w:r>
      <w:r>
        <w:rPr>
          <w:rFonts w:hint="eastAsia" w:ascii="仿宋_GB2312" w:eastAsia="仿宋_GB2312"/>
          <w:color w:val="000000" w:themeColor="text1"/>
          <w:sz w:val="32"/>
          <w:szCs w:val="32"/>
          <w:shd w:val="clear" w:color="auto" w:fill="FFFFFF"/>
          <w:lang w:val="en-US" w:eastAsia="zh-CN"/>
        </w:rPr>
        <w:t>7</w:t>
      </w:r>
      <w:r>
        <w:rPr>
          <w:rFonts w:hint="eastAsia" w:ascii="仿宋_GB2312" w:eastAsia="仿宋_GB2312"/>
          <w:color w:val="000000" w:themeColor="text1"/>
          <w:sz w:val="32"/>
          <w:szCs w:val="32"/>
          <w:shd w:val="clear" w:color="auto" w:fill="FFFFFF"/>
        </w:rPr>
        <w:t>年度我局收到信息公开申请</w:t>
      </w:r>
      <w:r>
        <w:rPr>
          <w:rFonts w:hint="eastAsia" w:ascii="仿宋_GB2312" w:eastAsia="仿宋_GB2312"/>
          <w:color w:val="000000" w:themeColor="text1"/>
          <w:sz w:val="32"/>
          <w:szCs w:val="32"/>
          <w:shd w:val="clear" w:color="auto" w:fill="FFFFFF"/>
          <w:lang w:val="en-US" w:eastAsia="zh-CN"/>
        </w:rPr>
        <w:t>4</w:t>
      </w:r>
      <w:r>
        <w:rPr>
          <w:rFonts w:hint="eastAsia" w:ascii="仿宋_GB2312" w:eastAsia="仿宋_GB2312"/>
          <w:color w:val="000000" w:themeColor="text1"/>
          <w:sz w:val="32"/>
          <w:szCs w:val="32"/>
          <w:shd w:val="clear" w:color="auto" w:fill="FFFFFF"/>
        </w:rPr>
        <w:t>件，全部按时办结。</w:t>
      </w:r>
    </w:p>
    <w:p>
      <w:pPr>
        <w:spacing w:line="560" w:lineRule="exact"/>
        <w:ind w:firstLine="640" w:firstLineChars="200"/>
        <w:rPr>
          <w:rFonts w:hint="eastAsia" w:ascii="仿宋_GB2312" w:eastAsia="仿宋_GB2312"/>
          <w:color w:val="000000" w:themeColor="text1"/>
          <w:sz w:val="32"/>
          <w:szCs w:val="32"/>
          <w:shd w:val="clear" w:color="auto" w:fill="FFFFFF"/>
        </w:rPr>
      </w:pPr>
      <w:r>
        <w:rPr>
          <w:rFonts w:hint="eastAsia" w:ascii="楷体_GB2312" w:hAnsi="楷体_GB2312" w:eastAsia="楷体_GB2312" w:cs="楷体_GB2312"/>
          <w:color w:val="000000" w:themeColor="text1"/>
          <w:sz w:val="32"/>
          <w:szCs w:val="32"/>
          <w:shd w:val="clear" w:color="auto" w:fill="FFFFFF"/>
          <w:lang w:val="en-US" w:eastAsia="zh-CN"/>
        </w:rPr>
        <w:t>3.</w:t>
      </w:r>
      <w:r>
        <w:rPr>
          <w:rFonts w:hint="eastAsia" w:ascii="楷体_GB2312" w:hAnsi="楷体_GB2312" w:eastAsia="楷体_GB2312" w:cs="楷体_GB2312"/>
          <w:color w:val="000000" w:themeColor="text1"/>
          <w:sz w:val="32"/>
          <w:szCs w:val="32"/>
          <w:shd w:val="clear" w:color="auto" w:fill="FFFFFF"/>
        </w:rPr>
        <w:t>不予公开政府信息的情况</w:t>
      </w:r>
      <w:r>
        <w:rPr>
          <w:rFonts w:hint="eastAsia" w:ascii="楷体_GB2312" w:hAnsi="楷体_GB2312" w:eastAsia="楷体_GB2312" w:cs="楷体_GB2312"/>
          <w:color w:val="000000" w:themeColor="text1"/>
          <w:sz w:val="32"/>
          <w:szCs w:val="32"/>
          <w:shd w:val="clear" w:color="auto" w:fill="FFFFFF"/>
          <w:lang w:eastAsia="zh-CN"/>
        </w:rPr>
        <w:t>。</w:t>
      </w:r>
      <w:r>
        <w:rPr>
          <w:rFonts w:hint="eastAsia" w:ascii="仿宋_GB2312" w:eastAsia="仿宋_GB2312"/>
          <w:color w:val="000000" w:themeColor="text1"/>
          <w:sz w:val="32"/>
          <w:szCs w:val="32"/>
          <w:shd w:val="clear" w:color="auto" w:fill="FFFFFF"/>
        </w:rPr>
        <w:t>201</w:t>
      </w:r>
      <w:r>
        <w:rPr>
          <w:rFonts w:hint="eastAsia" w:ascii="仿宋_GB2312" w:eastAsia="仿宋_GB2312"/>
          <w:color w:val="000000" w:themeColor="text1"/>
          <w:sz w:val="32"/>
          <w:szCs w:val="32"/>
          <w:shd w:val="clear" w:color="auto" w:fill="FFFFFF"/>
          <w:lang w:val="en-US" w:eastAsia="zh-CN"/>
        </w:rPr>
        <w:t>7</w:t>
      </w:r>
      <w:r>
        <w:rPr>
          <w:rFonts w:hint="eastAsia" w:ascii="仿宋_GB2312" w:eastAsia="仿宋_GB2312"/>
          <w:color w:val="000000" w:themeColor="text1"/>
          <w:sz w:val="32"/>
          <w:szCs w:val="32"/>
          <w:shd w:val="clear" w:color="auto" w:fill="FFFFFF"/>
        </w:rPr>
        <w:t>年我局收到的信息公开申请不涉及不予公开的情况。</w:t>
      </w:r>
    </w:p>
    <w:p>
      <w:pPr>
        <w:spacing w:line="560" w:lineRule="exact"/>
        <w:ind w:firstLine="640" w:firstLineChars="200"/>
        <w:rPr>
          <w:rFonts w:hint="eastAsia" w:ascii="仿宋_GB2312" w:eastAsia="仿宋_GB2312"/>
          <w:color w:val="000000" w:themeColor="text1"/>
          <w:sz w:val="32"/>
          <w:szCs w:val="32"/>
          <w:shd w:val="clear" w:color="auto" w:fill="FFFFFF"/>
        </w:rPr>
      </w:pPr>
      <w:r>
        <w:rPr>
          <w:rFonts w:hint="eastAsia" w:ascii="楷体_GB2312" w:hAnsi="楷体_GB2312" w:eastAsia="楷体_GB2312" w:cs="楷体_GB2312"/>
          <w:color w:val="000000" w:themeColor="text1"/>
          <w:sz w:val="32"/>
          <w:szCs w:val="32"/>
          <w:shd w:val="clear" w:color="auto" w:fill="FFFFFF"/>
          <w:lang w:val="en-US" w:eastAsia="zh-CN"/>
        </w:rPr>
        <w:t>4.</w:t>
      </w:r>
      <w:r>
        <w:rPr>
          <w:rFonts w:hint="eastAsia" w:ascii="楷体_GB2312" w:hAnsi="楷体_GB2312" w:eastAsia="楷体_GB2312" w:cs="楷体_GB2312"/>
          <w:color w:val="000000" w:themeColor="text1"/>
          <w:sz w:val="32"/>
          <w:szCs w:val="32"/>
          <w:shd w:val="clear" w:color="auto" w:fill="FFFFFF"/>
        </w:rPr>
        <w:t>政府信息公开的收费及减免情况</w:t>
      </w:r>
      <w:r>
        <w:rPr>
          <w:rFonts w:hint="eastAsia" w:ascii="楷体_GB2312" w:hAnsi="楷体_GB2312" w:eastAsia="楷体_GB2312" w:cs="楷体_GB2312"/>
          <w:color w:val="000000" w:themeColor="text1"/>
          <w:sz w:val="32"/>
          <w:szCs w:val="32"/>
          <w:shd w:val="clear" w:color="auto" w:fill="FFFFFF"/>
          <w:lang w:eastAsia="zh-CN"/>
        </w:rPr>
        <w:t>。</w:t>
      </w:r>
      <w:r>
        <w:rPr>
          <w:rFonts w:hint="eastAsia" w:ascii="仿宋_GB2312" w:eastAsia="仿宋_GB2312"/>
          <w:color w:val="000000" w:themeColor="text1"/>
          <w:sz w:val="32"/>
          <w:szCs w:val="32"/>
          <w:shd w:val="clear" w:color="auto" w:fill="FFFFFF"/>
        </w:rPr>
        <w:t>201</w:t>
      </w:r>
      <w:r>
        <w:rPr>
          <w:rFonts w:hint="eastAsia" w:ascii="仿宋_GB2312" w:eastAsia="仿宋_GB2312"/>
          <w:color w:val="000000" w:themeColor="text1"/>
          <w:sz w:val="32"/>
          <w:szCs w:val="32"/>
          <w:shd w:val="clear" w:color="auto" w:fill="FFFFFF"/>
          <w:lang w:val="en-US" w:eastAsia="zh-CN"/>
        </w:rPr>
        <w:t>7</w:t>
      </w:r>
      <w:r>
        <w:rPr>
          <w:rFonts w:hint="eastAsia" w:ascii="仿宋_GB2312" w:eastAsia="仿宋_GB2312"/>
          <w:color w:val="000000" w:themeColor="text1"/>
          <w:sz w:val="32"/>
          <w:szCs w:val="32"/>
          <w:shd w:val="clear" w:color="auto" w:fill="FFFFFF"/>
        </w:rPr>
        <w:t>年度我局未收取信息公开的相关费用。</w:t>
      </w:r>
    </w:p>
    <w:p>
      <w:pPr>
        <w:spacing w:line="560" w:lineRule="exact"/>
        <w:ind w:firstLine="640" w:firstLineChars="200"/>
        <w:rPr>
          <w:rFonts w:hint="eastAsia" w:ascii="仿宋_GB2312" w:eastAsia="仿宋_GB2312"/>
          <w:color w:val="000000" w:themeColor="text1"/>
          <w:sz w:val="32"/>
          <w:szCs w:val="32"/>
          <w:shd w:val="clear" w:color="auto" w:fill="FFFFFF"/>
          <w:lang w:val="en-US" w:eastAsia="zh-CN"/>
        </w:rPr>
      </w:pPr>
      <w:r>
        <w:rPr>
          <w:rFonts w:hint="eastAsia" w:ascii="楷体_GB2312" w:hAnsi="楷体_GB2312" w:eastAsia="楷体_GB2312" w:cs="楷体_GB2312"/>
          <w:color w:val="000000" w:themeColor="text1"/>
          <w:sz w:val="32"/>
          <w:szCs w:val="32"/>
          <w:shd w:val="clear" w:color="auto" w:fill="FFFFFF"/>
          <w:lang w:val="en-US" w:eastAsia="zh-CN"/>
        </w:rPr>
        <w:t>5.</w:t>
      </w:r>
      <w:r>
        <w:rPr>
          <w:rFonts w:hint="eastAsia" w:ascii="楷体_GB2312" w:hAnsi="楷体_GB2312" w:eastAsia="楷体_GB2312" w:cs="楷体_GB2312"/>
          <w:color w:val="000000" w:themeColor="text1"/>
          <w:sz w:val="32"/>
          <w:szCs w:val="32"/>
          <w:shd w:val="clear" w:color="auto" w:fill="FFFFFF"/>
        </w:rPr>
        <w:t>因政府信息公开申请行政复议和提起行政诉讼情况</w:t>
      </w:r>
      <w:r>
        <w:rPr>
          <w:rFonts w:hint="eastAsia" w:ascii="楷体_GB2312" w:hAnsi="楷体_GB2312" w:eastAsia="楷体_GB2312" w:cs="楷体_GB2312"/>
          <w:color w:val="000000" w:themeColor="text1"/>
          <w:sz w:val="32"/>
          <w:szCs w:val="32"/>
          <w:shd w:val="clear" w:color="auto" w:fill="FFFFFF"/>
          <w:lang w:eastAsia="zh-CN"/>
        </w:rPr>
        <w:t>。</w:t>
      </w:r>
      <w:r>
        <w:rPr>
          <w:rFonts w:hint="eastAsia" w:ascii="仿宋_GB2312" w:eastAsia="仿宋_GB2312"/>
          <w:color w:val="000000" w:themeColor="text1"/>
          <w:sz w:val="32"/>
          <w:szCs w:val="32"/>
          <w:shd w:val="clear" w:color="auto" w:fill="FFFFFF"/>
        </w:rPr>
        <w:t>201</w:t>
      </w:r>
      <w:r>
        <w:rPr>
          <w:rFonts w:hint="eastAsia" w:ascii="仿宋_GB2312" w:eastAsia="仿宋_GB2312"/>
          <w:color w:val="000000" w:themeColor="text1"/>
          <w:sz w:val="32"/>
          <w:szCs w:val="32"/>
          <w:shd w:val="clear" w:color="auto" w:fill="FFFFFF"/>
          <w:lang w:val="en-US" w:eastAsia="zh-CN"/>
        </w:rPr>
        <w:t>7</w:t>
      </w:r>
      <w:r>
        <w:rPr>
          <w:rFonts w:hint="eastAsia" w:ascii="仿宋_GB2312" w:eastAsia="仿宋_GB2312"/>
          <w:color w:val="000000" w:themeColor="text1"/>
          <w:sz w:val="32"/>
          <w:szCs w:val="32"/>
          <w:shd w:val="clear" w:color="auto" w:fill="FFFFFF"/>
        </w:rPr>
        <w:t>年度我局</w:t>
      </w:r>
      <w:r>
        <w:rPr>
          <w:rFonts w:hint="eastAsia" w:ascii="仿宋_GB2312" w:eastAsia="仿宋_GB2312"/>
          <w:color w:val="000000" w:themeColor="text1"/>
          <w:sz w:val="32"/>
          <w:szCs w:val="32"/>
          <w:shd w:val="clear" w:color="auto" w:fill="FFFFFF"/>
          <w:lang w:val="en-US" w:eastAsia="zh-CN"/>
        </w:rPr>
        <w:t>未收到政府信息公开方面的行政复议申请和行政诉讼。</w:t>
      </w:r>
    </w:p>
    <w:p>
      <w:pPr>
        <w:spacing w:line="560" w:lineRule="exact"/>
        <w:ind w:firstLine="640" w:firstLineChars="200"/>
        <w:rPr>
          <w:rFonts w:hint="eastAsia" w:ascii="仿宋_GB2312" w:eastAsia="仿宋_GB2312"/>
          <w:color w:val="000000" w:themeColor="text1"/>
          <w:sz w:val="32"/>
          <w:szCs w:val="32"/>
          <w:shd w:val="clear" w:color="auto" w:fill="FFFFFF"/>
          <w:lang w:val="en-US" w:eastAsia="zh-CN"/>
        </w:rPr>
      </w:pPr>
      <w:r>
        <w:rPr>
          <w:rFonts w:hint="eastAsia" w:ascii="楷体_GB2312" w:hAnsi="楷体_GB2312" w:eastAsia="楷体_GB2312" w:cs="楷体_GB2312"/>
          <w:color w:val="000000" w:themeColor="text1"/>
          <w:sz w:val="32"/>
          <w:szCs w:val="32"/>
          <w:shd w:val="clear" w:color="auto" w:fill="FFFFFF"/>
          <w:lang w:val="en-US" w:eastAsia="zh-CN"/>
        </w:rPr>
        <w:t>6.</w:t>
      </w:r>
      <w:r>
        <w:rPr>
          <w:rFonts w:hint="eastAsia" w:ascii="楷体_GB2312" w:hAnsi="楷体_GB2312" w:eastAsia="楷体_GB2312" w:cs="楷体_GB2312"/>
          <w:color w:val="000000" w:themeColor="text1"/>
          <w:sz w:val="32"/>
          <w:szCs w:val="32"/>
          <w:shd w:val="clear" w:color="auto" w:fill="FFFFFF"/>
        </w:rPr>
        <w:t>政府信息公开工作存在的主要问题和改进措施</w:t>
      </w:r>
      <w:r>
        <w:rPr>
          <w:rFonts w:hint="eastAsia" w:ascii="楷体_GB2312" w:hAnsi="楷体_GB2312" w:eastAsia="楷体_GB2312" w:cs="楷体_GB2312"/>
          <w:color w:val="000000" w:themeColor="text1"/>
          <w:sz w:val="32"/>
          <w:szCs w:val="32"/>
          <w:shd w:val="clear" w:color="auto" w:fill="FFFFFF"/>
          <w:lang w:eastAsia="zh-CN"/>
        </w:rPr>
        <w:t>。</w:t>
      </w:r>
      <w:r>
        <w:rPr>
          <w:rFonts w:hint="eastAsia" w:ascii="仿宋_GB2312" w:eastAsia="仿宋_GB2312"/>
          <w:color w:val="000000" w:themeColor="text1"/>
          <w:sz w:val="32"/>
          <w:szCs w:val="32"/>
          <w:shd w:val="clear" w:color="auto" w:fill="FFFFFF"/>
          <w:lang w:val="en-US" w:eastAsia="zh-CN"/>
        </w:rPr>
        <w:t>2017年，我局政府信息公开工作严格按照上级统一安排，进行了及时、高效地公开，信息公开工作取得了重大进展，但还存在信息公开数量偏少、信息公开不全面、公开渠道比较单一等问题。下一步，我局将深入实施政府信息公开条例，进一步转变思想观念，不断提高信息公开意识和服务意识，进一步强化责任落实，加强检查督促，严格执行信息公开程序，确保政府信息及时、准确、全面地公开。</w:t>
      </w:r>
    </w:p>
    <w:p>
      <w:pPr>
        <w:pStyle w:val="6"/>
        <w:shd w:val="clear" w:color="auto" w:fill="FFFFFF"/>
        <w:spacing w:before="0" w:beforeAutospacing="0" w:after="0" w:afterAutospacing="0" w:line="560" w:lineRule="exact"/>
        <w:ind w:firstLine="640" w:firstLineChars="200"/>
        <w:rPr>
          <w:rFonts w:ascii="黑体" w:hAnsi="黑体" w:eastAsia="黑体"/>
          <w:color w:val="000000" w:themeColor="text1"/>
          <w:sz w:val="32"/>
          <w:szCs w:val="32"/>
        </w:rPr>
      </w:pPr>
      <w:r>
        <w:rPr>
          <w:rFonts w:hint="eastAsia" w:ascii="黑体" w:hAnsi="黑体" w:eastAsia="黑体"/>
          <w:color w:val="000000" w:themeColor="text1"/>
          <w:sz w:val="32"/>
          <w:szCs w:val="32"/>
          <w:lang w:val="en-US" w:eastAsia="zh-CN"/>
        </w:rPr>
        <w:t>三</w:t>
      </w:r>
      <w:r>
        <w:rPr>
          <w:rFonts w:hint="eastAsia" w:ascii="黑体" w:hAnsi="黑体" w:eastAsia="黑体"/>
          <w:color w:val="000000" w:themeColor="text1"/>
          <w:sz w:val="32"/>
          <w:szCs w:val="32"/>
        </w:rPr>
        <w:t>、政务公开重点工作及责任分工完成情况</w:t>
      </w:r>
    </w:p>
    <w:p>
      <w:pPr>
        <w:spacing w:line="560" w:lineRule="exact"/>
        <w:ind w:firstLine="640" w:firstLineChars="200"/>
        <w:rPr>
          <w:rFonts w:hint="eastAsia" w:ascii="仿宋_GB2312" w:eastAsia="仿宋_GB2312"/>
          <w:color w:val="000000" w:themeColor="text1"/>
          <w:sz w:val="32"/>
          <w:szCs w:val="32"/>
          <w:shd w:val="clear" w:color="auto" w:fill="FFFFFF"/>
          <w:lang w:val="en-US" w:eastAsia="zh-CN"/>
        </w:rPr>
      </w:pPr>
      <w:r>
        <w:rPr>
          <w:rFonts w:hint="eastAsia" w:ascii="楷体_GB2312" w:hAnsi="楷体_GB2312" w:eastAsia="楷体_GB2312" w:cs="楷体_GB2312"/>
          <w:color w:val="000000" w:themeColor="text1"/>
          <w:sz w:val="32"/>
          <w:szCs w:val="32"/>
          <w:shd w:val="clear" w:color="auto" w:fill="FFFFFF"/>
          <w:lang w:val="en-US" w:eastAsia="zh-CN"/>
        </w:rPr>
        <w:t>1.加强房地产市场监管信息公开。</w:t>
      </w:r>
      <w:r>
        <w:rPr>
          <w:rFonts w:hint="eastAsia" w:ascii="仿宋_GB2312" w:hAnsi="仿宋_GB2312" w:eastAsia="仿宋_GB2312" w:cs="仿宋_GB2312"/>
          <w:color w:val="000000" w:themeColor="text1"/>
          <w:sz w:val="32"/>
          <w:szCs w:val="32"/>
          <w:shd w:val="clear" w:color="auto" w:fill="FFFFFF"/>
          <w:lang w:val="en-US" w:eastAsia="zh-CN"/>
        </w:rPr>
        <w:t>一是</w:t>
      </w:r>
      <w:r>
        <w:rPr>
          <w:rFonts w:hint="eastAsia" w:ascii="仿宋_GB2312" w:eastAsia="仿宋_GB2312"/>
          <w:color w:val="000000" w:themeColor="text1"/>
          <w:sz w:val="32"/>
          <w:szCs w:val="32"/>
          <w:shd w:val="clear" w:color="auto" w:fill="FFFFFF"/>
          <w:lang w:val="en-US" w:eastAsia="zh-CN"/>
        </w:rPr>
        <w:t>完善建筑市场监管与诚信一体化平台，健全建筑施工安全监管执法信息公示制度，及时公开执法检查、生产安全事故调查处理等相关信息。2017年召开了农民工工资管理情况发布会。二是加大建筑市场不良行为信息和行政处罚信息公开力度。2017年，对8家建设单位、3家施工单位、1名公民的违法行为进行了行政处罚，并根据“双公示”相关要求及时公开。</w:t>
      </w:r>
    </w:p>
    <w:p>
      <w:pPr>
        <w:spacing w:line="560" w:lineRule="exact"/>
        <w:rPr>
          <w:rFonts w:hint="eastAsia" w:ascii="仿宋_GB2312" w:eastAsia="仿宋_GB2312"/>
          <w:color w:val="000000" w:themeColor="text1"/>
          <w:sz w:val="32"/>
          <w:szCs w:val="32"/>
          <w:shd w:val="clear" w:color="auto" w:fill="FFFFFF"/>
          <w:lang w:val="en-US" w:eastAsia="zh-CN"/>
        </w:rPr>
      </w:pPr>
      <w:r>
        <w:rPr>
          <w:color w:val="000000" w:themeColor="text1"/>
        </w:rPr>
        <w:drawing>
          <wp:anchor distT="0" distB="0" distL="114300" distR="114300" simplePos="0" relativeHeight="251663360" behindDoc="0" locked="0" layoutInCell="1" allowOverlap="1">
            <wp:simplePos x="0" y="0"/>
            <wp:positionH relativeFrom="column">
              <wp:posOffset>-228600</wp:posOffset>
            </wp:positionH>
            <wp:positionV relativeFrom="page">
              <wp:posOffset>4956810</wp:posOffset>
            </wp:positionV>
            <wp:extent cx="5932805" cy="4119880"/>
            <wp:effectExtent l="0" t="0" r="10795" b="1397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932805" cy="4119880"/>
                    </a:xfrm>
                    <a:prstGeom prst="rect">
                      <a:avLst/>
                    </a:prstGeom>
                    <a:noFill/>
                    <a:ln w="9525">
                      <a:noFill/>
                    </a:ln>
                  </pic:spPr>
                </pic:pic>
              </a:graphicData>
            </a:graphic>
          </wp:anchor>
        </w:drawing>
      </w:r>
    </w:p>
    <w:p>
      <w:pPr>
        <w:spacing w:line="560" w:lineRule="exact"/>
        <w:ind w:firstLine="640" w:firstLineChars="200"/>
        <w:rPr>
          <w:rFonts w:hint="eastAsia" w:ascii="仿宋_GB2312" w:eastAsia="仿宋_GB2312"/>
          <w:color w:val="000000" w:themeColor="text1"/>
          <w:sz w:val="32"/>
          <w:szCs w:val="32"/>
          <w:shd w:val="clear" w:color="auto" w:fill="FFFFFF"/>
          <w:lang w:val="en-US" w:eastAsia="zh-CN"/>
        </w:rPr>
      </w:pPr>
      <w:r>
        <w:rPr>
          <w:rFonts w:hint="eastAsia" w:ascii="楷体_GB2312" w:hAnsi="楷体_GB2312" w:eastAsia="楷体_GB2312" w:cs="楷体_GB2312"/>
          <w:color w:val="000000" w:themeColor="text1"/>
          <w:sz w:val="32"/>
          <w:szCs w:val="32"/>
          <w:shd w:val="clear" w:color="auto" w:fill="FFFFFF"/>
          <w:lang w:val="en-US" w:eastAsia="zh-CN"/>
        </w:rPr>
        <w:t>2.</w:t>
      </w:r>
      <w:r>
        <w:rPr>
          <w:rFonts w:hint="eastAsia" w:ascii="楷体_GB2312" w:hAnsi="楷体_GB2312" w:eastAsia="楷体_GB2312" w:cs="楷体_GB2312"/>
          <w:color w:val="000000" w:themeColor="text1"/>
          <w:sz w:val="32"/>
          <w:szCs w:val="32"/>
        </w:rPr>
        <w:t>深化棚户区改造及配套基础设施建设相关政策措施执行情况公开工作</w:t>
      </w:r>
      <w:r>
        <w:rPr>
          <w:rFonts w:hint="eastAsia" w:ascii="楷体_GB2312" w:hAnsi="楷体_GB2312" w:eastAsia="楷体_GB2312" w:cs="楷体_GB2312"/>
          <w:color w:val="000000" w:themeColor="text1"/>
          <w:sz w:val="32"/>
          <w:szCs w:val="32"/>
          <w:lang w:eastAsia="zh-CN"/>
        </w:rPr>
        <w:t>。</w:t>
      </w:r>
      <w:r>
        <w:rPr>
          <w:rFonts w:hint="eastAsia" w:ascii="仿宋_GB2312" w:hAnsi="仿宋_GB2312" w:eastAsia="仿宋_GB2312" w:cs="仿宋_GB2312"/>
          <w:color w:val="000000" w:themeColor="text1"/>
          <w:sz w:val="32"/>
          <w:szCs w:val="32"/>
          <w:lang w:val="en-US" w:eastAsia="zh-CN"/>
        </w:rPr>
        <w:t>一是</w:t>
      </w:r>
      <w:r>
        <w:rPr>
          <w:rFonts w:hint="eastAsia" w:ascii="仿宋_GB2312" w:eastAsia="仿宋_GB2312"/>
          <w:color w:val="000000" w:themeColor="text1"/>
          <w:sz w:val="32"/>
          <w:szCs w:val="32"/>
          <w:shd w:val="clear" w:color="auto" w:fill="FFFFFF"/>
          <w:lang w:val="en-US" w:eastAsia="zh-CN"/>
        </w:rPr>
        <w:t>及时公开保障性安居工程任务完成情况，加大保障性住房分配信息公开力度，对公共租赁住房配租结果进行了公示。二是及时公开和解读农村危改相关政策，对全区29户农村危房改造进度进行了公示。</w:t>
      </w:r>
    </w:p>
    <w:p>
      <w:pPr>
        <w:spacing w:line="560" w:lineRule="exact"/>
        <w:ind w:firstLine="640" w:firstLineChars="200"/>
        <w:rPr>
          <w:rFonts w:hint="eastAsia" w:ascii="仿宋_GB2312" w:hAnsi="仿宋_GB2312" w:eastAsia="仿宋_GB2312" w:cs="仿宋_GB2312"/>
          <w:color w:val="000000" w:themeColor="text1"/>
          <w:sz w:val="32"/>
          <w:szCs w:val="32"/>
          <w:shd w:val="clear" w:color="auto" w:fill="FFFFFF"/>
          <w:lang w:val="en-US" w:eastAsia="zh-CN"/>
        </w:rPr>
      </w:pPr>
      <w:r>
        <w:rPr>
          <w:rFonts w:hint="eastAsia" w:ascii="仿宋_GB2312" w:hAnsi="仿宋_GB2312" w:eastAsia="仿宋_GB2312" w:cs="仿宋_GB2312"/>
          <w:color w:val="000000" w:themeColor="text1"/>
          <w:sz w:val="32"/>
          <w:szCs w:val="32"/>
          <w:shd w:val="clear" w:color="auto" w:fill="FFFFFF"/>
          <w:lang w:val="en-US" w:eastAsia="zh-CN"/>
        </w:rPr>
        <w:t>3.加强建议提案办理结果公开。2017年，环翠区住建局共办理建议提案14件。其中环翠区十八届人大第一次会议建议提案7件，环翠区政协十四届一次会议建议提案7件。</w:t>
      </w:r>
    </w:p>
    <w:p>
      <w:pPr>
        <w:spacing w:line="560" w:lineRule="exact"/>
        <w:ind w:firstLine="640" w:firstLineChars="200"/>
        <w:rPr>
          <w:rFonts w:hint="eastAsia" w:ascii="仿宋_GB2312" w:eastAsia="仿宋_GB2312"/>
          <w:color w:val="000000" w:themeColor="text1"/>
          <w:sz w:val="32"/>
          <w:szCs w:val="32"/>
          <w:shd w:val="clear" w:color="auto" w:fill="FFFFFF"/>
          <w:lang w:val="en-US" w:eastAsia="zh-CN"/>
        </w:rPr>
      </w:pPr>
    </w:p>
    <w:p>
      <w:pPr>
        <w:spacing w:line="560" w:lineRule="exact"/>
        <w:ind w:firstLine="640" w:firstLineChars="200"/>
        <w:rPr>
          <w:rFonts w:hint="eastAsia" w:ascii="仿宋_GB2312" w:eastAsia="仿宋_GB2312"/>
          <w:color w:val="000000" w:themeColor="text1"/>
          <w:sz w:val="32"/>
          <w:szCs w:val="32"/>
          <w:shd w:val="clear" w:color="auto" w:fill="FFFFFF"/>
        </w:rPr>
      </w:pPr>
      <w:r>
        <w:rPr>
          <w:rFonts w:hint="eastAsia" w:ascii="Times New Roman" w:hAnsi="仿宋_GB2312" w:eastAsia="仿宋_GB2312"/>
          <w:color w:val="000000" w:themeColor="text1"/>
          <w:sz w:val="32"/>
          <w:szCs w:val="32"/>
        </w:rPr>
        <w:t>附件：</w:t>
      </w:r>
      <w:r>
        <w:rPr>
          <w:rFonts w:hint="eastAsia" w:ascii="Times New Roman" w:hAnsi="Times New Roman" w:eastAsia="仿宋_GB2312"/>
          <w:color w:val="000000" w:themeColor="text1"/>
          <w:kern w:val="0"/>
          <w:sz w:val="32"/>
          <w:szCs w:val="32"/>
          <w:lang w:bidi="ar"/>
        </w:rPr>
        <w:t>2017</w:t>
      </w:r>
      <w:r>
        <w:rPr>
          <w:rFonts w:hint="eastAsia" w:ascii="Times New Roman" w:hAnsi="仿宋_GB2312" w:eastAsia="仿宋_GB2312"/>
          <w:color w:val="000000" w:themeColor="text1"/>
          <w:sz w:val="32"/>
          <w:szCs w:val="32"/>
        </w:rPr>
        <w:t>年度政府信息公开工作情况统计表</w:t>
      </w:r>
    </w:p>
    <w:p>
      <w:pPr>
        <w:spacing w:line="560" w:lineRule="exact"/>
        <w:ind w:firstLine="800" w:firstLineChars="250"/>
        <w:rPr>
          <w:rFonts w:hint="eastAsia" w:ascii="仿宋_GB2312" w:eastAsia="仿宋_GB2312"/>
          <w:color w:val="000000" w:themeColor="text1"/>
          <w:sz w:val="32"/>
          <w:szCs w:val="32"/>
        </w:rPr>
      </w:pPr>
    </w:p>
    <w:p>
      <w:pPr>
        <w:spacing w:line="560" w:lineRule="exact"/>
        <w:ind w:firstLine="800" w:firstLineChars="250"/>
        <w:rPr>
          <w:rFonts w:hint="eastAsia" w:ascii="仿宋_GB2312" w:eastAsia="仿宋_GB2312"/>
          <w:color w:val="000000" w:themeColor="text1"/>
          <w:sz w:val="32"/>
          <w:szCs w:val="32"/>
        </w:rPr>
      </w:pPr>
    </w:p>
    <w:p>
      <w:pPr>
        <w:spacing w:line="560" w:lineRule="exact"/>
        <w:ind w:firstLine="3360" w:firstLineChars="1050"/>
        <w:rPr>
          <w:rFonts w:hint="eastAsia" w:ascii="仿宋_GB2312" w:eastAsia="仿宋_GB2312"/>
          <w:color w:val="000000" w:themeColor="text1"/>
          <w:sz w:val="32"/>
          <w:szCs w:val="32"/>
        </w:rPr>
      </w:pPr>
      <w:r>
        <w:rPr>
          <w:rFonts w:hint="eastAsia" w:ascii="仿宋_GB2312" w:eastAsia="仿宋_GB2312"/>
          <w:color w:val="000000" w:themeColor="text1"/>
          <w:sz w:val="32"/>
          <w:szCs w:val="32"/>
        </w:rPr>
        <w:t>威海市环翠区住房和城乡建设局</w:t>
      </w:r>
    </w:p>
    <w:p>
      <w:pPr>
        <w:spacing w:line="560" w:lineRule="exact"/>
        <w:ind w:firstLine="4480" w:firstLineChars="1400"/>
        <w:rPr>
          <w:rFonts w:hint="eastAsia" w:ascii="仿宋_GB2312" w:eastAsia="仿宋_GB2312"/>
          <w:color w:val="000000" w:themeColor="text1"/>
          <w:sz w:val="32"/>
          <w:szCs w:val="32"/>
        </w:rPr>
      </w:pPr>
      <w:r>
        <w:rPr>
          <w:rFonts w:hint="eastAsia" w:ascii="仿宋_GB2312" w:eastAsia="仿宋_GB2312"/>
          <w:color w:val="000000" w:themeColor="text1"/>
          <w:sz w:val="32"/>
          <w:szCs w:val="32"/>
        </w:rPr>
        <w:t>201</w:t>
      </w:r>
      <w:r>
        <w:rPr>
          <w:rFonts w:hint="eastAsia" w:ascii="仿宋_GB2312" w:eastAsia="仿宋_GB2312"/>
          <w:color w:val="000000" w:themeColor="text1"/>
          <w:sz w:val="32"/>
          <w:szCs w:val="32"/>
          <w:lang w:val="en-US" w:eastAsia="zh-CN"/>
        </w:rPr>
        <w:t>8</w:t>
      </w:r>
      <w:r>
        <w:rPr>
          <w:rFonts w:hint="eastAsia" w:ascii="仿宋_GB2312" w:eastAsia="仿宋_GB2312"/>
          <w:color w:val="000000" w:themeColor="text1"/>
          <w:sz w:val="32"/>
          <w:szCs w:val="32"/>
        </w:rPr>
        <w:t>年3月1</w:t>
      </w:r>
      <w:r>
        <w:rPr>
          <w:rFonts w:hint="eastAsia" w:ascii="仿宋_GB2312" w:eastAsia="仿宋_GB2312"/>
          <w:color w:val="000000" w:themeColor="text1"/>
          <w:sz w:val="32"/>
          <w:szCs w:val="32"/>
          <w:lang w:val="en-US" w:eastAsia="zh-CN"/>
        </w:rPr>
        <w:t>5</w:t>
      </w:r>
      <w:r>
        <w:rPr>
          <w:rFonts w:hint="eastAsia" w:ascii="仿宋_GB2312" w:eastAsia="仿宋_GB2312"/>
          <w:color w:val="000000" w:themeColor="text1"/>
          <w:sz w:val="32"/>
          <w:szCs w:val="32"/>
        </w:rPr>
        <w:t>日</w:t>
      </w:r>
    </w:p>
    <w:p>
      <w:pPr>
        <w:spacing w:line="600" w:lineRule="exact"/>
        <w:jc w:val="left"/>
        <w:rPr>
          <w:rFonts w:ascii="Times New Roman" w:hAnsi="Times New Roman" w:eastAsia="方正小标宋简体"/>
          <w:color w:val="000000" w:themeColor="text1"/>
          <w:sz w:val="44"/>
          <w:szCs w:val="44"/>
        </w:rPr>
      </w:pPr>
      <w:r>
        <w:rPr>
          <w:rFonts w:hint="eastAsia" w:ascii="仿宋_GB2312" w:eastAsia="仿宋_GB2312"/>
          <w:color w:val="000000" w:themeColor="text1"/>
          <w:sz w:val="32"/>
          <w:szCs w:val="32"/>
          <w:lang w:val="en-US" w:eastAsia="zh-CN"/>
        </w:rPr>
        <w:t>附</w:t>
      </w:r>
      <w:r>
        <w:rPr>
          <w:rFonts w:hint="eastAsia" w:ascii="仿宋_GB2312" w:eastAsia="仿宋_GB2312"/>
          <w:color w:val="000000" w:themeColor="text1"/>
          <w:sz w:val="32"/>
          <w:szCs w:val="32"/>
        </w:rPr>
        <w:t>件：</w:t>
      </w:r>
    </w:p>
    <w:p>
      <w:pPr>
        <w:spacing w:line="600" w:lineRule="exact"/>
        <w:jc w:val="center"/>
        <w:rPr>
          <w:rFonts w:ascii="Times New Roman" w:hAnsi="Times New Roman" w:eastAsia="方正小标宋简体"/>
          <w:color w:val="000000" w:themeColor="text1"/>
          <w:sz w:val="44"/>
          <w:szCs w:val="44"/>
        </w:rPr>
      </w:pPr>
      <w:r>
        <w:rPr>
          <w:rFonts w:hint="eastAsia" w:ascii="Times New Roman" w:hAnsi="Times New Roman" w:eastAsia="方正小标宋简体"/>
          <w:color w:val="000000" w:themeColor="text1"/>
          <w:sz w:val="44"/>
          <w:szCs w:val="44"/>
        </w:rPr>
        <w:t>政府信息公开工作情况统计表</w:t>
      </w:r>
    </w:p>
    <w:p>
      <w:pPr>
        <w:jc w:val="center"/>
        <w:rPr>
          <w:rFonts w:ascii="Times New Roman" w:hAnsi="Times New Roman" w:eastAsia="楷体_GB2312"/>
          <w:color w:val="000000" w:themeColor="text1"/>
          <w:sz w:val="28"/>
          <w:szCs w:val="28"/>
        </w:rPr>
      </w:pPr>
      <w:r>
        <w:rPr>
          <w:rFonts w:hint="eastAsia" w:ascii="Times New Roman" w:hAnsi="Times New Roman" w:eastAsia="楷体_GB2312"/>
          <w:color w:val="000000" w:themeColor="text1"/>
          <w:sz w:val="28"/>
          <w:szCs w:val="28"/>
        </w:rPr>
        <w:t>（201</w:t>
      </w:r>
      <w:r>
        <w:rPr>
          <w:rFonts w:hint="eastAsia" w:ascii="Times New Roman" w:hAnsi="Times New Roman" w:eastAsia="楷体_GB2312"/>
          <w:color w:val="000000" w:themeColor="text1"/>
          <w:sz w:val="28"/>
          <w:szCs w:val="28"/>
          <w:lang w:val="en-US" w:eastAsia="zh-CN"/>
        </w:rPr>
        <w:t>7</w:t>
      </w:r>
      <w:r>
        <w:rPr>
          <w:rFonts w:hint="eastAsia" w:ascii="Times New Roman" w:hAnsi="Times New Roman" w:eastAsia="楷体_GB2312"/>
          <w:color w:val="000000" w:themeColor="text1"/>
          <w:sz w:val="28"/>
          <w:szCs w:val="28"/>
        </w:rPr>
        <w:t>年度）</w:t>
      </w:r>
    </w:p>
    <w:p>
      <w:pPr>
        <w:ind w:firstLine="420" w:firstLineChars="150"/>
        <w:jc w:val="left"/>
        <w:rPr>
          <w:rFonts w:ascii="宋体" w:hAnsi="宋体"/>
          <w:color w:val="000000" w:themeColor="text1"/>
          <w:sz w:val="28"/>
          <w:szCs w:val="28"/>
        </w:rPr>
      </w:pPr>
      <w:r>
        <w:rPr>
          <w:rFonts w:hint="eastAsia" w:ascii="宋体" w:hAnsi="宋体"/>
          <w:color w:val="000000" w:themeColor="text1"/>
          <w:sz w:val="28"/>
          <w:szCs w:val="28"/>
        </w:rPr>
        <w:t>单位名称：</w:t>
      </w:r>
    </w:p>
    <w:tbl>
      <w:tblPr>
        <w:tblStyle w:val="8"/>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16"/>
        <w:gridCol w:w="1023"/>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jc w:val="center"/>
        </w:trPr>
        <w:tc>
          <w:tcPr>
            <w:tcW w:w="6416" w:type="dxa"/>
            <w:vAlign w:val="center"/>
          </w:tcPr>
          <w:p>
            <w:pPr>
              <w:widowControl/>
              <w:spacing w:line="300" w:lineRule="exact"/>
              <w:ind w:firstLine="685"/>
              <w:jc w:val="center"/>
              <w:rPr>
                <w:rFonts w:ascii="Times New Roman" w:hAnsi="Times New Roman" w:eastAsia="黑体"/>
                <w:color w:val="000000" w:themeColor="text1"/>
                <w:kern w:val="0"/>
                <w:sz w:val="24"/>
              </w:rPr>
            </w:pPr>
            <w:r>
              <w:rPr>
                <w:rFonts w:hint="eastAsia" w:ascii="Times New Roman" w:hAnsi="Times New Roman" w:eastAsia="黑体"/>
                <w:color w:val="000000" w:themeColor="text1"/>
                <w:kern w:val="0"/>
                <w:sz w:val="24"/>
              </w:rPr>
              <w:t>统　计　指　标</w:t>
            </w:r>
          </w:p>
        </w:tc>
        <w:tc>
          <w:tcPr>
            <w:tcW w:w="1023" w:type="dxa"/>
            <w:vAlign w:val="center"/>
          </w:tcPr>
          <w:p>
            <w:pPr>
              <w:spacing w:line="300" w:lineRule="exact"/>
              <w:jc w:val="center"/>
              <w:rPr>
                <w:rFonts w:ascii="Times New Roman" w:hAnsi="Times New Roman" w:eastAsia="黑体"/>
                <w:color w:val="000000" w:themeColor="text1"/>
                <w:sz w:val="24"/>
              </w:rPr>
            </w:pPr>
            <w:r>
              <w:rPr>
                <w:rFonts w:hint="eastAsia" w:ascii="Times New Roman" w:hAnsi="Times New Roman" w:eastAsia="黑体"/>
                <w:color w:val="000000" w:themeColor="text1"/>
                <w:sz w:val="24"/>
              </w:rPr>
              <w:t>单位</w:t>
            </w:r>
          </w:p>
        </w:tc>
        <w:tc>
          <w:tcPr>
            <w:tcW w:w="910" w:type="dxa"/>
            <w:vAlign w:val="center"/>
          </w:tcPr>
          <w:p>
            <w:pPr>
              <w:spacing w:line="300" w:lineRule="exact"/>
              <w:jc w:val="center"/>
              <w:rPr>
                <w:rFonts w:ascii="Times New Roman" w:hAnsi="Times New Roman" w:eastAsia="黑体"/>
                <w:color w:val="000000" w:themeColor="text1"/>
                <w:sz w:val="24"/>
              </w:rPr>
            </w:pPr>
            <w:r>
              <w:rPr>
                <w:rFonts w:hint="eastAsia" w:ascii="Times New Roman" w:hAnsi="Times New Roman" w:eastAsia="黑体"/>
                <w:color w:val="000000" w:themeColor="text1"/>
                <w:sz w:val="24"/>
              </w:rPr>
              <w:t>统计数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一、主动公开情况</w:t>
            </w:r>
          </w:p>
        </w:tc>
        <w:tc>
          <w:tcPr>
            <w:tcW w:w="1023" w:type="dxa"/>
            <w:vAlign w:val="center"/>
          </w:tcPr>
          <w:p>
            <w:pPr>
              <w:spacing w:line="300" w:lineRule="exact"/>
              <w:jc w:val="center"/>
              <w:rPr>
                <w:rFonts w:ascii="Times New Roman" w:hAnsi="Times New Roman"/>
                <w:color w:val="000000" w:themeColor="text1"/>
                <w:sz w:val="20"/>
                <w:szCs w:val="20"/>
              </w:rPr>
            </w:pPr>
          </w:p>
        </w:tc>
        <w:tc>
          <w:tcPr>
            <w:tcW w:w="910" w:type="dxa"/>
            <w:vAlign w:val="center"/>
          </w:tcPr>
          <w:p>
            <w:pPr>
              <w:spacing w:line="300" w:lineRule="exact"/>
              <w:jc w:val="center"/>
              <w:rPr>
                <w:rFonts w:ascii="Times New Roman" w:hAnsi="Times New Roman" w:eastAsia="仿宋"/>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（一）主动公开政府信息数（不同渠道和方式公开相同信息计1条）</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条</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其中：主动公开规范性文件数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条</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制发规范性文件总数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（二）通过不同渠道和方式公开政府信息的情况</w:t>
            </w:r>
          </w:p>
        </w:tc>
        <w:tc>
          <w:tcPr>
            <w:tcW w:w="1023" w:type="dxa"/>
            <w:vAlign w:val="center"/>
          </w:tcPr>
          <w:p>
            <w:pPr>
              <w:spacing w:line="300" w:lineRule="exact"/>
              <w:jc w:val="center"/>
              <w:rPr>
                <w:rFonts w:ascii="Times New Roman" w:hAnsi="Times New Roman"/>
                <w:color w:val="000000" w:themeColor="text1"/>
                <w:sz w:val="20"/>
                <w:szCs w:val="20"/>
              </w:rPr>
            </w:pP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1.政府公报公开政府信息数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条</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2.政府网站公开政府信息数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条</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3.政务微博公开政府信息数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条</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4.政务微信公开政府信息数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条</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5.其他方式公开政府信息数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条</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二、回应解读情况（不同方式回应同一热点或舆情计1次）</w:t>
            </w:r>
          </w:p>
        </w:tc>
        <w:tc>
          <w:tcPr>
            <w:tcW w:w="1023" w:type="dxa"/>
            <w:vAlign w:val="center"/>
          </w:tcPr>
          <w:p>
            <w:pPr>
              <w:spacing w:line="300" w:lineRule="exact"/>
              <w:jc w:val="center"/>
              <w:rPr>
                <w:rFonts w:ascii="Times New Roman" w:hAnsi="Times New Roman"/>
                <w:color w:val="000000" w:themeColor="text1"/>
                <w:sz w:val="20"/>
                <w:szCs w:val="20"/>
              </w:rPr>
            </w:pP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widowControl/>
              <w:spacing w:line="300" w:lineRule="exact"/>
              <w:ind w:firstLine="400" w:firstLineChars="200"/>
              <w:jc w:val="left"/>
              <w:rPr>
                <w:rFonts w:ascii="Times New Roman" w:hAnsi="Times New Roman"/>
                <w:color w:val="000000" w:themeColor="text1"/>
                <w:sz w:val="20"/>
                <w:szCs w:val="20"/>
              </w:rPr>
            </w:pPr>
            <w:r>
              <w:rPr>
                <w:rFonts w:hint="eastAsia" w:ascii="Times New Roman" w:hAnsi="Times New Roman"/>
                <w:color w:val="000000" w:themeColor="text1"/>
                <w:sz w:val="20"/>
                <w:szCs w:val="20"/>
              </w:rPr>
              <w:t>（一）回应公众关注热点或重大舆情数（不同方式回应同一热点或舆情计1次）</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（二）通过不同渠道和方式回应解读的情况</w:t>
            </w:r>
          </w:p>
        </w:tc>
        <w:tc>
          <w:tcPr>
            <w:tcW w:w="1023" w:type="dxa"/>
            <w:vAlign w:val="center"/>
          </w:tcPr>
          <w:p>
            <w:pPr>
              <w:spacing w:line="300" w:lineRule="exact"/>
              <w:jc w:val="center"/>
              <w:rPr>
                <w:rFonts w:ascii="Times New Roman" w:hAnsi="Times New Roman"/>
                <w:color w:val="000000" w:themeColor="text1"/>
                <w:sz w:val="20"/>
                <w:szCs w:val="20"/>
              </w:rPr>
            </w:pP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1.参加或举办新闻发布会总次数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其中：主要负责同志参加新闻发布会次数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2.政府网站在线访谈次数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其中：主要负责同志参加政府网站在线访谈次数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3.政策解读稿件发布数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篇</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4.微博微信回应事件数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5.其他方式回应事件数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三、依申请公开情况</w:t>
            </w:r>
          </w:p>
        </w:tc>
        <w:tc>
          <w:tcPr>
            <w:tcW w:w="1023" w:type="dxa"/>
            <w:vAlign w:val="center"/>
          </w:tcPr>
          <w:p>
            <w:pPr>
              <w:spacing w:line="300" w:lineRule="exact"/>
              <w:jc w:val="center"/>
              <w:rPr>
                <w:rFonts w:ascii="Times New Roman" w:hAnsi="Times New Roman"/>
                <w:color w:val="000000" w:themeColor="text1"/>
                <w:sz w:val="20"/>
                <w:szCs w:val="20"/>
              </w:rPr>
            </w:pP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（一）收到申请数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1.当面申请数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2.传真申请数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3.网络申请数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4.信函申请数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0"/>
                <w:szCs w:val="20"/>
              </w:rPr>
            </w:pPr>
            <w:r>
              <w:rPr>
                <w:rFonts w:hint="eastAsia" w:ascii="Times New Roman" w:hAnsi="Times New Roman"/>
                <w:color w:val="000000" w:themeColor="text1"/>
                <w:sz w:val="20"/>
                <w:szCs w:val="20"/>
              </w:rPr>
              <w:t>　　　　　5.其他形式</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（二）申请办结数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1.按时办结数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2.延期办结数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（三）申请答复数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1.属于已主动公开范围数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2.同意公开答复数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3.同意部分公开答复数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4.不同意公开答复数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其中：涉及国家秘密</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涉及商业秘密</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涉及个人隐私</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危及国家安全、公共安全、经济安全和社会稳定</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不是《条例》所指政府信息</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法律法规规定的其他情形</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5.不属于本行政机关公开数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6.申请信息不存在数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7.告知作出更改补充数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8.告知通过其他途径办理数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四、行政复议数量</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（一）维持具体行政行为数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（二）被依法纠错数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（三）其他情形数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五、行政诉讼数量</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（一）维持具体行政行为或者驳回原告诉讼请求数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（二）被依法纠错数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（三）其他情形数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六、被举报投诉数量</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olor w:val="000000" w:themeColor="text1"/>
                <w:sz w:val="20"/>
                <w:szCs w:val="20"/>
              </w:rPr>
            </w:pPr>
            <w:r>
              <w:rPr>
                <w:rFonts w:hint="eastAsia" w:ascii="Times New Roman" w:hAnsi="Times New Roman"/>
                <w:color w:val="000000" w:themeColor="text1"/>
                <w:sz w:val="20"/>
                <w:szCs w:val="20"/>
              </w:rPr>
              <w:t>　　（一）维持具体行政行为数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olor w:val="000000" w:themeColor="text1"/>
                <w:sz w:val="20"/>
                <w:szCs w:val="20"/>
              </w:rPr>
            </w:pPr>
            <w:r>
              <w:rPr>
                <w:rFonts w:hint="eastAsia" w:ascii="Times New Roman" w:hAnsi="Times New Roman"/>
                <w:color w:val="000000" w:themeColor="text1"/>
                <w:sz w:val="20"/>
                <w:szCs w:val="20"/>
              </w:rPr>
              <w:t>　　（二）被纠错数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olor w:val="000000" w:themeColor="text1"/>
                <w:sz w:val="20"/>
                <w:szCs w:val="20"/>
              </w:rPr>
            </w:pPr>
            <w:r>
              <w:rPr>
                <w:rFonts w:hint="eastAsia" w:ascii="Times New Roman" w:hAnsi="Times New Roman"/>
                <w:color w:val="000000" w:themeColor="text1"/>
                <w:sz w:val="20"/>
                <w:szCs w:val="20"/>
              </w:rPr>
              <w:t>　　（三）其他情形数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件</w:t>
            </w:r>
          </w:p>
        </w:tc>
        <w:tc>
          <w:tcPr>
            <w:tcW w:w="910" w:type="dxa"/>
            <w:vAlign w:val="center"/>
          </w:tcPr>
          <w:p>
            <w:pPr>
              <w:spacing w:line="300" w:lineRule="exact"/>
              <w:jc w:val="center"/>
              <w:rPr>
                <w:rFonts w:ascii="Times New Roman" w:hAnsi="Times New Roman" w:eastAsia="仿宋"/>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七、向图书馆、档案馆等查阅场所报送信息数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条</w:t>
            </w: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olor w:val="000000" w:themeColor="text1"/>
                <w:sz w:val="20"/>
                <w:szCs w:val="20"/>
              </w:rPr>
            </w:pPr>
            <w:r>
              <w:rPr>
                <w:rFonts w:hint="eastAsia" w:ascii="Times New Roman" w:hAnsi="Times New Roman"/>
                <w:color w:val="000000" w:themeColor="text1"/>
                <w:sz w:val="20"/>
                <w:szCs w:val="20"/>
              </w:rPr>
              <w:t>　　（一）纸质文件数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条</w:t>
            </w:r>
          </w:p>
        </w:tc>
        <w:tc>
          <w:tcPr>
            <w:tcW w:w="910" w:type="dxa"/>
            <w:vAlign w:val="center"/>
          </w:tcPr>
          <w:p>
            <w:pPr>
              <w:spacing w:line="300" w:lineRule="exact"/>
              <w:jc w:val="center"/>
              <w:rPr>
                <w:rFonts w:ascii="Times New Roman" w:hAnsi="Times New Roman" w:eastAsia="仿宋"/>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olor w:val="000000" w:themeColor="text1"/>
                <w:sz w:val="20"/>
                <w:szCs w:val="20"/>
              </w:rPr>
            </w:pPr>
            <w:r>
              <w:rPr>
                <w:rFonts w:hint="eastAsia" w:ascii="Times New Roman" w:hAnsi="Times New Roman"/>
                <w:color w:val="000000" w:themeColor="text1"/>
                <w:sz w:val="20"/>
                <w:szCs w:val="20"/>
              </w:rPr>
              <w:t>　　（二）电子文件数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条</w:t>
            </w:r>
          </w:p>
        </w:tc>
        <w:tc>
          <w:tcPr>
            <w:tcW w:w="910" w:type="dxa"/>
            <w:vAlign w:val="center"/>
          </w:tcPr>
          <w:p>
            <w:pPr>
              <w:spacing w:line="300" w:lineRule="exact"/>
              <w:jc w:val="center"/>
              <w:rPr>
                <w:rFonts w:ascii="Times New Roman" w:hAnsi="Times New Roman" w:eastAsia="仿宋"/>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八、开通政府信息公开网站（或设立门户网站信息公开专栏）数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个</w:t>
            </w:r>
          </w:p>
        </w:tc>
        <w:tc>
          <w:tcPr>
            <w:tcW w:w="910" w:type="dxa"/>
            <w:vAlign w:val="center"/>
          </w:tcPr>
          <w:p>
            <w:pPr>
              <w:spacing w:line="300" w:lineRule="exact"/>
              <w:jc w:val="center"/>
              <w:rPr>
                <w:rFonts w:hint="eastAsia" w:ascii="Times New Roman" w:hAnsi="Times New Roman" w:eastAsia="黑体"/>
                <w:color w:val="000000" w:themeColor="text1"/>
                <w:lang w:val="en-US" w:eastAsia="zh-CN"/>
              </w:rPr>
            </w:pPr>
            <w:r>
              <w:rPr>
                <w:rFonts w:hint="eastAsia" w:ascii="Times New Roman" w:hAnsi="Times New Roman" w:eastAsia="黑体"/>
                <w:color w:val="000000" w:themeColor="text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olor w:val="000000" w:themeColor="text1"/>
                <w:sz w:val="20"/>
                <w:szCs w:val="20"/>
              </w:rPr>
            </w:pPr>
            <w:r>
              <w:rPr>
                <w:rFonts w:hint="eastAsia" w:ascii="Times New Roman" w:hAnsi="Times New Roman"/>
                <w:color w:val="000000" w:themeColor="text1"/>
                <w:sz w:val="20"/>
                <w:szCs w:val="20"/>
              </w:rPr>
              <w:t>　　（一）市政府及其部门门户网站</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个</w:t>
            </w:r>
          </w:p>
        </w:tc>
        <w:tc>
          <w:tcPr>
            <w:tcW w:w="910" w:type="dxa"/>
            <w:vAlign w:val="center"/>
          </w:tcPr>
          <w:p>
            <w:pPr>
              <w:spacing w:line="300" w:lineRule="exact"/>
              <w:jc w:val="center"/>
              <w:rPr>
                <w:rFonts w:ascii="Times New Roman" w:hAnsi="Times New Roman" w:eastAsia="黑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（二）县（市、区）政府门户网站</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个</w:t>
            </w:r>
          </w:p>
        </w:tc>
        <w:tc>
          <w:tcPr>
            <w:tcW w:w="910" w:type="dxa"/>
            <w:vAlign w:val="center"/>
          </w:tcPr>
          <w:p>
            <w:pPr>
              <w:spacing w:line="300" w:lineRule="exact"/>
              <w:jc w:val="center"/>
              <w:rPr>
                <w:rFonts w:hint="eastAsia" w:ascii="Times New Roman" w:hAnsi="Times New Roman" w:eastAsia="黑体"/>
                <w:color w:val="000000" w:themeColor="text1"/>
                <w:sz w:val="20"/>
                <w:szCs w:val="20"/>
                <w:lang w:val="en-US" w:eastAsia="zh-CN"/>
              </w:rPr>
            </w:pPr>
            <w:r>
              <w:rPr>
                <w:rFonts w:hint="eastAsia" w:ascii="Times New Roman" w:hAnsi="Times New Roman" w:eastAsia="黑体"/>
                <w:color w:val="000000" w:themeColor="text1"/>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（三）乡镇政府（街道办事处）门户网站</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个</w:t>
            </w:r>
          </w:p>
        </w:tc>
        <w:tc>
          <w:tcPr>
            <w:tcW w:w="910" w:type="dxa"/>
            <w:vAlign w:val="center"/>
          </w:tcPr>
          <w:p>
            <w:pPr>
              <w:spacing w:line="300" w:lineRule="exact"/>
              <w:jc w:val="center"/>
              <w:rPr>
                <w:rFonts w:ascii="Times New Roman" w:hAnsi="Times New Roman" w:eastAsia="黑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九、政府公报发行量</w:t>
            </w:r>
          </w:p>
        </w:tc>
        <w:tc>
          <w:tcPr>
            <w:tcW w:w="1023" w:type="dxa"/>
            <w:vAlign w:val="center"/>
          </w:tcPr>
          <w:p>
            <w:pPr>
              <w:spacing w:line="300" w:lineRule="exact"/>
              <w:jc w:val="center"/>
              <w:rPr>
                <w:rFonts w:ascii="Times New Roman" w:hAnsi="Times New Roman"/>
                <w:color w:val="000000" w:themeColor="text1"/>
                <w:sz w:val="20"/>
                <w:szCs w:val="20"/>
              </w:rPr>
            </w:pP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（一）公报发行期数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期</w:t>
            </w:r>
          </w:p>
        </w:tc>
        <w:tc>
          <w:tcPr>
            <w:tcW w:w="910" w:type="dxa"/>
            <w:vAlign w:val="center"/>
          </w:tcPr>
          <w:p>
            <w:pPr>
              <w:spacing w:line="300" w:lineRule="exact"/>
              <w:jc w:val="center"/>
              <w:rPr>
                <w:rFonts w:ascii="Times New Roman" w:hAnsi="Times New Roman" w:eastAsia="黑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（二）公报发行总份数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份</w:t>
            </w:r>
          </w:p>
        </w:tc>
        <w:tc>
          <w:tcPr>
            <w:tcW w:w="910" w:type="dxa"/>
            <w:vAlign w:val="center"/>
          </w:tcPr>
          <w:p>
            <w:pPr>
              <w:spacing w:line="300" w:lineRule="exact"/>
              <w:jc w:val="center"/>
              <w:rPr>
                <w:rFonts w:ascii="Times New Roman" w:hAnsi="Times New Roman" w:eastAsia="黑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十、设置政府信息查阅点数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个</w:t>
            </w: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（一）市政府及其部门</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个</w:t>
            </w:r>
          </w:p>
        </w:tc>
        <w:tc>
          <w:tcPr>
            <w:tcW w:w="910" w:type="dxa"/>
            <w:vAlign w:val="center"/>
          </w:tcPr>
          <w:p>
            <w:pPr>
              <w:spacing w:line="300" w:lineRule="exact"/>
              <w:jc w:val="center"/>
              <w:rPr>
                <w:rFonts w:ascii="Times New Roman" w:hAnsi="Times New Roman" w:eastAsia="黑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（二）县（市、区）政府及其部门</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个</w:t>
            </w:r>
          </w:p>
        </w:tc>
        <w:tc>
          <w:tcPr>
            <w:tcW w:w="910" w:type="dxa"/>
            <w:vAlign w:val="center"/>
          </w:tcPr>
          <w:p>
            <w:pPr>
              <w:spacing w:line="300" w:lineRule="exact"/>
              <w:jc w:val="center"/>
              <w:rPr>
                <w:rFonts w:ascii="Times New Roman" w:hAnsi="Times New Roman" w:eastAsia="黑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（三）乡镇政府（街道办事处）</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个</w:t>
            </w:r>
          </w:p>
        </w:tc>
        <w:tc>
          <w:tcPr>
            <w:tcW w:w="910" w:type="dxa"/>
            <w:vAlign w:val="center"/>
          </w:tcPr>
          <w:p>
            <w:pPr>
              <w:spacing w:line="300" w:lineRule="exact"/>
              <w:jc w:val="center"/>
              <w:rPr>
                <w:rFonts w:ascii="Times New Roman" w:hAnsi="Times New Roman" w:eastAsia="黑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十一、查阅点接待人数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（一）市政府及其部门</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黑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（二）县（市、区）政府及其部门</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黑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（三）乡镇政府（街道办事处）</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黑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十二、依申请公开信息收取的费用</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万元</w:t>
            </w: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十三、机构建设和保障经费情况</w:t>
            </w:r>
          </w:p>
        </w:tc>
        <w:tc>
          <w:tcPr>
            <w:tcW w:w="1023" w:type="dxa"/>
            <w:vAlign w:val="center"/>
          </w:tcPr>
          <w:p>
            <w:pPr>
              <w:spacing w:line="300" w:lineRule="exact"/>
              <w:jc w:val="center"/>
              <w:rPr>
                <w:rFonts w:ascii="Times New Roman" w:hAnsi="Times New Roman"/>
                <w:color w:val="000000" w:themeColor="text1"/>
                <w:sz w:val="20"/>
                <w:szCs w:val="20"/>
              </w:rPr>
            </w:pP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（一）政府信息公开工作专门机构数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个</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（二）从事政府信息公开工作人员数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人</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1.专职人员数（不包括政府公报及政府网站工作人员数）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人</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2.兼职人员数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人</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（三）政府信息公开专项经费（不包括用于政府公报编辑管理及政府网站建设维护等方面的经费）</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万元</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olor w:val="000000" w:themeColor="text1"/>
              </w:rPr>
            </w:pPr>
            <w:r>
              <w:rPr>
                <w:rFonts w:hint="eastAsia" w:ascii="Times New Roman" w:hAnsi="Times New Roman" w:eastAsia="黑体"/>
                <w:color w:val="000000" w:themeColor="text1"/>
              </w:rPr>
              <w:t>十四、政府信息公开会议和培训情况</w:t>
            </w:r>
          </w:p>
        </w:tc>
        <w:tc>
          <w:tcPr>
            <w:tcW w:w="1023" w:type="dxa"/>
            <w:vAlign w:val="center"/>
          </w:tcPr>
          <w:p>
            <w:pPr>
              <w:spacing w:line="300" w:lineRule="exact"/>
              <w:jc w:val="center"/>
              <w:rPr>
                <w:rFonts w:ascii="Times New Roman" w:hAnsi="Times New Roman"/>
                <w:color w:val="000000" w:themeColor="text1"/>
                <w:sz w:val="20"/>
                <w:szCs w:val="20"/>
              </w:rPr>
            </w:pPr>
          </w:p>
        </w:tc>
        <w:tc>
          <w:tcPr>
            <w:tcW w:w="910" w:type="dxa"/>
            <w:vAlign w:val="center"/>
          </w:tcPr>
          <w:p>
            <w:pPr>
              <w:spacing w:line="300" w:lineRule="exact"/>
              <w:jc w:val="center"/>
              <w:rPr>
                <w:rFonts w:ascii="Times New Roman" w:hAnsi="Times New Roman" w:eastAsia="黑体"/>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（一）召开政府信息公开工作会议或专题会议数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（二）举办各类培训班数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次</w:t>
            </w:r>
          </w:p>
        </w:tc>
        <w:tc>
          <w:tcPr>
            <w:tcW w:w="910" w:type="dxa"/>
            <w:vAlign w:val="center"/>
          </w:tcPr>
          <w:p>
            <w:pPr>
              <w:spacing w:line="300" w:lineRule="exact"/>
              <w:jc w:val="center"/>
              <w:rPr>
                <w:rFonts w:ascii="Times New Roman" w:hAnsi="Times New Roman"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olor w:val="000000" w:themeColor="text1"/>
                <w:sz w:val="24"/>
              </w:rPr>
            </w:pPr>
            <w:r>
              <w:rPr>
                <w:rFonts w:hint="eastAsia" w:ascii="Times New Roman" w:hAnsi="Times New Roman"/>
                <w:color w:val="000000" w:themeColor="text1"/>
                <w:sz w:val="20"/>
                <w:szCs w:val="20"/>
              </w:rPr>
              <w:t>　　（三）接受培训人员数</w:t>
            </w:r>
          </w:p>
        </w:tc>
        <w:tc>
          <w:tcPr>
            <w:tcW w:w="1023" w:type="dxa"/>
            <w:vAlign w:val="center"/>
          </w:tcPr>
          <w:p>
            <w:pPr>
              <w:spacing w:line="300" w:lineRule="exact"/>
              <w:jc w:val="center"/>
              <w:rPr>
                <w:rFonts w:ascii="Times New Roman" w:hAnsi="Times New Roman"/>
                <w:color w:val="000000" w:themeColor="text1"/>
                <w:sz w:val="20"/>
                <w:szCs w:val="20"/>
              </w:rPr>
            </w:pPr>
            <w:r>
              <w:rPr>
                <w:rFonts w:hint="eastAsia" w:ascii="Times New Roman" w:hAnsi="Times New Roman"/>
                <w:color w:val="000000" w:themeColor="text1"/>
                <w:sz w:val="20"/>
                <w:szCs w:val="20"/>
              </w:rPr>
              <w:t>人次</w:t>
            </w:r>
          </w:p>
        </w:tc>
        <w:tc>
          <w:tcPr>
            <w:tcW w:w="910" w:type="dxa"/>
            <w:vAlign w:val="center"/>
          </w:tcPr>
          <w:p>
            <w:pPr>
              <w:spacing w:line="300" w:lineRule="exact"/>
              <w:jc w:val="center"/>
              <w:rPr>
                <w:rFonts w:hint="eastAsia" w:ascii="Times New Roman" w:hAnsi="Times New Roman" w:eastAsia="仿宋"/>
                <w:color w:val="000000" w:themeColor="text1"/>
                <w:sz w:val="24"/>
                <w:lang w:val="en-US" w:eastAsia="zh-CN"/>
              </w:rPr>
            </w:pPr>
            <w:r>
              <w:rPr>
                <w:rFonts w:hint="eastAsia" w:ascii="Times New Roman" w:hAnsi="Times New Roman" w:eastAsia="仿宋"/>
                <w:color w:val="000000" w:themeColor="text1"/>
                <w:sz w:val="24"/>
                <w:lang w:val="en-US" w:eastAsia="zh-CN"/>
              </w:rPr>
              <w:t>4</w:t>
            </w:r>
          </w:p>
        </w:tc>
      </w:tr>
    </w:tbl>
    <w:p>
      <w:pPr>
        <w:spacing w:line="300" w:lineRule="exact"/>
        <w:ind w:firstLine="300" w:firstLineChars="150"/>
        <w:rPr>
          <w:rFonts w:ascii="Times New Roman" w:hAnsi="Times New Roman"/>
          <w:color w:val="000000" w:themeColor="text1"/>
          <w:sz w:val="20"/>
          <w:szCs w:val="20"/>
        </w:rPr>
      </w:pPr>
      <w:r>
        <w:rPr>
          <w:rFonts w:hint="eastAsia" w:ascii="Times New Roman" w:hAnsi="Times New Roman"/>
          <w:color w:val="000000" w:themeColor="text1"/>
          <w:sz w:val="20"/>
          <w:szCs w:val="20"/>
        </w:rPr>
        <w:t>（注：各子栏目数总数要等于总栏目数量）</w:t>
      </w:r>
    </w:p>
    <w:p>
      <w:pPr>
        <w:spacing w:line="300" w:lineRule="exact"/>
        <w:rPr>
          <w:rFonts w:ascii="Times New Roman" w:hAnsi="Times New Roman"/>
          <w:color w:val="000000" w:themeColor="text1"/>
          <w:sz w:val="20"/>
          <w:szCs w:val="20"/>
        </w:rPr>
      </w:pPr>
    </w:p>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 xml:space="preserve">单位负责人： </w:t>
      </w:r>
      <w:r>
        <w:rPr>
          <w:rFonts w:hint="eastAsia" w:ascii="Times New Roman" w:hAnsi="Times New Roman"/>
          <w:color w:val="000000" w:themeColor="text1"/>
          <w:sz w:val="20"/>
          <w:szCs w:val="20"/>
          <w:lang w:val="en-US" w:eastAsia="zh-CN"/>
        </w:rPr>
        <w:t>林青松</w:t>
      </w:r>
      <w:r>
        <w:rPr>
          <w:rFonts w:hint="eastAsia" w:ascii="Times New Roman" w:hAnsi="Times New Roman"/>
          <w:color w:val="000000" w:themeColor="text1"/>
          <w:sz w:val="20"/>
          <w:szCs w:val="20"/>
        </w:rPr>
        <w:t xml:space="preserve">             审核人： 杨秀丽            填报人： 张薇薇</w:t>
      </w:r>
    </w:p>
    <w:p>
      <w:pPr>
        <w:spacing w:line="300" w:lineRule="exact"/>
        <w:ind w:firstLine="400" w:firstLineChars="200"/>
        <w:rPr>
          <w:rFonts w:ascii="Times New Roman" w:hAnsi="Times New Roman"/>
          <w:color w:val="000000" w:themeColor="text1"/>
          <w:sz w:val="20"/>
          <w:szCs w:val="20"/>
        </w:rPr>
      </w:pPr>
      <w:r>
        <w:rPr>
          <w:rFonts w:hint="eastAsia" w:ascii="Times New Roman" w:hAnsi="Times New Roman"/>
          <w:color w:val="000000" w:themeColor="text1"/>
          <w:sz w:val="20"/>
          <w:szCs w:val="20"/>
        </w:rPr>
        <w:t>联系电话： 5224110                                      填报日期：201</w:t>
      </w:r>
      <w:r>
        <w:rPr>
          <w:rFonts w:hint="eastAsia" w:ascii="Times New Roman" w:hAnsi="Times New Roman"/>
          <w:color w:val="000000" w:themeColor="text1"/>
          <w:sz w:val="20"/>
          <w:szCs w:val="20"/>
          <w:lang w:val="en-US" w:eastAsia="zh-CN"/>
        </w:rPr>
        <w:t>8</w:t>
      </w:r>
      <w:r>
        <w:rPr>
          <w:rFonts w:hint="eastAsia" w:ascii="Times New Roman" w:hAnsi="Times New Roman"/>
          <w:color w:val="000000" w:themeColor="text1"/>
          <w:sz w:val="20"/>
          <w:szCs w:val="20"/>
        </w:rPr>
        <w:t>.3.1</w:t>
      </w:r>
      <w:r>
        <w:rPr>
          <w:rFonts w:hint="eastAsia" w:ascii="Times New Roman" w:hAnsi="Times New Roman"/>
          <w:color w:val="000000" w:themeColor="text1"/>
          <w:sz w:val="20"/>
          <w:szCs w:val="20"/>
          <w:lang w:val="en-US" w:eastAsia="zh-CN"/>
        </w:rPr>
        <w:t>5</w:t>
      </w:r>
    </w:p>
    <w:p>
      <w:pPr>
        <w:jc w:val="left"/>
        <w:rPr>
          <w:rFonts w:ascii="Times New Roman" w:hAnsi="Times New Roman" w:eastAsia="黑体"/>
          <w:color w:val="000000" w:themeColor="text1"/>
        </w:rPr>
      </w:pPr>
    </w:p>
    <w:p>
      <w:pPr>
        <w:ind w:firstLine="1600" w:firstLineChars="500"/>
        <w:rPr>
          <w:rFonts w:ascii="Times New Roman" w:hAnsi="Times New Roman" w:eastAsia="仿宋_GB2312"/>
          <w:color w:val="000000" w:themeColor="text1"/>
          <w:sz w:val="32"/>
          <w:szCs w:val="32"/>
        </w:rPr>
      </w:pPr>
    </w:p>
    <w:p>
      <w:pPr>
        <w:spacing w:line="560" w:lineRule="exact"/>
        <w:rPr>
          <w:rFonts w:hint="eastAsia" w:ascii="仿宋_GB2312" w:eastAsia="仿宋_GB2312"/>
          <w:color w:val="000000" w:themeColor="text1"/>
          <w:sz w:val="32"/>
          <w:szCs w:val="32"/>
        </w:rPr>
      </w:pPr>
    </w:p>
    <w:sectPr>
      <w:pgSz w:w="11906" w:h="16838"/>
      <w:pgMar w:top="1701" w:right="1417" w:bottom="1417"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文星简小标宋">
    <w:panose1 w:val="02010609000101010101"/>
    <w:charset w:val="86"/>
    <w:family w:val="moder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85020"/>
    <w:rsid w:val="000109C2"/>
    <w:rsid w:val="00071BAD"/>
    <w:rsid w:val="000C6ADE"/>
    <w:rsid w:val="0010239F"/>
    <w:rsid w:val="001B792D"/>
    <w:rsid w:val="00246002"/>
    <w:rsid w:val="002B7F0A"/>
    <w:rsid w:val="002D6667"/>
    <w:rsid w:val="00385020"/>
    <w:rsid w:val="003872A3"/>
    <w:rsid w:val="0039035F"/>
    <w:rsid w:val="003B4954"/>
    <w:rsid w:val="00423EF9"/>
    <w:rsid w:val="004D5315"/>
    <w:rsid w:val="00565C21"/>
    <w:rsid w:val="006B53C4"/>
    <w:rsid w:val="007455F8"/>
    <w:rsid w:val="007F5A74"/>
    <w:rsid w:val="00866D6A"/>
    <w:rsid w:val="008D2ADB"/>
    <w:rsid w:val="00982DB9"/>
    <w:rsid w:val="00A25934"/>
    <w:rsid w:val="00A6237E"/>
    <w:rsid w:val="00AC09BB"/>
    <w:rsid w:val="00AF455B"/>
    <w:rsid w:val="00B204F5"/>
    <w:rsid w:val="00B446E4"/>
    <w:rsid w:val="00B51409"/>
    <w:rsid w:val="00CE0E26"/>
    <w:rsid w:val="00D2680A"/>
    <w:rsid w:val="00D7400B"/>
    <w:rsid w:val="00DC5096"/>
    <w:rsid w:val="00DF49A5"/>
    <w:rsid w:val="00E40FA1"/>
    <w:rsid w:val="00E65D02"/>
    <w:rsid w:val="00F924CE"/>
    <w:rsid w:val="06D4026E"/>
    <w:rsid w:val="07690712"/>
    <w:rsid w:val="09777BA5"/>
    <w:rsid w:val="0A541CEA"/>
    <w:rsid w:val="0A782BDD"/>
    <w:rsid w:val="0D680DC5"/>
    <w:rsid w:val="0E263A04"/>
    <w:rsid w:val="0F6E1387"/>
    <w:rsid w:val="134216ED"/>
    <w:rsid w:val="1685229A"/>
    <w:rsid w:val="1757294C"/>
    <w:rsid w:val="175858ED"/>
    <w:rsid w:val="1885793D"/>
    <w:rsid w:val="188A27C5"/>
    <w:rsid w:val="19EB0718"/>
    <w:rsid w:val="1ADE27CE"/>
    <w:rsid w:val="1BD40E18"/>
    <w:rsid w:val="1C082D80"/>
    <w:rsid w:val="1C711FA2"/>
    <w:rsid w:val="1D432AEA"/>
    <w:rsid w:val="20996ABF"/>
    <w:rsid w:val="20F02B93"/>
    <w:rsid w:val="22D34206"/>
    <w:rsid w:val="23881F32"/>
    <w:rsid w:val="25350B0A"/>
    <w:rsid w:val="2648046A"/>
    <w:rsid w:val="2722659D"/>
    <w:rsid w:val="277435C8"/>
    <w:rsid w:val="282B58D3"/>
    <w:rsid w:val="29406AB6"/>
    <w:rsid w:val="2C263ECC"/>
    <w:rsid w:val="2D8318F6"/>
    <w:rsid w:val="2FDA0792"/>
    <w:rsid w:val="339B55B3"/>
    <w:rsid w:val="355966BA"/>
    <w:rsid w:val="37C062F8"/>
    <w:rsid w:val="37CF33B4"/>
    <w:rsid w:val="38BD1EDD"/>
    <w:rsid w:val="38D51F27"/>
    <w:rsid w:val="39774313"/>
    <w:rsid w:val="3CC53885"/>
    <w:rsid w:val="3CDF3023"/>
    <w:rsid w:val="3DA46B04"/>
    <w:rsid w:val="3ED02966"/>
    <w:rsid w:val="42450104"/>
    <w:rsid w:val="42CC024C"/>
    <w:rsid w:val="46890C4C"/>
    <w:rsid w:val="476B444D"/>
    <w:rsid w:val="48D20395"/>
    <w:rsid w:val="4A96478E"/>
    <w:rsid w:val="4C7C3458"/>
    <w:rsid w:val="4D004A83"/>
    <w:rsid w:val="4E974C1E"/>
    <w:rsid w:val="531B75E5"/>
    <w:rsid w:val="549E223A"/>
    <w:rsid w:val="553628A5"/>
    <w:rsid w:val="57CE7481"/>
    <w:rsid w:val="5932776A"/>
    <w:rsid w:val="599B35C3"/>
    <w:rsid w:val="5BE10B81"/>
    <w:rsid w:val="5BF84A2B"/>
    <w:rsid w:val="5C151DD2"/>
    <w:rsid w:val="5D341C38"/>
    <w:rsid w:val="5F2206D1"/>
    <w:rsid w:val="61115C42"/>
    <w:rsid w:val="61A11A98"/>
    <w:rsid w:val="61D1568C"/>
    <w:rsid w:val="62726639"/>
    <w:rsid w:val="62D702C6"/>
    <w:rsid w:val="6A346F44"/>
    <w:rsid w:val="6B0B6973"/>
    <w:rsid w:val="6C4017F2"/>
    <w:rsid w:val="6CFF0E46"/>
    <w:rsid w:val="6D097F9B"/>
    <w:rsid w:val="6EC548D2"/>
    <w:rsid w:val="6F213F60"/>
    <w:rsid w:val="70B64370"/>
    <w:rsid w:val="731C4B87"/>
    <w:rsid w:val="75A7266F"/>
    <w:rsid w:val="76FD343B"/>
    <w:rsid w:val="781D26A3"/>
    <w:rsid w:val="79980904"/>
    <w:rsid w:val="7A810F29"/>
    <w:rsid w:val="7AED23C9"/>
    <w:rsid w:val="7B6A78FD"/>
    <w:rsid w:val="7D487791"/>
    <w:rsid w:val="7DF71BF4"/>
    <w:rsid w:val="7F9375D8"/>
    <w:rsid w:val="7FA607F1"/>
    <w:rsid w:val="7FFC1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13"/>
    <w:semiHidden/>
    <w:unhideWhenUsed/>
    <w:qFormat/>
    <w:uiPriority w:val="99"/>
    <w:pPr>
      <w:ind w:left="100" w:leftChars="2500"/>
    </w:pPr>
  </w:style>
  <w:style w:type="paragraph" w:styleId="3">
    <w:name w:val="Balloon Text"/>
    <w:basedOn w:val="1"/>
    <w:link w:val="12"/>
    <w:semiHidden/>
    <w:unhideWhenUsed/>
    <w:qFormat/>
    <w:uiPriority w:val="99"/>
    <w:rPr>
      <w:sz w:val="18"/>
      <w:szCs w:val="18"/>
    </w:rPr>
  </w:style>
  <w:style w:type="paragraph" w:styleId="4">
    <w:name w:val="footer"/>
    <w:basedOn w:val="1"/>
    <w:link w:val="11"/>
    <w:semiHidden/>
    <w:unhideWhenUsed/>
    <w:qFormat/>
    <w:uiPriority w:val="99"/>
    <w:pPr>
      <w:tabs>
        <w:tab w:val="center" w:pos="4153"/>
        <w:tab w:val="right" w:pos="8306"/>
      </w:tabs>
      <w:snapToGrid w:val="0"/>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List Paragraph"/>
    <w:basedOn w:val="1"/>
    <w:qFormat/>
    <w:uiPriority w:val="34"/>
    <w:pPr>
      <w:ind w:firstLine="420" w:firstLineChars="200"/>
    </w:p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批注框文本 Char"/>
    <w:basedOn w:val="7"/>
    <w:link w:val="3"/>
    <w:semiHidden/>
    <w:qFormat/>
    <w:uiPriority w:val="99"/>
    <w:rPr>
      <w:sz w:val="18"/>
      <w:szCs w:val="18"/>
    </w:rPr>
  </w:style>
  <w:style w:type="character" w:customStyle="1" w:styleId="13">
    <w:name w:val="日期 Char"/>
    <w:basedOn w:val="7"/>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535</Words>
  <Characters>3055</Characters>
  <Lines>25</Lines>
  <Paragraphs>7</Paragraphs>
  <TotalTime>14</TotalTime>
  <ScaleCrop>false</ScaleCrop>
  <LinksUpToDate>false</LinksUpToDate>
  <CharactersWithSpaces>3583</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2017-09-27T08:04:00Z</dcterms:created>
  <dc:creator>PC</dc:creator>
  <cp:lastModifiedBy>QQ1403241261</cp:lastModifiedBy>
  <cp:lastPrinted>2018-03-20T05:58:00Z</cp:lastPrinted>
  <dcterms:modified xsi:type="dcterms:W3CDTF">2018-11-29T05:43:42Z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