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jc w:val="center"/>
        <w:textAlignment w:val="auto"/>
        <w:outlineLvl w:val="9"/>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pPr>
      <w:bookmarkStart w:id="0" w:name="OLE_LINK1"/>
      <w:r>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t>威海市环翠区人民政府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jc w:val="center"/>
        <w:textAlignment w:val="auto"/>
        <w:outlineLvl w:val="9"/>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pPr>
      <w:r>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t>2024年政府信息公开工作年度报告</w:t>
      </w:r>
    </w:p>
    <w:bookmarkEnd w:id="0"/>
    <w:p>
      <w:pPr>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0" w:lineRule="exact"/>
        <w:jc w:val="both"/>
        <w:textAlignment w:val="auto"/>
        <w:rPr>
          <w:rFonts w:hint="default" w:ascii="Times New Roman" w:hAnsi="Times New Roman" w:eastAsia="仿宋_GB2312" w:cs="Times New Roman"/>
          <w:color w:val="auto"/>
          <w:sz w:val="32"/>
          <w:szCs w:val="32"/>
        </w:rPr>
      </w:pPr>
    </w:p>
    <w:p>
      <w:pPr>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根据《中华人民共和国政府信息公开条例》（国务院令第</w:t>
      </w:r>
      <w:r>
        <w:rPr>
          <w:rFonts w:hint="default" w:ascii="Times New Roman" w:hAnsi="Times New Roman" w:cs="Times New Roman"/>
          <w:color w:val="auto"/>
          <w:sz w:val="32"/>
          <w:szCs w:val="32"/>
          <w:highlight w:val="none"/>
        </w:rPr>
        <w:t>711</w:t>
      </w:r>
      <w:r>
        <w:rPr>
          <w:rFonts w:hint="default" w:ascii="Times New Roman" w:hAnsi="Times New Roman" w:eastAsia="仿宋_GB2312" w:cs="Times New Roman"/>
          <w:color w:val="auto"/>
          <w:sz w:val="32"/>
          <w:szCs w:val="32"/>
          <w:highlight w:val="none"/>
        </w:rPr>
        <w:t>号，以下简称《条例》）和《中华人民共和国政府信息公开工作年度报告格式》（国办公开办函〔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年威海市环翠区</w:t>
      </w:r>
      <w:r>
        <w:rPr>
          <w:rFonts w:hint="default" w:ascii="Times New Roman" w:hAnsi="Times New Roman" w:eastAsia="仿宋_GB2312" w:cs="Times New Roman"/>
          <w:color w:val="auto"/>
          <w:sz w:val="32"/>
          <w:szCs w:val="32"/>
          <w:highlight w:val="none"/>
          <w:lang w:val="en-US" w:eastAsia="zh-CN"/>
        </w:rPr>
        <w:t>人民政府</w:t>
      </w:r>
      <w:r>
        <w:rPr>
          <w:rFonts w:hint="default" w:ascii="Times New Roman" w:hAnsi="Times New Roman" w:eastAsia="仿宋_GB2312" w:cs="Times New Roman"/>
          <w:color w:val="auto"/>
          <w:sz w:val="32"/>
          <w:szCs w:val="32"/>
          <w:highlight w:val="none"/>
        </w:rPr>
        <w:t>信息公开工作实际，编制发布本报告。</w:t>
      </w:r>
    </w:p>
    <w:p>
      <w:pPr>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80" w:lineRule="exact"/>
        <w:ind w:left="0" w:firstLine="646"/>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default"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u w:val="none"/>
          <w:lang w:val="en-US" w:eastAsia="zh-CN"/>
        </w:rPr>
        <w:t>网址：http://www.huancui.gov.cn/col/col42981/index.html</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default" w:ascii="Times New Roman" w:hAnsi="Times New Roman" w:eastAsia="仿宋_GB2312" w:cs="Times New Roman"/>
          <w:color w:val="auto"/>
          <w:sz w:val="32"/>
          <w:szCs w:val="32"/>
          <w:highlight w:val="none"/>
          <w:lang w:val="en-US" w:eastAsia="zh-CN"/>
        </w:rPr>
        <w:t>威海市环翠区人民政府办公室</w:t>
      </w:r>
      <w:r>
        <w:rPr>
          <w:rFonts w:hint="default" w:ascii="Times New Roman" w:hAnsi="Times New Roman" w:eastAsia="仿宋_GB2312" w:cs="Times New Roman"/>
          <w:color w:val="auto"/>
          <w:sz w:val="32"/>
          <w:szCs w:val="32"/>
          <w:highlight w:val="none"/>
        </w:rPr>
        <w:t>联系（地址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u w:val="none"/>
          <w:lang w:val="en-US" w:eastAsia="zh-CN"/>
        </w:rPr>
        <w:t>威海市新威路75号</w:t>
      </w:r>
      <w:r>
        <w:rPr>
          <w:rFonts w:hint="default" w:ascii="Times New Roman" w:hAnsi="Times New Roman" w:eastAsia="仿宋_GB2312" w:cs="Times New Roman"/>
          <w:color w:val="auto"/>
          <w:sz w:val="32"/>
          <w:szCs w:val="32"/>
          <w:highlight w:val="none"/>
        </w:rPr>
        <w:t>，电话：</w:t>
      </w:r>
      <w:r>
        <w:rPr>
          <w:rFonts w:hint="default" w:ascii="Times New Roman" w:hAnsi="Times New Roman" w:eastAsia="仿宋_GB2312" w:cs="Times New Roman"/>
          <w:color w:val="auto"/>
          <w:sz w:val="32"/>
          <w:szCs w:val="32"/>
          <w:highlight w:val="none"/>
          <w:u w:val="none"/>
          <w:lang w:val="en-US" w:eastAsia="zh-CN"/>
        </w:rPr>
        <w:t>0631-5208761</w:t>
      </w:r>
      <w:r>
        <w:rPr>
          <w:rFonts w:hint="default" w:ascii="Times New Roman" w:hAnsi="Times New Roman" w:eastAsia="仿宋_GB2312" w:cs="Times New Roman"/>
          <w:color w:val="auto"/>
          <w:sz w:val="32"/>
          <w:szCs w:val="32"/>
          <w:highlight w:val="none"/>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rPr>
      </w:pPr>
      <w:r>
        <w:rPr>
          <w:rFonts w:hint="default" w:ascii="Times New Roman" w:hAnsi="Times New Roman" w:eastAsia="黑体" w:cs="Times New Roman"/>
          <w:b w:val="0"/>
          <w:bCs/>
          <w:i w:val="0"/>
          <w:caps w:val="0"/>
          <w:color w:val="auto"/>
          <w:spacing w:val="0"/>
          <w:sz w:val="32"/>
          <w:szCs w:val="32"/>
          <w:highlight w:val="none"/>
          <w:shd w:val="clear" w:fill="FFFFFF"/>
        </w:rPr>
        <w:t>一、总体情况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202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eastAsia="zh-CN"/>
        </w:rPr>
        <w:t>年，威海市环翠区人民政府秉持积极认真地工作态度和高标准的工作要求，认真落实</w:t>
      </w:r>
      <w:r>
        <w:rPr>
          <w:rFonts w:hint="default" w:ascii="Times New Roman" w:hAnsi="Times New Roman" w:eastAsia="仿宋_GB2312" w:cs="Times New Roman"/>
          <w:color w:val="auto"/>
          <w:sz w:val="32"/>
          <w:szCs w:val="32"/>
          <w:highlight w:val="none"/>
          <w:lang w:val="en-US" w:eastAsia="zh-CN"/>
        </w:rPr>
        <w:t>国家、</w:t>
      </w:r>
      <w:r>
        <w:rPr>
          <w:rFonts w:hint="default" w:ascii="Times New Roman" w:hAnsi="Times New Roman" w:eastAsia="仿宋_GB2312" w:cs="Times New Roman"/>
          <w:color w:val="auto"/>
          <w:sz w:val="32"/>
          <w:szCs w:val="32"/>
          <w:highlight w:val="none"/>
          <w:lang w:eastAsia="zh-CN"/>
        </w:rPr>
        <w:t>省、</w:t>
      </w:r>
      <w:r>
        <w:rPr>
          <w:rFonts w:hint="default" w:ascii="Times New Roman" w:hAnsi="Times New Roman" w:eastAsia="仿宋_GB2312" w:cs="Times New Roman"/>
          <w:color w:val="auto"/>
          <w:sz w:val="32"/>
          <w:szCs w:val="32"/>
          <w:highlight w:val="none"/>
          <w:lang w:val="en-US" w:eastAsia="zh-CN"/>
        </w:rPr>
        <w:t>市</w:t>
      </w:r>
      <w:r>
        <w:rPr>
          <w:rFonts w:hint="default" w:ascii="Times New Roman" w:hAnsi="Times New Roman" w:eastAsia="仿宋_GB2312" w:cs="Times New Roman"/>
          <w:color w:val="auto"/>
          <w:sz w:val="32"/>
          <w:szCs w:val="32"/>
          <w:highlight w:val="none"/>
          <w:lang w:eastAsia="zh-CN"/>
        </w:rPr>
        <w:t>关于全面深化政务公开的工作要求，紧密结合我区政务公开工作，严格规范政务公开内容，创新政务公开形式，突出政务公开重点，不断提升政府信息公开质量。政府信息公开工作在服务人民群众、推动机关建设、促进和谐政民关系等方面发挥了重要作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楷体_GB2312" w:cs="Times New Roman"/>
          <w:b w:val="0"/>
          <w:bCs/>
          <w:color w:val="auto"/>
          <w:sz w:val="32"/>
          <w:szCs w:val="32"/>
          <w:lang w:val="en-US" w:eastAsia="zh-CN"/>
        </w:rPr>
        <w:t>主</w:t>
      </w:r>
      <w:r>
        <w:rPr>
          <w:rFonts w:hint="default" w:ascii="Times New Roman" w:hAnsi="Times New Roman" w:eastAsia="楷体_GB2312" w:cs="Times New Roman"/>
          <w:b w:val="0"/>
          <w:bCs/>
          <w:color w:val="auto"/>
          <w:sz w:val="32"/>
          <w:szCs w:val="32"/>
          <w:highlight w:val="none"/>
          <w:lang w:val="en-US" w:eastAsia="zh-CN"/>
        </w:rPr>
        <w:t>动公开方面。</w:t>
      </w:r>
      <w:r>
        <w:rPr>
          <w:rFonts w:hint="default" w:ascii="Times New Roman" w:hAnsi="Times New Roman" w:eastAsia="仿宋_GB2312" w:cs="Times New Roman"/>
          <w:b w:val="0"/>
          <w:bCs/>
          <w:color w:val="auto"/>
          <w:sz w:val="32"/>
          <w:szCs w:val="32"/>
          <w:highlight w:val="none"/>
        </w:rPr>
        <w:t>202</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年，通过政府门户网站</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val="en-US" w:eastAsia="zh-CN"/>
        </w:rPr>
        <w:t>政府公报</w:t>
      </w:r>
      <w:r>
        <w:rPr>
          <w:rFonts w:hint="default" w:ascii="Times New Roman" w:hAnsi="Times New Roman" w:eastAsia="仿宋_GB2312" w:cs="Times New Roman"/>
          <w:b w:val="0"/>
          <w:bCs/>
          <w:color w:val="auto"/>
          <w:sz w:val="32"/>
          <w:szCs w:val="32"/>
          <w:highlight w:val="none"/>
        </w:rPr>
        <w:t>主动公开</w:t>
      </w:r>
      <w:r>
        <w:rPr>
          <w:rFonts w:hint="default" w:ascii="Times New Roman" w:hAnsi="Times New Roman" w:eastAsia="仿宋_GB2312" w:cs="Times New Roman"/>
          <w:b w:val="0"/>
          <w:bCs/>
          <w:color w:val="auto"/>
          <w:sz w:val="32"/>
          <w:szCs w:val="32"/>
          <w:highlight w:val="none"/>
          <w:lang w:val="en-US" w:eastAsia="zh-CN"/>
        </w:rPr>
        <w:t>政府规范性文件</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lang w:val="en-US" w:eastAsia="zh-CN"/>
        </w:rPr>
        <w:t>件、区政府文件1</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lang w:val="en-US" w:eastAsia="zh-CN"/>
        </w:rPr>
        <w:t>件、区政府办公室文件</w:t>
      </w: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lang w:val="en-US" w:eastAsia="zh-CN"/>
        </w:rPr>
        <w:t>件。</w:t>
      </w:r>
      <w:r>
        <w:rPr>
          <w:rFonts w:hint="default" w:ascii="Times New Roman" w:hAnsi="Times New Roman" w:eastAsia="仿宋_GB2312" w:cs="Times New Roman"/>
          <w:b w:val="0"/>
          <w:bCs/>
          <w:color w:val="auto"/>
          <w:sz w:val="32"/>
          <w:szCs w:val="32"/>
          <w:highlight w:val="none"/>
        </w:rPr>
        <w:t>加强和改进政策解读工作，认真做好政策发布跟踪解读，持续增进社会公众对政府政策的理解认同</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val="en-US" w:eastAsia="zh-CN"/>
        </w:rPr>
        <w:t>全年制发政策性文件</w:t>
      </w:r>
      <w:r>
        <w:rPr>
          <w:rFonts w:hint="eastAsia" w:ascii="Times New Roman" w:hAnsi="Times New Roman" w:eastAsia="仿宋_GB2312" w:cs="Times New Roman"/>
          <w:b w:val="0"/>
          <w:bCs/>
          <w:color w:val="auto"/>
          <w:sz w:val="32"/>
          <w:szCs w:val="32"/>
          <w:highlight w:val="none"/>
          <w:lang w:val="en-US" w:eastAsia="zh-CN"/>
        </w:rPr>
        <w:t>9</w:t>
      </w:r>
      <w:r>
        <w:rPr>
          <w:rFonts w:hint="default" w:ascii="Times New Roman" w:hAnsi="Times New Roman" w:eastAsia="仿宋_GB2312" w:cs="Times New Roman"/>
          <w:b w:val="0"/>
          <w:bCs/>
          <w:color w:val="auto"/>
          <w:sz w:val="32"/>
          <w:szCs w:val="32"/>
          <w:highlight w:val="none"/>
          <w:lang w:val="en-US" w:eastAsia="zh-CN"/>
        </w:rPr>
        <w:t>件，发布解读材料</w:t>
      </w:r>
      <w:r>
        <w:rPr>
          <w:rFonts w:hint="eastAsia" w:ascii="Times New Roman" w:hAnsi="Times New Roman" w:eastAsia="仿宋_GB2312" w:cs="Times New Roman"/>
          <w:b w:val="0"/>
          <w:bCs/>
          <w:color w:val="auto"/>
          <w:sz w:val="32"/>
          <w:szCs w:val="32"/>
          <w:highlight w:val="none"/>
          <w:lang w:val="en-US" w:eastAsia="zh-CN"/>
        </w:rPr>
        <w:t>30</w:t>
      </w:r>
      <w:r>
        <w:rPr>
          <w:rFonts w:hint="default" w:ascii="Times New Roman" w:hAnsi="Times New Roman" w:eastAsia="仿宋_GB2312" w:cs="Times New Roman"/>
          <w:b w:val="0"/>
          <w:bCs/>
          <w:color w:val="auto"/>
          <w:sz w:val="32"/>
          <w:szCs w:val="32"/>
          <w:highlight w:val="none"/>
          <w:lang w:val="en-US" w:eastAsia="zh-CN"/>
        </w:rPr>
        <w:t>件，包括</w:t>
      </w:r>
      <w:r>
        <w:rPr>
          <w:rFonts w:hint="eastAsia" w:ascii="Times New Roman" w:hAnsi="Times New Roman" w:eastAsia="仿宋_GB2312" w:cs="Times New Roman"/>
          <w:b w:val="0"/>
          <w:bCs/>
          <w:color w:val="auto"/>
          <w:sz w:val="32"/>
          <w:szCs w:val="32"/>
          <w:highlight w:val="none"/>
          <w:lang w:val="en-US" w:eastAsia="zh-CN"/>
        </w:rPr>
        <w:t>文字</w:t>
      </w:r>
      <w:r>
        <w:rPr>
          <w:rFonts w:hint="default" w:ascii="Times New Roman" w:hAnsi="Times New Roman" w:eastAsia="仿宋_GB2312" w:cs="Times New Roman"/>
          <w:b w:val="0"/>
          <w:bCs/>
          <w:color w:val="auto"/>
          <w:sz w:val="32"/>
          <w:szCs w:val="32"/>
          <w:highlight w:val="none"/>
          <w:lang w:val="en-US" w:eastAsia="zh-CN"/>
        </w:rPr>
        <w:t>解读、图文解读、领导干部解读、媒体解读等</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rPr>
        <w:t>召开</w:t>
      </w:r>
      <w:r>
        <w:rPr>
          <w:rFonts w:hint="default" w:ascii="Times New Roman" w:hAnsi="Times New Roman" w:eastAsia="仿宋_GB2312" w:cs="Times New Roman"/>
          <w:b w:val="0"/>
          <w:bCs/>
          <w:color w:val="auto"/>
          <w:sz w:val="32"/>
          <w:szCs w:val="32"/>
          <w:highlight w:val="none"/>
          <w:lang w:val="en-US" w:eastAsia="zh-CN"/>
        </w:rPr>
        <w:t>政策解读</w:t>
      </w:r>
      <w:r>
        <w:rPr>
          <w:rFonts w:hint="default" w:ascii="Times New Roman" w:hAnsi="Times New Roman" w:eastAsia="仿宋_GB2312" w:cs="Times New Roman"/>
          <w:b w:val="0"/>
          <w:bCs/>
          <w:color w:val="auto"/>
          <w:sz w:val="32"/>
          <w:szCs w:val="32"/>
          <w:highlight w:val="none"/>
        </w:rPr>
        <w:t>新闻发布会</w:t>
      </w:r>
      <w:r>
        <w:rPr>
          <w:rFonts w:hint="eastAsia" w:ascii="Times New Roman" w:hAnsi="Times New Roman" w:eastAsia="仿宋_GB2312" w:cs="Times New Roman"/>
          <w:b w:val="0"/>
          <w:bCs/>
          <w:color w:val="auto"/>
          <w:sz w:val="32"/>
          <w:szCs w:val="32"/>
          <w:highlight w:val="none"/>
          <w:lang w:val="en-US" w:eastAsia="zh-CN"/>
        </w:rPr>
        <w:t>11</w:t>
      </w:r>
      <w:r>
        <w:rPr>
          <w:rFonts w:hint="default" w:ascii="Times New Roman" w:hAnsi="Times New Roman" w:eastAsia="仿宋_GB2312" w:cs="Times New Roman"/>
          <w:b w:val="0"/>
          <w:bCs/>
          <w:color w:val="auto"/>
          <w:sz w:val="32"/>
          <w:szCs w:val="32"/>
          <w:highlight w:val="none"/>
          <w:lang w:val="en-US" w:eastAsia="zh-CN"/>
        </w:rPr>
        <w:t>次，发布区政府公报</w:t>
      </w:r>
      <w:r>
        <w:rPr>
          <w:rFonts w:hint="eastAsia" w:ascii="Times New Roman" w:hAnsi="Times New Roman" w:eastAsia="仿宋_GB2312" w:cs="Times New Roman"/>
          <w:b w:val="0"/>
          <w:bCs/>
          <w:color w:val="auto"/>
          <w:sz w:val="32"/>
          <w:szCs w:val="32"/>
          <w:highlight w:val="none"/>
          <w:lang w:val="en-US" w:eastAsia="zh-CN"/>
        </w:rPr>
        <w:t>4期。常态化公开16次政府常务会议基本情况、提纲速读、视频报道等信息。</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仿宋_GB2312" w:cs="Times New Roman"/>
          <w:b w:val="0"/>
          <w:bCs/>
          <w:color w:val="auto"/>
          <w:sz w:val="32"/>
          <w:szCs w:val="32"/>
          <w:highlight w:val="none"/>
          <w:lang w:val="en-US" w:eastAsia="zh-CN"/>
        </w:rPr>
        <w:t>2.</w:t>
      </w:r>
      <w:r>
        <w:rPr>
          <w:rFonts w:hint="default" w:ascii="Times New Roman" w:hAnsi="Times New Roman" w:eastAsia="楷体_GB2312" w:cs="Times New Roman"/>
          <w:b w:val="0"/>
          <w:bCs/>
          <w:color w:val="auto"/>
          <w:sz w:val="32"/>
          <w:szCs w:val="32"/>
          <w:highlight w:val="none"/>
          <w:lang w:val="en-US" w:eastAsia="zh-CN"/>
        </w:rPr>
        <w:t>依申请公开工作方面。</w:t>
      </w:r>
      <w:bookmarkStart w:id="1" w:name="OLE_LINK2"/>
      <w:r>
        <w:rPr>
          <w:rFonts w:hint="default" w:ascii="Times New Roman" w:hAnsi="Times New Roman" w:eastAsia="仿宋_GB2312" w:cs="Times New Roman"/>
          <w:b w:val="0"/>
          <w:bCs/>
          <w:color w:val="auto"/>
          <w:sz w:val="32"/>
          <w:szCs w:val="32"/>
          <w:highlight w:val="none"/>
        </w:rPr>
        <w:t>202</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年</w:t>
      </w:r>
      <w:r>
        <w:rPr>
          <w:rFonts w:hint="default" w:ascii="Times New Roman" w:hAnsi="Times New Roman" w:eastAsia="仿宋_GB2312" w:cs="Times New Roman"/>
          <w:b w:val="0"/>
          <w:bCs/>
          <w:color w:val="auto"/>
          <w:sz w:val="32"/>
          <w:szCs w:val="32"/>
          <w:highlight w:val="none"/>
          <w:lang w:val="en-US" w:eastAsia="zh-CN"/>
        </w:rPr>
        <w:t>全区</w:t>
      </w:r>
      <w:r>
        <w:rPr>
          <w:rFonts w:hint="default" w:ascii="Times New Roman" w:hAnsi="Times New Roman" w:eastAsia="仿宋_GB2312" w:cs="Times New Roman"/>
          <w:b w:val="0"/>
          <w:bCs/>
          <w:color w:val="auto"/>
          <w:sz w:val="32"/>
          <w:szCs w:val="32"/>
          <w:highlight w:val="none"/>
        </w:rPr>
        <w:t>新收政府信息公开申请</w:t>
      </w:r>
      <w:r>
        <w:rPr>
          <w:rFonts w:hint="eastAsia" w:ascii="Times New Roman" w:hAnsi="Times New Roman" w:eastAsia="仿宋_GB2312" w:cs="Times New Roman"/>
          <w:b w:val="0"/>
          <w:bCs/>
          <w:color w:val="auto"/>
          <w:sz w:val="32"/>
          <w:szCs w:val="32"/>
          <w:highlight w:val="none"/>
          <w:lang w:val="en-US" w:eastAsia="zh-CN"/>
        </w:rPr>
        <w:t>154</w:t>
      </w:r>
      <w:r>
        <w:rPr>
          <w:rFonts w:hint="default" w:ascii="Times New Roman" w:hAnsi="Times New Roman" w:eastAsia="仿宋_GB2312" w:cs="Times New Roman"/>
          <w:b w:val="0"/>
          <w:bCs/>
          <w:color w:val="auto"/>
          <w:sz w:val="32"/>
          <w:szCs w:val="32"/>
          <w:highlight w:val="none"/>
        </w:rPr>
        <w:t>件，结转</w:t>
      </w:r>
      <w:r>
        <w:rPr>
          <w:rFonts w:hint="default" w:ascii="Times New Roman" w:hAnsi="Times New Roman" w:eastAsia="仿宋_GB2312" w:cs="Times New Roman"/>
          <w:b w:val="0"/>
          <w:bCs/>
          <w:color w:val="auto"/>
          <w:sz w:val="32"/>
          <w:szCs w:val="32"/>
          <w:highlight w:val="none"/>
          <w:lang w:val="en-US" w:eastAsia="zh-CN"/>
        </w:rPr>
        <w:t>下年度继续</w:t>
      </w:r>
      <w:r>
        <w:rPr>
          <w:rFonts w:hint="default" w:ascii="Times New Roman" w:hAnsi="Times New Roman" w:eastAsia="仿宋_GB2312" w:cs="Times New Roman"/>
          <w:b w:val="0"/>
          <w:bCs/>
          <w:color w:val="auto"/>
          <w:sz w:val="32"/>
          <w:szCs w:val="32"/>
          <w:highlight w:val="none"/>
        </w:rPr>
        <w:t>办理</w:t>
      </w:r>
      <w:r>
        <w:rPr>
          <w:rFonts w:hint="eastAsia" w:ascii="Times New Roman" w:hAnsi="Times New Roman" w:eastAsia="仿宋_GB2312" w:cs="Times New Roman"/>
          <w:b w:val="0"/>
          <w:bCs/>
          <w:color w:val="auto"/>
          <w:sz w:val="32"/>
          <w:szCs w:val="32"/>
          <w:highlight w:val="none"/>
          <w:lang w:val="en-US" w:eastAsia="zh-CN"/>
        </w:rPr>
        <w:t>9</w:t>
      </w:r>
      <w:r>
        <w:rPr>
          <w:rFonts w:hint="default" w:ascii="Times New Roman" w:hAnsi="Times New Roman" w:eastAsia="仿宋_GB2312" w:cs="Times New Roman"/>
          <w:b w:val="0"/>
          <w:bCs/>
          <w:color w:val="auto"/>
          <w:sz w:val="32"/>
          <w:szCs w:val="32"/>
          <w:highlight w:val="none"/>
        </w:rPr>
        <w:t>件</w:t>
      </w:r>
      <w:r>
        <w:rPr>
          <w:rFonts w:hint="eastAsia"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val="en-US" w:eastAsia="zh-CN"/>
        </w:rPr>
        <w:t>申请领域主要包括土地征收、建设项目、房地产及物业等</w:t>
      </w: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rPr>
        <w:t>本年度共收到政府信息公开申请方面的行政复议</w:t>
      </w:r>
      <w:r>
        <w:rPr>
          <w:rFonts w:hint="eastAsia" w:ascii="Times New Roman" w:hAnsi="Times New Roman" w:eastAsia="仿宋_GB2312" w:cs="Times New Roman"/>
          <w:b w:val="0"/>
          <w:bCs/>
          <w:color w:val="auto"/>
          <w:sz w:val="32"/>
          <w:szCs w:val="32"/>
          <w:lang w:val="en-US" w:eastAsia="zh-CN"/>
        </w:rPr>
        <w:t>7</w:t>
      </w:r>
      <w:r>
        <w:rPr>
          <w:rFonts w:hint="default" w:ascii="Times New Roman" w:hAnsi="Times New Roman" w:eastAsia="仿宋_GB2312" w:cs="Times New Roman"/>
          <w:b w:val="0"/>
          <w:bCs/>
          <w:color w:val="auto"/>
          <w:sz w:val="32"/>
          <w:szCs w:val="32"/>
        </w:rPr>
        <w:t>件，</w:t>
      </w:r>
      <w:r>
        <w:rPr>
          <w:rFonts w:hint="default" w:ascii="Times New Roman" w:hAnsi="Times New Roman" w:eastAsia="仿宋_GB2312" w:cs="Times New Roman"/>
          <w:b w:val="0"/>
          <w:bCs/>
          <w:color w:val="auto"/>
          <w:sz w:val="32"/>
          <w:szCs w:val="32"/>
          <w:lang w:val="en-US" w:eastAsia="zh-CN"/>
        </w:rPr>
        <w:t>纠</w:t>
      </w:r>
      <w:r>
        <w:rPr>
          <w:rFonts w:hint="eastAsia" w:ascii="Times New Roman" w:hAnsi="Times New Roman" w:eastAsia="仿宋_GB2312" w:cs="Times New Roman"/>
          <w:b w:val="0"/>
          <w:bCs/>
          <w:color w:val="auto"/>
          <w:sz w:val="32"/>
          <w:szCs w:val="32"/>
          <w:lang w:val="en-US" w:eastAsia="zh-CN"/>
        </w:rPr>
        <w:t>错3</w:t>
      </w:r>
      <w:r>
        <w:rPr>
          <w:rFonts w:hint="default" w:ascii="Times New Roman" w:hAnsi="Times New Roman" w:eastAsia="仿宋_GB2312" w:cs="Times New Roman"/>
          <w:b w:val="0"/>
          <w:bCs/>
          <w:color w:val="auto"/>
          <w:sz w:val="32"/>
          <w:szCs w:val="32"/>
        </w:rPr>
        <w:t>件；行政诉讼案件</w:t>
      </w:r>
      <w:r>
        <w:rPr>
          <w:rFonts w:hint="eastAsia" w:ascii="Times New Roman" w:hAnsi="Times New Roman" w:eastAsia="仿宋_GB2312" w:cs="Times New Roman"/>
          <w:b w:val="0"/>
          <w:bCs/>
          <w:color w:val="auto"/>
          <w:sz w:val="32"/>
          <w:szCs w:val="32"/>
          <w:lang w:val="en-US" w:eastAsia="zh-CN"/>
        </w:rPr>
        <w:t>5</w:t>
      </w:r>
      <w:bookmarkStart w:id="12" w:name="_GoBack"/>
      <w:bookmarkEnd w:id="12"/>
      <w:r>
        <w:rPr>
          <w:rFonts w:hint="default" w:ascii="Times New Roman" w:hAnsi="Times New Roman" w:eastAsia="仿宋_GB2312" w:cs="Times New Roman"/>
          <w:b w:val="0"/>
          <w:bCs/>
          <w:color w:val="auto"/>
          <w:sz w:val="32"/>
          <w:szCs w:val="32"/>
          <w:lang w:val="en-US" w:eastAsia="zh-CN"/>
        </w:rPr>
        <w:t>件，</w:t>
      </w:r>
      <w:r>
        <w:rPr>
          <w:rFonts w:hint="eastAsia" w:ascii="Times New Roman" w:hAnsi="Times New Roman" w:eastAsia="仿宋_GB2312" w:cs="Times New Roman"/>
          <w:b w:val="0"/>
          <w:bCs/>
          <w:color w:val="auto"/>
          <w:sz w:val="32"/>
          <w:szCs w:val="32"/>
          <w:lang w:val="en-US" w:eastAsia="zh-CN"/>
        </w:rPr>
        <w:t>未发生行政诉讼败诉案件</w:t>
      </w:r>
      <w:r>
        <w:rPr>
          <w:rFonts w:hint="default" w:ascii="Times New Roman" w:hAnsi="Times New Roman" w:eastAsia="仿宋_GB2312" w:cs="Times New Roman"/>
          <w:b w:val="0"/>
          <w:bCs/>
          <w:color w:val="auto"/>
          <w:sz w:val="32"/>
          <w:szCs w:val="32"/>
          <w:highlight w:val="none"/>
        </w:rPr>
        <w:t>。</w:t>
      </w:r>
    </w:p>
    <w:bookmarkEnd w:id="1"/>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b w:val="0"/>
          <w:bCs/>
          <w:sz w:val="32"/>
          <w:szCs w:val="32"/>
          <w:highlight w:val="yellow"/>
          <w:lang w:eastAsia="zh-CN"/>
        </w:rPr>
      </w:pPr>
      <w:r>
        <w:rPr>
          <w:rFonts w:hint="default" w:ascii="Times New Roman" w:hAnsi="Times New Roman" w:eastAsia="仿宋_GB2312" w:cs="Times New Roman"/>
          <w:b w:val="0"/>
          <w:bCs/>
          <w:color w:val="auto"/>
          <w:sz w:val="32"/>
          <w:szCs w:val="32"/>
          <w:highlight w:val="none"/>
          <w:lang w:val="en-US" w:eastAsia="zh-CN"/>
        </w:rPr>
        <w:t>3.</w:t>
      </w:r>
      <w:r>
        <w:rPr>
          <w:rFonts w:hint="default" w:ascii="Times New Roman" w:hAnsi="Times New Roman" w:eastAsia="楷体_GB2312" w:cs="Times New Roman"/>
          <w:b w:val="0"/>
          <w:bCs/>
          <w:color w:val="auto"/>
          <w:sz w:val="32"/>
          <w:szCs w:val="32"/>
          <w:highlight w:val="none"/>
          <w:lang w:val="en-US" w:eastAsia="zh-CN"/>
        </w:rPr>
        <w:t>政府信息管理方面。</w:t>
      </w:r>
      <w:r>
        <w:rPr>
          <w:rFonts w:hint="default" w:ascii="Times New Roman" w:hAnsi="Times New Roman" w:eastAsia="仿宋_GB2312" w:cs="Times New Roman"/>
          <w:b w:val="0"/>
          <w:bCs/>
          <w:color w:val="auto"/>
          <w:sz w:val="32"/>
          <w:szCs w:val="32"/>
          <w:highlight w:val="none"/>
          <w:lang w:val="en-US" w:eastAsia="zh-CN"/>
        </w:rPr>
        <w:t>根据</w:t>
      </w:r>
      <w:r>
        <w:rPr>
          <w:rFonts w:hint="eastAsia" w:ascii="Times New Roman" w:hAnsi="Times New Roman" w:eastAsia="仿宋_GB2312" w:cs="Times New Roman"/>
          <w:b w:val="0"/>
          <w:bCs/>
          <w:color w:val="auto"/>
          <w:sz w:val="32"/>
          <w:szCs w:val="32"/>
          <w:highlight w:val="none"/>
          <w:lang w:val="en-US" w:eastAsia="zh-CN"/>
        </w:rPr>
        <w:t>《全省主动公开事项目录编制工作方案》要求</w:t>
      </w:r>
      <w:r>
        <w:rPr>
          <w:rFonts w:hint="default" w:ascii="Times New Roman" w:hAnsi="Times New Roman" w:eastAsia="仿宋_GB2312" w:cs="Times New Roman"/>
          <w:b w:val="0"/>
          <w:bCs/>
          <w:color w:val="auto"/>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结合我区实际编制了《环翠区人民政府主动公开事项目录（2024年版）》</w:t>
      </w:r>
      <w:r>
        <w:rPr>
          <w:rFonts w:hint="eastAsia"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b w:val="0"/>
          <w:bCs/>
          <w:sz w:val="32"/>
          <w:szCs w:val="32"/>
          <w:highlight w:val="none"/>
          <w:lang w:val="en-US" w:eastAsia="zh-CN"/>
        </w:rPr>
        <w:t>贯彻</w:t>
      </w:r>
      <w:r>
        <w:rPr>
          <w:rFonts w:hint="eastAsia" w:ascii="Times New Roman" w:hAnsi="Times New Roman" w:eastAsia="仿宋_GB2312" w:cs="Times New Roman"/>
          <w:b w:val="0"/>
          <w:bCs/>
          <w:sz w:val="32"/>
          <w:szCs w:val="32"/>
          <w:highlight w:val="none"/>
          <w:lang w:eastAsia="zh-CN"/>
        </w:rPr>
        <w:t>落实政府信息全生命周期管理制度</w:t>
      </w:r>
      <w:r>
        <w:rPr>
          <w:rFonts w:hint="eastAsia" w:ascii="Times New Roman" w:hAnsi="Times New Roman" w:eastAsia="仿宋_GB2312" w:cs="Times New Roman"/>
          <w:b w:val="0"/>
          <w:bCs/>
          <w:sz w:val="32"/>
          <w:szCs w:val="32"/>
          <w:highlight w:val="none"/>
          <w:lang w:val="en-US" w:eastAsia="zh-CN"/>
        </w:rPr>
        <w:t>和</w:t>
      </w:r>
      <w:r>
        <w:rPr>
          <w:rFonts w:hint="eastAsia" w:ascii="Times New Roman" w:hAnsi="Times New Roman" w:eastAsia="仿宋_GB2312" w:cs="Times New Roman"/>
          <w:b w:val="0"/>
          <w:bCs/>
          <w:sz w:val="32"/>
          <w:szCs w:val="32"/>
          <w:highlight w:val="none"/>
          <w:lang w:eastAsia="zh-CN"/>
        </w:rPr>
        <w:t>政府信息发布的保密审查机制，全年未发生在政府信息公开过程中公布涉密文件和泄密的情况。</w:t>
      </w:r>
      <w:r>
        <w:rPr>
          <w:rFonts w:hint="default" w:ascii="Times New Roman" w:hAnsi="Times New Roman" w:eastAsia="仿宋_GB2312" w:cs="Times New Roman"/>
          <w:b w:val="0"/>
          <w:bCs/>
          <w:color w:val="auto"/>
          <w:sz w:val="32"/>
          <w:szCs w:val="32"/>
          <w:highlight w:val="none"/>
          <w:lang w:val="en-US" w:eastAsia="zh-CN"/>
        </w:rPr>
        <w:t>强化政府信息的动态更新调整，对于已废止、失效的文件，及时在公开页</w:t>
      </w:r>
      <w:r>
        <w:rPr>
          <w:rFonts w:hint="default" w:ascii="Times New Roman" w:hAnsi="Times New Roman" w:eastAsia="仿宋_GB2312" w:cs="Times New Roman"/>
          <w:b w:val="0"/>
          <w:bCs/>
          <w:color w:val="auto"/>
          <w:sz w:val="32"/>
          <w:szCs w:val="32"/>
          <w:lang w:val="en-US" w:eastAsia="zh-CN"/>
        </w:rPr>
        <w:t>面进行标注，</w:t>
      </w:r>
      <w:r>
        <w:rPr>
          <w:rFonts w:hint="default" w:ascii="Times New Roman" w:hAnsi="Times New Roman" w:eastAsia="仿宋_GB2312" w:cs="Times New Roman"/>
          <w:b w:val="0"/>
          <w:bCs/>
          <w:color w:val="auto"/>
          <w:sz w:val="32"/>
          <w:szCs w:val="32"/>
          <w:lang w:eastAsia="zh-CN"/>
        </w:rPr>
        <w:t>202</w:t>
      </w:r>
      <w:r>
        <w:rPr>
          <w:rFonts w:hint="eastAsia" w:ascii="Times New Roman" w:hAnsi="Times New Roman" w:eastAsia="仿宋_GB2312" w:cs="Times New Roman"/>
          <w:b w:val="0"/>
          <w:bCs/>
          <w:color w:val="auto"/>
          <w:sz w:val="32"/>
          <w:szCs w:val="32"/>
          <w:lang w:val="en-US" w:eastAsia="zh-CN"/>
        </w:rPr>
        <w:t>4</w:t>
      </w:r>
      <w:r>
        <w:rPr>
          <w:rFonts w:hint="default" w:ascii="Times New Roman" w:hAnsi="Times New Roman" w:eastAsia="仿宋_GB2312" w:cs="Times New Roman"/>
          <w:b w:val="0"/>
          <w:bCs/>
          <w:color w:val="auto"/>
          <w:sz w:val="32"/>
          <w:szCs w:val="32"/>
          <w:lang w:eastAsia="zh-CN"/>
        </w:rPr>
        <w:t>年废止</w:t>
      </w:r>
      <w:r>
        <w:rPr>
          <w:rFonts w:hint="eastAsia" w:ascii="Times New Roman" w:hAnsi="Times New Roman" w:eastAsia="仿宋_GB2312" w:cs="Times New Roman"/>
          <w:b w:val="0"/>
          <w:bCs/>
          <w:color w:val="auto"/>
          <w:sz w:val="32"/>
          <w:szCs w:val="32"/>
          <w:lang w:val="en-US" w:eastAsia="zh-CN"/>
        </w:rPr>
        <w:t>8</w:t>
      </w:r>
      <w:r>
        <w:rPr>
          <w:rFonts w:hint="default" w:ascii="Times New Roman" w:hAnsi="Times New Roman" w:eastAsia="仿宋_GB2312" w:cs="Times New Roman"/>
          <w:b w:val="0"/>
          <w:bCs/>
          <w:color w:val="auto"/>
          <w:sz w:val="32"/>
          <w:szCs w:val="32"/>
          <w:lang w:eastAsia="zh-CN"/>
        </w:rPr>
        <w:t>件，</w:t>
      </w:r>
      <w:r>
        <w:rPr>
          <w:rFonts w:hint="default" w:ascii="Times New Roman" w:hAnsi="Times New Roman" w:eastAsia="仿宋_GB2312" w:cs="Times New Roman"/>
          <w:b w:val="0"/>
          <w:bCs/>
          <w:color w:val="auto"/>
          <w:sz w:val="32"/>
          <w:szCs w:val="32"/>
          <w:lang w:val="en-US" w:eastAsia="zh-CN"/>
        </w:rPr>
        <w:t>现行有效规范性文件1</w:t>
      </w:r>
      <w:r>
        <w:rPr>
          <w:rFonts w:hint="eastAsia" w:ascii="Times New Roman" w:hAnsi="Times New Roman" w:eastAsia="仿宋_GB2312" w:cs="Times New Roman"/>
          <w:b w:val="0"/>
          <w:bCs/>
          <w:color w:val="auto"/>
          <w:sz w:val="32"/>
          <w:szCs w:val="32"/>
          <w:lang w:val="en-US" w:eastAsia="zh-CN"/>
        </w:rPr>
        <w:t>6</w:t>
      </w:r>
      <w:r>
        <w:rPr>
          <w:rFonts w:hint="default" w:ascii="Times New Roman" w:hAnsi="Times New Roman" w:eastAsia="仿宋_GB2312" w:cs="Times New Roman"/>
          <w:b w:val="0"/>
          <w:bCs/>
          <w:color w:val="auto"/>
          <w:sz w:val="32"/>
          <w:szCs w:val="32"/>
          <w:lang w:val="en-US" w:eastAsia="zh-CN"/>
        </w:rPr>
        <w:t>件</w:t>
      </w:r>
      <w:r>
        <w:rPr>
          <w:rFonts w:hint="default" w:ascii="Times New Roman" w:hAnsi="Times New Roman" w:eastAsia="仿宋_GB2312" w:cs="Times New Roman"/>
          <w:b w:val="0"/>
          <w:bCs/>
          <w:color w:val="auto"/>
          <w:sz w:val="32"/>
          <w:szCs w:val="32"/>
          <w:lang w:eastAsia="zh-CN"/>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highlight w:val="yellow"/>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eastAsia" w:ascii="Times New Roman" w:hAnsi="Times New Roman" w:eastAsia="仿宋_GB2312" w:cs="Times New Roman"/>
          <w:b w:val="0"/>
          <w:bCs/>
          <w:sz w:val="32"/>
          <w:szCs w:val="32"/>
          <w:lang w:eastAsia="zh-CN"/>
        </w:rPr>
        <w:t>进一步完善政务公开专栏</w:t>
      </w:r>
      <w:r>
        <w:rPr>
          <w:rFonts w:hint="eastAsia" w:ascii="Times New Roman" w:hAnsi="Times New Roman" w:eastAsia="仿宋_GB2312" w:cs="Times New Roman"/>
          <w:b w:val="0"/>
          <w:bCs/>
          <w:sz w:val="32"/>
          <w:szCs w:val="32"/>
          <w:lang w:val="en-US" w:eastAsia="zh-CN"/>
        </w:rPr>
        <w:t>建设</w:t>
      </w:r>
      <w:r>
        <w:rPr>
          <w:rFonts w:hint="eastAsia" w:ascii="Times New Roman" w:hAnsi="Times New Roman" w:eastAsia="仿宋_GB2312" w:cs="Times New Roman"/>
          <w:b w:val="0"/>
          <w:bCs/>
          <w:sz w:val="32"/>
          <w:szCs w:val="32"/>
          <w:lang w:eastAsia="zh-CN"/>
        </w:rPr>
        <w:t>，</w:t>
      </w:r>
      <w:r>
        <w:rPr>
          <w:rFonts w:hint="eastAsia" w:ascii="Times New Roman" w:hAnsi="Times New Roman" w:eastAsia="仿宋_GB2312" w:cs="Times New Roman"/>
          <w:b w:val="0"/>
          <w:bCs/>
          <w:sz w:val="32"/>
          <w:szCs w:val="32"/>
          <w:lang w:val="en-US" w:eastAsia="zh-CN"/>
        </w:rPr>
        <w:t>重新调整“法定基础内容公开”“重点领域信息公开”“依申请公开”等模块设置，优化“机构职能”“财政信息”“意见征集”“重点领域”等栏目结</w:t>
      </w:r>
      <w:r>
        <w:rPr>
          <w:rFonts w:hint="eastAsia" w:ascii="Times New Roman" w:hAnsi="Times New Roman" w:eastAsia="仿宋_GB2312" w:cs="Times New Roman"/>
          <w:b w:val="0"/>
          <w:bCs/>
          <w:sz w:val="32"/>
          <w:szCs w:val="32"/>
          <w:highlight w:val="none"/>
          <w:lang w:val="en-US" w:eastAsia="zh-CN"/>
        </w:rPr>
        <w:t>构。</w:t>
      </w:r>
      <w:r>
        <w:rPr>
          <w:rFonts w:hint="eastAsia" w:ascii="Times New Roman" w:hAnsi="Times New Roman" w:eastAsia="仿宋_GB2312" w:cs="Times New Roman"/>
          <w:b w:val="0"/>
          <w:bCs/>
          <w:sz w:val="32"/>
          <w:szCs w:val="32"/>
          <w:highlight w:val="none"/>
          <w:lang w:eastAsia="zh-CN"/>
        </w:rPr>
        <w:t>做好政府公报编辑和赠阅工作，全年共编辑</w:t>
      </w:r>
      <w:r>
        <w:rPr>
          <w:rFonts w:hint="eastAsia" w:ascii="Times New Roman" w:hAnsi="Times New Roman" w:eastAsia="仿宋_GB2312" w:cs="Times New Roman"/>
          <w:b w:val="0"/>
          <w:bCs/>
          <w:sz w:val="32"/>
          <w:szCs w:val="32"/>
          <w:highlight w:val="none"/>
          <w:lang w:val="en-US" w:eastAsia="zh-CN"/>
        </w:rPr>
        <w:t>4</w:t>
      </w:r>
      <w:r>
        <w:rPr>
          <w:rFonts w:hint="eastAsia" w:ascii="Times New Roman" w:hAnsi="Times New Roman" w:eastAsia="仿宋_GB2312" w:cs="Times New Roman"/>
          <w:b w:val="0"/>
          <w:bCs/>
          <w:sz w:val="32"/>
          <w:szCs w:val="32"/>
          <w:highlight w:val="none"/>
          <w:lang w:eastAsia="zh-CN"/>
        </w:rPr>
        <w:t>期。开展政务新媒体清理整合行动，对粉丝量少、关注度低、发布信息频率不高的账号进行注销，全年累计关停账号</w:t>
      </w:r>
      <w:r>
        <w:rPr>
          <w:rFonts w:hint="eastAsia" w:ascii="Times New Roman" w:hAnsi="Times New Roman" w:eastAsia="仿宋_GB2312" w:cs="Times New Roman"/>
          <w:b w:val="0"/>
          <w:bCs/>
          <w:sz w:val="32"/>
          <w:szCs w:val="32"/>
          <w:highlight w:val="none"/>
          <w:lang w:val="en-US" w:eastAsia="zh-CN"/>
        </w:rPr>
        <w:t>12</w:t>
      </w:r>
      <w:r>
        <w:rPr>
          <w:rFonts w:hint="eastAsia" w:ascii="Times New Roman" w:hAnsi="Times New Roman" w:eastAsia="仿宋_GB2312" w:cs="Times New Roman"/>
          <w:b w:val="0"/>
          <w:bCs/>
          <w:sz w:val="32"/>
          <w:szCs w:val="32"/>
          <w:highlight w:val="none"/>
          <w:lang w:eastAsia="zh-CN"/>
        </w:rPr>
        <w:t>个，进一步规范政务新媒体管理</w:t>
      </w:r>
      <w:r>
        <w:rPr>
          <w:rFonts w:hint="default" w:ascii="Times New Roman" w:hAnsi="Times New Roman" w:eastAsia="仿宋_GB2312" w:cs="Times New Roman"/>
          <w:b w:val="0"/>
          <w:bCs/>
          <w:color w:val="auto"/>
          <w:sz w:val="32"/>
          <w:szCs w:val="32"/>
          <w:highlight w:val="none"/>
          <w:lang w:val="en-US" w:eastAsia="zh-CN"/>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lang w:val="en-US" w:eastAsia="zh-CN"/>
        </w:rPr>
        <w:t>积极组织全区政务公开工作人员集中培训，组织收看省级、市级视频培训会议3次。针对各部门、各镇街新任职业务人员，组织</w:t>
      </w:r>
      <w:r>
        <w:rPr>
          <w:rFonts w:hint="default" w:ascii="Times New Roman" w:hAnsi="Times New Roman" w:eastAsia="仿宋_GB2312" w:cs="Times New Roman"/>
          <w:b w:val="0"/>
          <w:bCs/>
          <w:sz w:val="32"/>
          <w:szCs w:val="32"/>
        </w:rPr>
        <w:t>安排政务公开轮训，推动以干代训</w:t>
      </w:r>
      <w:r>
        <w:rPr>
          <w:rFonts w:hint="default" w:ascii="Times New Roman" w:hAnsi="Times New Roman" w:eastAsia="仿宋_GB2312" w:cs="Times New Roman"/>
          <w:b w:val="0"/>
          <w:bCs/>
          <w:color w:val="auto"/>
          <w:sz w:val="32"/>
          <w:szCs w:val="32"/>
          <w:lang w:val="en-US" w:eastAsia="zh-CN"/>
        </w:rPr>
        <w:t>，着力解决新手业务生疏问题。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shd w:val="clear" w:fill="FFFFFF"/>
        </w:rPr>
      </w:pPr>
      <w:r>
        <w:rPr>
          <w:rFonts w:hint="default" w:ascii="Times New Roman" w:hAnsi="Times New Roman" w:eastAsia="黑体" w:cs="Times New Roman"/>
          <w:b w:val="0"/>
          <w:bCs/>
          <w:i w:val="0"/>
          <w:caps w:val="0"/>
          <w:color w:val="auto"/>
          <w:spacing w:val="0"/>
          <w:sz w:val="32"/>
          <w:szCs w:val="32"/>
          <w:shd w:val="clear" w:fill="FFFFFF"/>
        </w:rPr>
        <w:t>二、主动公开政府信息情况</w:t>
      </w:r>
    </w:p>
    <w:p>
      <w:pPr>
        <w:pStyle w:val="2"/>
        <w:rPr>
          <w:rFonts w:hint="default"/>
        </w:rPr>
      </w:pPr>
    </w:p>
    <w:tbl>
      <w:tblPr>
        <w:tblStyle w:val="5"/>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4</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8</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1</w:t>
            </w:r>
            <w:r>
              <w:rPr>
                <w:rFonts w:hint="eastAsia" w:ascii="Times New Roman" w:hAnsi="Times New Roman" w:eastAsia="仿宋_GB2312" w:cs="Times New Roman"/>
                <w:color w:val="auto"/>
                <w:kern w:val="0"/>
                <w:szCs w:val="21"/>
                <w:lang w:val="en-US" w:eastAsia="zh-CN"/>
              </w:rPr>
              <w:t>6</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43540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2289</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9501</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本年收费金额（单位：万元）</w:t>
            </w:r>
          </w:p>
        </w:tc>
      </w:tr>
      <w:tr>
        <w:tblPrEx>
          <w:tblCellMar>
            <w:top w:w="0" w:type="dxa"/>
            <w:left w:w="108" w:type="dxa"/>
            <w:bottom w:w="0" w:type="dxa"/>
            <w:right w:w="108" w:type="dxa"/>
          </w:tblCellMar>
        </w:tblPrEx>
        <w:trPr>
          <w:trHeight w:val="761"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highlight w:val="none"/>
                <w:lang w:val="en-US" w:eastAsia="zh-CN"/>
              </w:rPr>
              <w:t>6793.94</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color w:val="auto"/>
                <w:kern w:val="0"/>
                <w:szCs w:val="21"/>
              </w:rPr>
            </w:pPr>
            <w:r>
              <w:rPr>
                <w:rFonts w:hint="default" w:ascii="Times New Roman" w:hAnsi="Times New Roman" w:eastAsia="楷体_GB2312" w:cs="Times New Roman"/>
                <w:color w:val="auto"/>
                <w:kern w:val="0"/>
                <w:szCs w:val="21"/>
              </w:rPr>
              <w:t>（本列数据的勾稽关系为：第一项加第二项之和，</w:t>
            </w:r>
          </w:p>
          <w:p>
            <w:pPr>
              <w:widowControl/>
              <w:jc w:val="center"/>
              <w:rPr>
                <w:rFonts w:hint="default" w:ascii="Times New Roman" w:hAnsi="Times New Roman" w:eastAsia="仿宋_GB2312" w:cs="Times New Roman"/>
                <w:color w:val="auto"/>
                <w:szCs w:val="21"/>
              </w:rPr>
            </w:pPr>
            <w:r>
              <w:rPr>
                <w:rFonts w:hint="default" w:ascii="Times New Roman" w:hAnsi="Times New Roman" w:eastAsia="楷体_GB2312" w:cs="Times New Roman"/>
                <w:color w:val="auto"/>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c>
          <w:tcPr>
            <w:tcW w:w="747"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c>
          <w:tcPr>
            <w:tcW w:w="747" w:type="dxa"/>
            <w:vMerge w:val="continue"/>
            <w:shd w:val="clear" w:color="auto" w:fill="auto"/>
            <w:tcMar>
              <w:left w:w="108" w:type="dxa"/>
              <w:right w:w="108" w:type="dxa"/>
            </w:tcMar>
            <w:vAlign w:val="center"/>
          </w:tcPr>
          <w:p>
            <w:pPr>
              <w:jc w:val="center"/>
              <w:rPr>
                <w:rFonts w:hint="default" w:ascii="Times New Roman" w:hAnsi="Times New Roman" w:eastAsia="黑体" w:cs="Times New Roman"/>
                <w:color w:val="auto"/>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其他</w:t>
            </w:r>
          </w:p>
        </w:tc>
        <w:tc>
          <w:tcPr>
            <w:tcW w:w="701" w:type="dxa"/>
            <w:gridSpan w:val="2"/>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w:t>
            </w:r>
            <w:bookmarkStart w:id="2" w:name="_Hlk66973412"/>
            <w:r>
              <w:rPr>
                <w:rFonts w:hint="default" w:ascii="Times New Roman" w:hAnsi="Times New Roman" w:eastAsia="黑体" w:cs="Times New Roman"/>
                <w:color w:val="auto"/>
                <w:kern w:val="0"/>
                <w:szCs w:val="21"/>
              </w:rPr>
              <w:t>本年新收政府信息公开申请数量</w:t>
            </w:r>
            <w:bookmarkEnd w:id="2"/>
          </w:p>
        </w:tc>
        <w:tc>
          <w:tcPr>
            <w:tcW w:w="747" w:type="dxa"/>
            <w:shd w:val="clear" w:color="auto" w:fill="auto"/>
            <w:tcMar>
              <w:left w:w="108" w:type="dxa"/>
              <w:right w:w="108" w:type="dxa"/>
            </w:tcMar>
            <w:vAlign w:val="center"/>
          </w:tcPr>
          <w:p>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2</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3</w:t>
            </w:r>
          </w:p>
        </w:tc>
        <w:tc>
          <w:tcPr>
            <w:tcW w:w="701" w:type="dxa"/>
            <w:gridSpan w:val="2"/>
            <w:shd w:val="clear" w:color="auto" w:fill="auto"/>
            <w:tcMar>
              <w:left w:w="108" w:type="dxa"/>
              <w:right w:w="108" w:type="dxa"/>
            </w:tcMar>
            <w:vAlign w:val="center"/>
          </w:tcPr>
          <w:p>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1"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（一）予以公开</w:t>
            </w:r>
          </w:p>
        </w:tc>
        <w:tc>
          <w:tcPr>
            <w:tcW w:w="752" w:type="dxa"/>
            <w:gridSpan w:val="2"/>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58</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w:t>
            </w:r>
          </w:p>
        </w:tc>
        <w:tc>
          <w:tcPr>
            <w:tcW w:w="535" w:type="dxa"/>
            <w:gridSpan w:val="6"/>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59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（二）部分公开（</w:t>
            </w:r>
            <w:bookmarkStart w:id="3" w:name="_Hlk66973981"/>
            <w:r>
              <w:rPr>
                <w:rFonts w:hint="default" w:ascii="Times New Roman" w:hAnsi="Times New Roman" w:eastAsia="黑体" w:cs="Times New Roman"/>
                <w:color w:val="auto"/>
                <w:kern w:val="0"/>
                <w:szCs w:val="21"/>
              </w:rPr>
              <w:t>区分处理的，只计这一情形，不计其他情形</w:t>
            </w:r>
            <w:bookmarkEnd w:id="3"/>
            <w:r>
              <w:rPr>
                <w:rFonts w:hint="default" w:ascii="Times New Roman" w:hAnsi="Times New Roman" w:eastAsia="黑体" w:cs="Times New Roman"/>
                <w:color w:val="auto"/>
                <w:kern w:val="0"/>
                <w:szCs w:val="21"/>
              </w:rPr>
              <w:t>）</w:t>
            </w:r>
          </w:p>
        </w:tc>
        <w:tc>
          <w:tcPr>
            <w:tcW w:w="752" w:type="dxa"/>
            <w:gridSpan w:val="2"/>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11</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535" w:type="dxa"/>
            <w:gridSpan w:val="6"/>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（三）不予公开</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1.属于国家秘密</w:t>
            </w:r>
          </w:p>
        </w:tc>
        <w:tc>
          <w:tcPr>
            <w:tcW w:w="752"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40"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5" w:type="dxa"/>
            <w:gridSpan w:val="6"/>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4" w:name="_Hlk66974104"/>
            <w:r>
              <w:rPr>
                <w:rFonts w:hint="default" w:ascii="Times New Roman" w:hAnsi="Times New Roman" w:eastAsia="仿宋_GB2312" w:cs="Times New Roman"/>
                <w:color w:val="auto"/>
                <w:kern w:val="0"/>
                <w:szCs w:val="21"/>
              </w:rPr>
              <w:t>其他法律行政法规禁止公开</w:t>
            </w:r>
            <w:bookmarkEnd w:id="4"/>
          </w:p>
        </w:tc>
        <w:tc>
          <w:tcPr>
            <w:tcW w:w="757"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1"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3.危及“三安全一稳定”</w:t>
            </w:r>
          </w:p>
        </w:tc>
        <w:tc>
          <w:tcPr>
            <w:tcW w:w="757"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1"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w:t>
            </w:r>
            <w:bookmarkStart w:id="5" w:name="_Hlk66974290"/>
            <w:r>
              <w:rPr>
                <w:rFonts w:hint="default" w:ascii="Times New Roman" w:hAnsi="Times New Roman" w:eastAsia="仿宋_GB2312" w:cs="Times New Roman"/>
                <w:color w:val="auto"/>
                <w:kern w:val="0"/>
                <w:szCs w:val="21"/>
              </w:rPr>
              <w:t>保护第三方合法权益</w:t>
            </w:r>
            <w:bookmarkEnd w:id="5"/>
          </w:p>
        </w:tc>
        <w:tc>
          <w:tcPr>
            <w:tcW w:w="757"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1"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6.</w:t>
            </w:r>
            <w:bookmarkStart w:id="6" w:name="_Hlk66974555"/>
            <w:r>
              <w:rPr>
                <w:rFonts w:hint="default" w:ascii="Times New Roman" w:hAnsi="Times New Roman" w:eastAsia="仿宋_GB2312" w:cs="Times New Roman"/>
                <w:color w:val="auto"/>
                <w:kern w:val="0"/>
                <w:szCs w:val="21"/>
              </w:rPr>
              <w:t>属于四类过程性信息</w:t>
            </w:r>
            <w:bookmarkEnd w:id="6"/>
          </w:p>
        </w:tc>
        <w:tc>
          <w:tcPr>
            <w:tcW w:w="761"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7.属于行政执法案卷</w:t>
            </w:r>
          </w:p>
        </w:tc>
        <w:tc>
          <w:tcPr>
            <w:tcW w:w="761"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w:t>
            </w:r>
            <w:bookmarkStart w:id="7" w:name="_Hlk66975211"/>
            <w:r>
              <w:rPr>
                <w:rFonts w:hint="default" w:ascii="Times New Roman" w:hAnsi="Times New Roman" w:eastAsia="仿宋_GB2312" w:cs="Times New Roman"/>
                <w:color w:val="auto"/>
                <w:kern w:val="0"/>
                <w:szCs w:val="21"/>
              </w:rPr>
              <w:t>属于行政查询事项</w:t>
            </w:r>
            <w:bookmarkEnd w:id="7"/>
          </w:p>
        </w:tc>
        <w:tc>
          <w:tcPr>
            <w:tcW w:w="761"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（四）无法提供</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71</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8" w:name="_Hlk66975392"/>
            <w:r>
              <w:rPr>
                <w:rFonts w:hint="default" w:ascii="Times New Roman" w:hAnsi="Times New Roman" w:eastAsia="仿宋_GB2312" w:cs="Times New Roman"/>
                <w:color w:val="auto"/>
                <w:kern w:val="0"/>
                <w:szCs w:val="21"/>
              </w:rPr>
              <w:t>没有现成信息需要另行制作</w:t>
            </w:r>
            <w:bookmarkEnd w:id="8"/>
          </w:p>
        </w:tc>
        <w:tc>
          <w:tcPr>
            <w:tcW w:w="765"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w:t>
            </w:r>
            <w:bookmarkStart w:id="9" w:name="_Hlk66975466"/>
            <w:r>
              <w:rPr>
                <w:rFonts w:hint="default" w:ascii="Times New Roman" w:hAnsi="Times New Roman" w:eastAsia="仿宋_GB2312" w:cs="Times New Roman"/>
                <w:color w:val="auto"/>
                <w:kern w:val="0"/>
                <w:szCs w:val="21"/>
              </w:rPr>
              <w:t>补正后申请内容仍不明确</w:t>
            </w:r>
            <w:bookmarkEnd w:id="9"/>
          </w:p>
        </w:tc>
        <w:tc>
          <w:tcPr>
            <w:tcW w:w="765"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（五）不予处理</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w:t>
            </w:r>
            <w:bookmarkStart w:id="10" w:name="_Hlk66975537"/>
            <w:r>
              <w:rPr>
                <w:rFonts w:hint="default" w:ascii="Times New Roman" w:hAnsi="Times New Roman" w:eastAsia="仿宋_GB2312" w:cs="Times New Roman"/>
                <w:color w:val="auto"/>
                <w:kern w:val="0"/>
                <w:szCs w:val="21"/>
              </w:rPr>
              <w:t>信访举报投诉类申请</w:t>
            </w:r>
            <w:bookmarkEnd w:id="10"/>
          </w:p>
        </w:tc>
        <w:tc>
          <w:tcPr>
            <w:tcW w:w="765" w:type="dxa"/>
            <w:gridSpan w:val="5"/>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2.重复申请</w:t>
            </w:r>
          </w:p>
        </w:tc>
        <w:tc>
          <w:tcPr>
            <w:tcW w:w="768" w:type="dxa"/>
            <w:gridSpan w:val="6"/>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5.要求行政机关确认或重新</w:t>
            </w:r>
          </w:p>
          <w:p>
            <w:pPr>
              <w:keepNext w:val="0"/>
              <w:keepLines w:val="0"/>
              <w:pageBreakBefore w:val="0"/>
              <w:widowControl/>
              <w:kinsoku/>
              <w:wordWrap/>
              <w:overflowPunct/>
              <w:topLinePunct w:val="0"/>
              <w:autoSpaceDE/>
              <w:autoSpaceDN/>
              <w:bidi w:val="0"/>
              <w:adjustRightInd/>
              <w:snapToGrid/>
              <w:spacing w:line="240" w:lineRule="auto"/>
              <w:ind w:left="0" w:leftChars="0" w:firstLine="210" w:firstLineChars="100"/>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出具已获取信息</w:t>
            </w:r>
          </w:p>
        </w:tc>
        <w:tc>
          <w:tcPr>
            <w:tcW w:w="768" w:type="dxa"/>
            <w:gridSpan w:val="6"/>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（六）其他处理</w:t>
            </w: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18"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18"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3.其他</w:t>
            </w:r>
          </w:p>
        </w:tc>
        <w:tc>
          <w:tcPr>
            <w:tcW w:w="771"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38"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18"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（七）总计</w:t>
            </w:r>
          </w:p>
        </w:tc>
        <w:tc>
          <w:tcPr>
            <w:tcW w:w="761" w:type="dxa"/>
            <w:gridSpan w:val="4"/>
            <w:shd w:val="clear" w:color="auto" w:fill="auto"/>
            <w:tcMar>
              <w:left w:w="108" w:type="dxa"/>
              <w:right w:w="108" w:type="dxa"/>
            </w:tcMar>
            <w:vAlign w:val="center"/>
          </w:tcPr>
          <w:p>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0</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27"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3</w:t>
            </w:r>
          </w:p>
        </w:tc>
        <w:tc>
          <w:tcPr>
            <w:tcW w:w="700" w:type="dxa"/>
            <w:shd w:val="clear" w:color="auto" w:fill="auto"/>
            <w:tcMar>
              <w:left w:w="108" w:type="dxa"/>
              <w:right w:w="108" w:type="dxa"/>
            </w:tcMar>
            <w:vAlign w:val="center"/>
          </w:tcPr>
          <w:p>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9</w:t>
            </w:r>
          </w:p>
        </w:tc>
        <w:tc>
          <w:tcPr>
            <w:tcW w:w="539" w:type="dxa"/>
            <w:gridSpan w:val="7"/>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9</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pPr>
              <w:widowControl/>
              <w:ind w:left="-149" w:leftChars="-71" w:right="-170" w:rightChars="-8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pPr>
              <w:widowControl/>
              <w:ind w:left="-118" w:leftChars="-56" w:right="-118" w:rightChars="-5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总</w:t>
            </w:r>
          </w:p>
          <w:p>
            <w:pPr>
              <w:widowControl/>
              <w:spacing w:line="320" w:lineRule="exact"/>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bookmarkStart w:id="11" w:name="_Hlk67039688"/>
            <w:r>
              <w:rPr>
                <w:rFonts w:hint="default" w:ascii="Times New Roman" w:hAnsi="Times New Roman" w:eastAsia="黑体" w:cs="Times New Roman"/>
                <w:color w:val="auto"/>
                <w:kern w:val="0"/>
                <w:sz w:val="20"/>
                <w:szCs w:val="20"/>
              </w:rPr>
              <w:t>复议后起诉</w:t>
            </w:r>
            <w:bookmarkEnd w:id="11"/>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pPr>
              <w:widowControl/>
              <w:ind w:left="-126" w:leftChars="-60" w:right="-136" w:rightChars="-65"/>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pPr>
              <w:widowControl/>
              <w:ind w:left="-164" w:leftChars="-78" w:right="-153" w:rightChars="-73"/>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pPr>
              <w:widowControl/>
              <w:ind w:left="-136" w:leftChars="-65" w:right="-124" w:rightChars="-59"/>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pPr>
              <w:widowControl/>
              <w:ind w:left="-173" w:leftChars="-83" w:right="-134" w:rightChars="-64"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54"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4</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3</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7</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1</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4</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5</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r>
    </w:tbl>
    <w:p>
      <w:pPr>
        <w:widowControl/>
        <w:jc w:val="left"/>
        <w:rPr>
          <w:rFonts w:hint="default" w:ascii="Times New Roman" w:hAnsi="Times New Roman" w:eastAsia="仿宋_GB2312" w:cs="Times New Roman"/>
          <w:color w:val="auto"/>
          <w:kern w:val="0"/>
          <w:szCs w:val="21"/>
          <w:lang w:val="en-US" w:eastAsia="zh-CN"/>
        </w:rPr>
      </w:pP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存在的主要问题及改进情况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存在问题：</w:t>
      </w:r>
      <w:r>
        <w:rPr>
          <w:rFonts w:hint="eastAsia" w:ascii="仿宋_GB2312" w:hAnsi="仿宋_GB2312" w:eastAsia="仿宋_GB2312" w:cs="仿宋_GB2312"/>
          <w:color w:val="auto"/>
          <w:sz w:val="32"/>
          <w:szCs w:val="32"/>
          <w:highlight w:val="none"/>
          <w:lang w:val="en-US" w:eastAsia="zh-CN"/>
        </w:rPr>
        <w:t>环翠区政</w:t>
      </w:r>
      <w:r>
        <w:rPr>
          <w:rFonts w:hint="default" w:ascii="Times New Roman" w:hAnsi="Times New Roman" w:eastAsia="仿宋_GB2312" w:cs="Times New Roman"/>
          <w:color w:val="auto"/>
          <w:sz w:val="32"/>
          <w:szCs w:val="32"/>
          <w:highlight w:val="none"/>
          <w:lang w:val="en-US" w:eastAsia="zh-CN"/>
        </w:rPr>
        <w:t xml:space="preserve">务公开工作水平持续提升，但仍存在一些薄弱环节。如政务公开队伍建设需进一步加强、信息发布审核力度需进一步提高、平台建设规范性需进一步提升。  </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下步打算：</w:t>
      </w:r>
      <w:r>
        <w:rPr>
          <w:rFonts w:hint="default" w:ascii="Times New Roman" w:hAnsi="Times New Roman" w:eastAsia="仿宋_GB2312" w:cs="Times New Roman"/>
          <w:color w:val="auto"/>
          <w:sz w:val="32"/>
          <w:szCs w:val="32"/>
          <w:highlight w:val="none"/>
          <w:lang w:val="en-US" w:eastAsia="zh-CN"/>
        </w:rPr>
        <w:t>一是持续完善政务公开各项工作制度，优化考核体系，明确公开责任，强化对工作薄弱镇街和部门的指导，开展新任业务人员工作培训。二是加强信息发布审核制度落实情况检查，执行问题通报扣分制度，全面加强网络安全建设和个人隐私信息保护。三是深化政务公开平台建设，优化栏目和内容设置，提升政府信息发布平台的传播力、引导力、影响力。</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六、其他需要报告的事项</w:t>
      </w:r>
    </w:p>
    <w:p>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highlight w:val="none"/>
          <w:u w:val="single"/>
          <w:lang w:val="en-US" w:eastAsia="zh-CN"/>
        </w:rPr>
      </w:pP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政府信息公开收费方面：</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威海市环翠区所有部门和单位均</w:t>
      </w:r>
      <w:r>
        <w:rPr>
          <w:rFonts w:hint="default" w:ascii="Times New Roman" w:hAnsi="Times New Roman" w:eastAsia="仿宋_GB2312" w:cs="Times New Roman"/>
          <w:color w:val="auto"/>
          <w:sz w:val="32"/>
          <w:szCs w:val="32"/>
          <w:highlight w:val="none"/>
        </w:rPr>
        <w:t>未收取政府信息公开信息处理费。</w:t>
      </w:r>
    </w:p>
    <w:p>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cs="Times New Roman"/>
          <w:color w:val="auto"/>
          <w:sz w:val="32"/>
          <w:szCs w:val="32"/>
          <w:highlight w:val="none"/>
        </w:rPr>
        <w:t>2</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人大代表、政协委员提案办理方面：</w:t>
      </w:r>
      <w:r>
        <w:rPr>
          <w:rFonts w:hint="default" w:ascii="Times New Roman" w:hAnsi="Times New Roman" w:eastAsia="仿宋_GB2312" w:cs="Times New Roman"/>
          <w:color w:val="auto"/>
          <w:sz w:val="32"/>
          <w:szCs w:val="32"/>
          <w:highlight w:val="none"/>
          <w:lang w:val="en-US" w:eastAsia="zh-CN"/>
        </w:rPr>
        <w:t>202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val="en-US" w:eastAsia="zh-CN"/>
        </w:rPr>
        <w:t>年，共收到需我区办理的人大代表建议、政协委员提案1</w:t>
      </w:r>
      <w:r>
        <w:rPr>
          <w:rFonts w:hint="eastAsia" w:ascii="Times New Roman" w:hAnsi="Times New Roman" w:eastAsia="仿宋_GB2312" w:cs="Times New Roman"/>
          <w:color w:val="auto"/>
          <w:sz w:val="32"/>
          <w:szCs w:val="32"/>
          <w:highlight w:val="none"/>
          <w:lang w:val="en-US" w:eastAsia="zh-CN"/>
        </w:rPr>
        <w:t>36</w:t>
      </w:r>
      <w:r>
        <w:rPr>
          <w:rFonts w:hint="default" w:ascii="Times New Roman" w:hAnsi="Times New Roman" w:eastAsia="仿宋_GB2312" w:cs="Times New Roman"/>
          <w:color w:val="auto"/>
          <w:sz w:val="32"/>
          <w:szCs w:val="32"/>
          <w:highlight w:val="none"/>
          <w:lang w:val="en-US" w:eastAsia="zh-CN"/>
        </w:rPr>
        <w:t>件，其中区级人大代表建议41件，区级政协委员提案</w:t>
      </w:r>
      <w:r>
        <w:rPr>
          <w:rFonts w:hint="eastAsia" w:ascii="Times New Roman" w:hAnsi="Times New Roman" w:eastAsia="仿宋_GB2312" w:cs="Times New Roman"/>
          <w:color w:val="auto"/>
          <w:sz w:val="32"/>
          <w:szCs w:val="32"/>
          <w:highlight w:val="none"/>
          <w:lang w:val="en-US" w:eastAsia="zh-CN"/>
        </w:rPr>
        <w:t>95</w:t>
      </w:r>
      <w:r>
        <w:rPr>
          <w:rFonts w:hint="default" w:ascii="Times New Roman" w:hAnsi="Times New Roman" w:eastAsia="仿宋_GB2312" w:cs="Times New Roman"/>
          <w:color w:val="auto"/>
          <w:sz w:val="32"/>
          <w:szCs w:val="32"/>
          <w:highlight w:val="none"/>
          <w:lang w:val="en-US" w:eastAsia="zh-CN"/>
        </w:rPr>
        <w:t>件，未收到上级人大代表建议和政协委员提案。在区人大、区政协的监督、支持和指导下，在各承办单位和经办人员的共同努力下，截至7月底，人大代表建议、政协委员提案已全部落实、办结，面复率及满意率均为100%。</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落实上级政务公开要点做法：</w:t>
      </w:r>
      <w:r>
        <w:rPr>
          <w:rFonts w:hint="eastAsia" w:ascii="仿宋_GB2312" w:hAnsi="仿宋_GB2312" w:eastAsia="仿宋_GB2312" w:cs="仿宋_GB2312"/>
          <w:color w:val="auto"/>
          <w:sz w:val="32"/>
          <w:szCs w:val="32"/>
          <w:highlight w:val="none"/>
        </w:rPr>
        <w:t>根据国务院、省、市</w:t>
      </w:r>
      <w:r>
        <w:rPr>
          <w:rFonts w:hint="default" w:ascii="Times New Roman" w:hAnsi="Times New Roman" w:eastAsia="仿宋_GB2312" w:cs="Times New Roman"/>
          <w:color w:val="auto"/>
          <w:sz w:val="32"/>
          <w:szCs w:val="32"/>
          <w:highlight w:val="none"/>
        </w:rPr>
        <w:t>202</w:t>
      </w:r>
      <w:r>
        <w:rPr>
          <w:rFonts w:hint="default" w:ascii="Times New Roman" w:hAnsi="Times New Roman" w:eastAsia="仿宋_GB2312" w:cs="Times New Roman"/>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年政务公开工作要点要求，结合区委、区政府重点工作，</w:t>
      </w:r>
      <w:r>
        <w:rPr>
          <w:rFonts w:hint="default" w:ascii="Times New Roman" w:hAnsi="Times New Roman" w:eastAsia="仿宋_GB2312" w:cs="Times New Roman"/>
          <w:color w:val="auto"/>
          <w:kern w:val="0"/>
          <w:sz w:val="32"/>
          <w:szCs w:val="32"/>
          <w:highlight w:val="none"/>
          <w:lang w:val="en-US" w:eastAsia="zh-CN" w:bidi="ar"/>
        </w:rPr>
        <w:t>制定环翠区202</w:t>
      </w:r>
      <w:r>
        <w:rPr>
          <w:rFonts w:hint="eastAsia" w:ascii="Times New Roman" w:hAnsi="Times New Roman" w:eastAsia="仿宋_GB2312" w:cs="Times New Roman"/>
          <w:color w:val="auto"/>
          <w:kern w:val="0"/>
          <w:sz w:val="32"/>
          <w:szCs w:val="32"/>
          <w:highlight w:val="none"/>
          <w:lang w:val="en-US" w:eastAsia="zh-CN" w:bidi="ar"/>
        </w:rPr>
        <w:t>4</w:t>
      </w:r>
      <w:r>
        <w:rPr>
          <w:rFonts w:hint="default" w:ascii="Times New Roman" w:hAnsi="Times New Roman" w:eastAsia="仿宋_GB2312" w:cs="Times New Roman"/>
          <w:color w:val="auto"/>
          <w:kern w:val="0"/>
          <w:sz w:val="32"/>
          <w:szCs w:val="32"/>
          <w:highlight w:val="none"/>
          <w:lang w:val="en-US" w:eastAsia="zh-CN" w:bidi="ar"/>
        </w:rPr>
        <w:t>年度政务公开重点工作及责任分工方案，</w:t>
      </w:r>
      <w:r>
        <w:rPr>
          <w:rFonts w:hint="eastAsia" w:ascii="仿宋_GB2312" w:hAnsi="仿宋_GB2312" w:eastAsia="仿宋_GB2312" w:cs="仿宋_GB2312"/>
          <w:color w:val="auto"/>
          <w:sz w:val="32"/>
          <w:szCs w:val="32"/>
          <w:highlight w:val="none"/>
        </w:rPr>
        <w:t>明确了全年政务公开工作重点任务、目标要求、完成时限和责任部门，加大日常督导调度，确保各项工作落实到位。</w:t>
      </w: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37D82B-C2E0-462E-87BF-BA57A7AF09E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FE18A38-A13C-4C83-A5DF-3ECB2904223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decorative"/>
    <w:pitch w:val="default"/>
    <w:sig w:usb0="00000001" w:usb1="080E0000" w:usb2="00000000" w:usb3="00000000" w:csb0="00040000" w:csb1="00000000"/>
    <w:embedRegular r:id="rId3" w:fontKey="{13F198CE-39A9-4ACE-99F3-8E98F0899F2E}"/>
  </w:font>
  <w:font w:name="楷体_GB2312">
    <w:panose1 w:val="02010609030101010101"/>
    <w:charset w:val="86"/>
    <w:family w:val="auto"/>
    <w:pitch w:val="default"/>
    <w:sig w:usb0="00000001" w:usb1="080E0000" w:usb2="00000000" w:usb3="00000000" w:csb0="00040000" w:csb1="00000000"/>
    <w:embedRegular r:id="rId4" w:fontKey="{1D77A223-ED91-412B-BF70-914A9D5017F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44139414-246c-4301-8552-6baef459915a"/>
  </w:docVars>
  <w:rsids>
    <w:rsidRoot w:val="11AF18C8"/>
    <w:rsid w:val="0095088C"/>
    <w:rsid w:val="012D51C9"/>
    <w:rsid w:val="01C4531A"/>
    <w:rsid w:val="076C5D57"/>
    <w:rsid w:val="088A61B1"/>
    <w:rsid w:val="08D157AC"/>
    <w:rsid w:val="09D21BBD"/>
    <w:rsid w:val="0D2C7836"/>
    <w:rsid w:val="0D9F31AB"/>
    <w:rsid w:val="0F3D6E42"/>
    <w:rsid w:val="10AFA3C6"/>
    <w:rsid w:val="11AF18C8"/>
    <w:rsid w:val="11F56D91"/>
    <w:rsid w:val="133256D6"/>
    <w:rsid w:val="13E12516"/>
    <w:rsid w:val="14AD74AF"/>
    <w:rsid w:val="166013EE"/>
    <w:rsid w:val="16821CF2"/>
    <w:rsid w:val="17AA04ED"/>
    <w:rsid w:val="1A6A77C7"/>
    <w:rsid w:val="1AA47505"/>
    <w:rsid w:val="1CB174D9"/>
    <w:rsid w:val="201A18F4"/>
    <w:rsid w:val="20390128"/>
    <w:rsid w:val="212C57D3"/>
    <w:rsid w:val="21E9640B"/>
    <w:rsid w:val="25B73564"/>
    <w:rsid w:val="25E43DAA"/>
    <w:rsid w:val="289625EF"/>
    <w:rsid w:val="29F77E41"/>
    <w:rsid w:val="2A9A5A45"/>
    <w:rsid w:val="2C7A1F15"/>
    <w:rsid w:val="2D6913B6"/>
    <w:rsid w:val="2DF357BC"/>
    <w:rsid w:val="35B86354"/>
    <w:rsid w:val="35F332F8"/>
    <w:rsid w:val="36241E36"/>
    <w:rsid w:val="37DA7D0B"/>
    <w:rsid w:val="3813421A"/>
    <w:rsid w:val="39524831"/>
    <w:rsid w:val="3AA12D62"/>
    <w:rsid w:val="3BB645EB"/>
    <w:rsid w:val="3C2B4FD9"/>
    <w:rsid w:val="3CB02FDD"/>
    <w:rsid w:val="3DF144D8"/>
    <w:rsid w:val="3E173A67"/>
    <w:rsid w:val="3F7F6D07"/>
    <w:rsid w:val="3FA02FAC"/>
    <w:rsid w:val="40307062"/>
    <w:rsid w:val="41105CD2"/>
    <w:rsid w:val="41B051C6"/>
    <w:rsid w:val="45F005CE"/>
    <w:rsid w:val="464F74E8"/>
    <w:rsid w:val="48C937E8"/>
    <w:rsid w:val="48F84A93"/>
    <w:rsid w:val="492C5BF2"/>
    <w:rsid w:val="4977360C"/>
    <w:rsid w:val="49FC1D63"/>
    <w:rsid w:val="4A5B4CDC"/>
    <w:rsid w:val="4A8835F7"/>
    <w:rsid w:val="4B1227D4"/>
    <w:rsid w:val="4DE34C8F"/>
    <w:rsid w:val="4EEF1EC7"/>
    <w:rsid w:val="4FB97C87"/>
    <w:rsid w:val="511E6463"/>
    <w:rsid w:val="54F23AC6"/>
    <w:rsid w:val="56F344A5"/>
    <w:rsid w:val="57236B81"/>
    <w:rsid w:val="573C7C43"/>
    <w:rsid w:val="587A4EC7"/>
    <w:rsid w:val="5B2F2252"/>
    <w:rsid w:val="5BD668B8"/>
    <w:rsid w:val="5C675D8D"/>
    <w:rsid w:val="5D7012B3"/>
    <w:rsid w:val="5F0C04A7"/>
    <w:rsid w:val="5F807B10"/>
    <w:rsid w:val="62930ACC"/>
    <w:rsid w:val="657F7FC2"/>
    <w:rsid w:val="65FA5E5E"/>
    <w:rsid w:val="667E088B"/>
    <w:rsid w:val="68C9088B"/>
    <w:rsid w:val="6C7C7FF0"/>
    <w:rsid w:val="6DC52974"/>
    <w:rsid w:val="6E0334E4"/>
    <w:rsid w:val="71147D32"/>
    <w:rsid w:val="723929E5"/>
    <w:rsid w:val="74B02D5E"/>
    <w:rsid w:val="763A5ADE"/>
    <w:rsid w:val="77181135"/>
    <w:rsid w:val="774C25A1"/>
    <w:rsid w:val="78564BB1"/>
    <w:rsid w:val="787E168D"/>
    <w:rsid w:val="79B62A81"/>
    <w:rsid w:val="7BFC1E22"/>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itle"/>
    <w:basedOn w:val="1"/>
    <w:next w:val="3"/>
    <w:qFormat/>
    <w:uiPriority w:val="0"/>
    <w:pPr>
      <w:jc w:val="center"/>
      <w:outlineLvl w:val="0"/>
    </w:pPr>
    <w:rPr>
      <w:rFonts w:ascii="Arial" w:hAnsi="Arial"/>
      <w:b/>
    </w:rPr>
  </w:style>
  <w:style w:type="paragraph" w:customStyle="1" w:styleId="3">
    <w:name w:val="文章附标题"/>
    <w:basedOn w:val="1"/>
    <w:next w:val="4"/>
    <w:qFormat/>
    <w:uiPriority w:val="0"/>
    <w:pPr>
      <w:spacing w:before="104" w:beforeLines="0" w:after="104" w:afterLines="0" w:line="0" w:lineRule="atLeast"/>
      <w:ind w:firstLine="0" w:firstLineChars="0"/>
      <w:jc w:val="center"/>
    </w:pPr>
    <w:rPr>
      <w:rFonts w:ascii="Calibri" w:hAnsi="Calibri" w:eastAsia="宋体" w:cs="Times New Roman"/>
      <w:sz w:val="36"/>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2742</Words>
  <Characters>2919</Characters>
  <Lines>0</Lines>
  <Paragraphs>0</Paragraphs>
  <TotalTime>67</TotalTime>
  <ScaleCrop>false</ScaleCrop>
  <LinksUpToDate>false</LinksUpToDate>
  <CharactersWithSpaces>2921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李佳欣</cp:lastModifiedBy>
  <cp:lastPrinted>2023-01-16T17:08:00Z</cp:lastPrinted>
  <dcterms:modified xsi:type="dcterms:W3CDTF">2025-03-20T08:48:51Z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D901C2F64D5D4129A461E8D77A49FEEA_13</vt:lpwstr>
  </property>
  <property fmtid="{D5CDD505-2E9C-101B-9397-08002B2CF9AE}" pid="4" name="KSOTemplateDocerSaveRecord">
    <vt:lpwstr>eyJoZGlkIjoiNGY1YzkwZmQzNmNmM2Q4ZTA1YjZlMDMwOGRhYTBkYzUiLCJ1c2VySWQiOiIzMDA2Nzk4OTAifQ==</vt:lpwstr>
  </property>
</Properties>
</file>