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ED2F28">
      <w:pPr>
        <w:jc w:val="center"/>
        <w:rPr>
          <w:rFonts w:ascii="黑体" w:hAnsi="宋体" w:eastAsia="黑体"/>
          <w:sz w:val="44"/>
          <w:szCs w:val="44"/>
        </w:rPr>
      </w:pPr>
    </w:p>
    <w:p w14:paraId="73165B99">
      <w:pPr>
        <w:jc w:val="center"/>
        <w:rPr>
          <w:rFonts w:ascii="黑体" w:hAnsi="宋体" w:eastAsia="黑体"/>
          <w:sz w:val="44"/>
          <w:szCs w:val="44"/>
        </w:rPr>
      </w:pPr>
    </w:p>
    <w:p w14:paraId="05B4AE30">
      <w:pPr>
        <w:jc w:val="center"/>
        <w:rPr>
          <w:rFonts w:ascii="黑体" w:hAnsi="宋体" w:eastAsia="黑体"/>
          <w:sz w:val="44"/>
          <w:szCs w:val="44"/>
        </w:rPr>
      </w:pPr>
    </w:p>
    <w:p w14:paraId="7C92EBA2">
      <w:pPr>
        <w:jc w:val="center"/>
        <w:rPr>
          <w:rFonts w:hint="eastAsia" w:ascii="方正小标宋简体" w:hAnsi="宋体" w:eastAsia="方正小标宋简体"/>
          <w:sz w:val="72"/>
          <w:szCs w:val="72"/>
        </w:rPr>
      </w:pPr>
      <w:r>
        <w:rPr>
          <w:rFonts w:hint="eastAsia" w:ascii="方正小标宋简体" w:hAnsi="宋体" w:eastAsia="方正小标宋简体"/>
          <w:sz w:val="72"/>
          <w:szCs w:val="72"/>
        </w:rPr>
        <w:t>威海远遥渔港港章</w:t>
      </w:r>
    </w:p>
    <w:p w14:paraId="6D0D0B33">
      <w:pPr>
        <w:jc w:val="center"/>
        <w:rPr>
          <w:rFonts w:hint="eastAsia" w:ascii="方正小标宋简体" w:hAnsi="宋体" w:eastAsia="方正小标宋简体"/>
          <w:b w:val="0"/>
          <w:bCs w:val="0"/>
          <w:sz w:val="36"/>
          <w:szCs w:val="36"/>
          <w:lang w:eastAsia="zh-CN"/>
        </w:rPr>
      </w:pPr>
      <w:r>
        <w:rPr>
          <w:rFonts w:hint="eastAsia" w:ascii="方正小标宋简体" w:hAnsi="宋体" w:eastAsia="方正小标宋简体"/>
          <w:b w:val="0"/>
          <w:bCs w:val="0"/>
          <w:sz w:val="36"/>
          <w:szCs w:val="36"/>
          <w:lang w:eastAsia="zh-CN"/>
        </w:rPr>
        <w:t>（</w:t>
      </w:r>
      <w:r>
        <w:rPr>
          <w:rFonts w:hint="eastAsia" w:ascii="方正小标宋简体" w:hAnsi="宋体" w:eastAsia="方正小标宋简体"/>
          <w:b w:val="0"/>
          <w:bCs w:val="0"/>
          <w:sz w:val="36"/>
          <w:szCs w:val="36"/>
          <w:lang w:val="en-US" w:eastAsia="zh-CN"/>
        </w:rPr>
        <w:t>征求意见稿</w:t>
      </w:r>
      <w:r>
        <w:rPr>
          <w:rFonts w:hint="eastAsia" w:ascii="方正小标宋简体" w:hAnsi="宋体" w:eastAsia="方正小标宋简体"/>
          <w:b w:val="0"/>
          <w:bCs w:val="0"/>
          <w:sz w:val="36"/>
          <w:szCs w:val="36"/>
          <w:lang w:eastAsia="zh-CN"/>
        </w:rPr>
        <w:t>）</w:t>
      </w:r>
    </w:p>
    <w:p w14:paraId="48DF1916">
      <w:pPr>
        <w:jc w:val="center"/>
        <w:rPr>
          <w:rFonts w:ascii="黑体" w:hAnsi="宋体" w:eastAsia="黑体"/>
          <w:sz w:val="44"/>
          <w:szCs w:val="44"/>
        </w:rPr>
      </w:pPr>
    </w:p>
    <w:p w14:paraId="4D4521B1">
      <w:pPr>
        <w:jc w:val="center"/>
        <w:rPr>
          <w:rFonts w:ascii="黑体" w:hAnsi="宋体" w:eastAsia="黑体"/>
          <w:sz w:val="44"/>
          <w:szCs w:val="44"/>
        </w:rPr>
      </w:pPr>
    </w:p>
    <w:p w14:paraId="4895CC6E">
      <w:pPr>
        <w:jc w:val="center"/>
        <w:rPr>
          <w:rFonts w:ascii="黑体" w:hAnsi="宋体" w:eastAsia="黑体"/>
          <w:sz w:val="44"/>
          <w:szCs w:val="44"/>
        </w:rPr>
      </w:pPr>
    </w:p>
    <w:p w14:paraId="47750648">
      <w:pPr>
        <w:jc w:val="center"/>
        <w:rPr>
          <w:rFonts w:ascii="黑体" w:hAnsi="宋体" w:eastAsia="黑体"/>
          <w:sz w:val="44"/>
          <w:szCs w:val="44"/>
        </w:rPr>
      </w:pPr>
    </w:p>
    <w:p w14:paraId="24FA8ABE">
      <w:pPr>
        <w:jc w:val="center"/>
        <w:rPr>
          <w:rFonts w:ascii="黑体" w:hAnsi="宋体" w:eastAsia="黑体"/>
          <w:sz w:val="44"/>
          <w:szCs w:val="44"/>
        </w:rPr>
      </w:pPr>
    </w:p>
    <w:p w14:paraId="141FE566">
      <w:pPr>
        <w:jc w:val="center"/>
        <w:rPr>
          <w:rFonts w:ascii="黑体" w:hAnsi="宋体" w:eastAsia="黑体"/>
          <w:sz w:val="44"/>
          <w:szCs w:val="44"/>
        </w:rPr>
      </w:pPr>
    </w:p>
    <w:p w14:paraId="61FA93AA">
      <w:pPr>
        <w:jc w:val="center"/>
        <w:rPr>
          <w:rFonts w:ascii="黑体" w:hAnsi="宋体" w:eastAsia="黑体"/>
          <w:sz w:val="44"/>
          <w:szCs w:val="44"/>
        </w:rPr>
      </w:pPr>
    </w:p>
    <w:p w14:paraId="0475CB52">
      <w:pPr>
        <w:jc w:val="center"/>
        <w:rPr>
          <w:rFonts w:ascii="黑体" w:hAnsi="宋体" w:eastAsia="黑体"/>
          <w:sz w:val="44"/>
          <w:szCs w:val="44"/>
        </w:rPr>
      </w:pPr>
    </w:p>
    <w:p w14:paraId="2C3EE807">
      <w:pPr>
        <w:jc w:val="center"/>
        <w:rPr>
          <w:rFonts w:ascii="黑体" w:hAnsi="宋体" w:eastAsia="黑体"/>
          <w:sz w:val="44"/>
          <w:szCs w:val="44"/>
        </w:rPr>
      </w:pPr>
    </w:p>
    <w:p w14:paraId="43DC991E">
      <w:pPr>
        <w:jc w:val="center"/>
        <w:rPr>
          <w:rFonts w:ascii="黑体" w:hAnsi="宋体" w:eastAsia="黑体"/>
          <w:sz w:val="44"/>
          <w:szCs w:val="44"/>
        </w:rPr>
      </w:pPr>
    </w:p>
    <w:p w14:paraId="325AB3A0">
      <w:pPr>
        <w:jc w:val="center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编制：威海远遥渔港有限公司</w:t>
      </w:r>
    </w:p>
    <w:p w14:paraId="6A04D3D6">
      <w:pPr>
        <w:ind w:firstLine="2400" w:firstLineChars="75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审核：环翠区海洋发展局</w:t>
      </w:r>
    </w:p>
    <w:p w14:paraId="34DCDE62">
      <w:pPr>
        <w:ind w:firstLine="2400" w:firstLineChars="75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发布：环翠区人民政府</w:t>
      </w:r>
    </w:p>
    <w:p w14:paraId="2F912BCA">
      <w:pPr>
        <w:ind w:firstLine="2400" w:firstLineChars="75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时间：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</w:rPr>
        <w:t>日</w:t>
      </w:r>
    </w:p>
    <w:p w14:paraId="2519F629">
      <w:pPr>
        <w:jc w:val="center"/>
        <w:rPr>
          <w:rFonts w:ascii="黑体" w:hAnsi="宋体" w:eastAsia="黑体"/>
          <w:sz w:val="44"/>
          <w:szCs w:val="44"/>
        </w:rPr>
      </w:pPr>
    </w:p>
    <w:p w14:paraId="0A2A48F5">
      <w:pPr>
        <w:widowControl/>
        <w:spacing w:line="600" w:lineRule="exact"/>
        <w:jc w:val="center"/>
        <w:rPr>
          <w:rFonts w:ascii="宋体" w:hAnsi="宋体" w:eastAsia="宋体" w:cs="宋体"/>
          <w:b/>
          <w:kern w:val="0"/>
          <w:sz w:val="44"/>
          <w:szCs w:val="44"/>
        </w:rPr>
      </w:pPr>
      <w:r>
        <w:rPr>
          <w:rFonts w:hint="eastAsia" w:ascii="宋体" w:hAnsi="Times New Roman" w:eastAsia="宋体" w:cs="宋体"/>
          <w:b/>
          <w:kern w:val="0"/>
          <w:sz w:val="44"/>
          <w:szCs w:val="44"/>
        </w:rPr>
        <w:t>目  录</w:t>
      </w:r>
    </w:p>
    <w:p w14:paraId="4C7BEC2C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仿宋_GB2312"/>
          <w:kern w:val="0"/>
          <w:sz w:val="32"/>
          <w:szCs w:val="32"/>
        </w:rPr>
      </w:pPr>
    </w:p>
    <w:p w14:paraId="09F09721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第一章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总则</w:t>
      </w:r>
    </w:p>
    <w:p w14:paraId="19480530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第二章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渔港概况</w:t>
      </w:r>
    </w:p>
    <w:p w14:paraId="1B26B8C9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第三章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渔港管理机构</w:t>
      </w:r>
    </w:p>
    <w:p w14:paraId="35B52AB0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第四章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渔港设施</w:t>
      </w:r>
    </w:p>
    <w:p w14:paraId="486E4C56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第五章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渔船进出港</w:t>
      </w:r>
    </w:p>
    <w:p w14:paraId="023A2F38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第六章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渔船停泊和作业</w:t>
      </w:r>
    </w:p>
    <w:p w14:paraId="0481D525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第七章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渔港经营与服务</w:t>
      </w:r>
    </w:p>
    <w:p w14:paraId="143C3CB5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第八章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渔港安全与环境保护</w:t>
      </w:r>
    </w:p>
    <w:p w14:paraId="3349AB63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第九章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渔港应急事件处置</w:t>
      </w:r>
    </w:p>
    <w:p w14:paraId="38963070">
      <w:pPr>
        <w:widowControl/>
        <w:tabs>
          <w:tab w:val="left" w:pos="1590"/>
        </w:tabs>
        <w:spacing w:line="60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第十章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 xml:space="preserve">                   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禁止与限制性规定</w:t>
      </w:r>
    </w:p>
    <w:p w14:paraId="499576E5">
      <w:pPr>
        <w:widowControl/>
        <w:tabs>
          <w:tab w:val="left" w:pos="1590"/>
        </w:tabs>
        <w:spacing w:line="600" w:lineRule="exact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第十一章</w:t>
      </w:r>
      <w:r>
        <w:rPr>
          <w:rFonts w:ascii="Times New Roman" w:hAnsi="Times New Roman" w:eastAsia="仿宋_GB2312" w:cs="Times New Roman"/>
          <w:kern w:val="0"/>
          <w:sz w:val="14"/>
          <w:szCs w:val="14"/>
        </w:rPr>
        <w:t>            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附则</w:t>
      </w:r>
    </w:p>
    <w:p w14:paraId="7603BFB5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 </w:t>
      </w:r>
    </w:p>
    <w:p w14:paraId="00F9F4F2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33245923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68AC9EC9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135702F1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6A9F3FF3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48993E13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</w:p>
    <w:p w14:paraId="1DD5912E">
      <w:pPr>
        <w:widowControl/>
        <w:spacing w:line="600" w:lineRule="exact"/>
        <w:rPr>
          <w:rFonts w:ascii="黑体" w:hAnsi="宋体" w:eastAsia="黑体" w:cs="宋体"/>
          <w:kern w:val="0"/>
          <w:sz w:val="32"/>
          <w:szCs w:val="32"/>
        </w:rPr>
      </w:pPr>
    </w:p>
    <w:p w14:paraId="57C98ADA">
      <w:pPr>
        <w:widowControl/>
        <w:spacing w:line="600" w:lineRule="exact"/>
        <w:rPr>
          <w:rFonts w:ascii="黑体" w:hAnsi="宋体" w:eastAsia="黑体" w:cs="宋体"/>
          <w:kern w:val="0"/>
          <w:sz w:val="32"/>
          <w:szCs w:val="32"/>
        </w:rPr>
      </w:pPr>
    </w:p>
    <w:p w14:paraId="29357586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第一章  总则</w:t>
      </w:r>
    </w:p>
    <w:p w14:paraId="5FE4373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为了加强渔港规范管理，保障渔港生产安全，维护渔港经营秩序，</w:t>
      </w:r>
      <w:r>
        <w:rPr>
          <w:rFonts w:hint="eastAsia" w:ascii="仿宋_GB2312" w:eastAsia="仿宋_GB2312"/>
          <w:color w:val="000000" w:themeColor="text1"/>
          <w:sz w:val="32"/>
          <w:szCs w:val="32"/>
        </w:rPr>
        <w:t>依据《中华人民共和国渔港水域交通安全管理条例》、《山东省渔业港口和渔业船舶管理条例》、《山东省规范海洋渔业船舶捕捞规定》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，结合本港实际，制定本港章。</w:t>
      </w:r>
    </w:p>
    <w:p w14:paraId="599AB5D7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第二条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在本港从事生产经营活动以及进入港区的船舶、设施、车辆和人员，应当遵守本港章。</w:t>
      </w:r>
    </w:p>
    <w:p w14:paraId="3EBA4FF0">
      <w:pPr>
        <w:widowControl/>
        <w:spacing w:line="600" w:lineRule="exact"/>
        <w:ind w:left="-2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第二章  渔港概况</w:t>
      </w:r>
    </w:p>
    <w:p w14:paraId="339E223E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本港所有权归属威海远遥渔港有限公司，位于山东省威海市环翠区孙家疃街道办事处，东、西、北三面紧邻黄海，毗邻烟威渔场，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水陆交通便利。</w:t>
      </w:r>
    </w:p>
    <w:p w14:paraId="5F401DBF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b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 xml:space="preserve">第四条  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本港处于中纬度地区，属于季风显著的海洋性气候，春、秋、冬季多偏北风，夏季多偏南风，终年不冻；潮汐为不规则半日潮，年平均高潮水位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1.9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米，低潮水位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0.55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米。本港遮蔽风向北、西北。</w:t>
      </w:r>
    </w:p>
    <w:p w14:paraId="0B61D1EF">
      <w:pPr>
        <w:widowControl/>
        <w:spacing w:line="600" w:lineRule="exact"/>
        <w:ind w:firstLine="643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 xml:space="preserve">第五条  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渔港陆域配套设施包括调度指挥中心、冷藏制冰厂、油库、仓库、污水处理站等；</w:t>
      </w:r>
      <w:r>
        <w:rPr>
          <w:rFonts w:hint="eastAsia" w:ascii="仿宋_GB2312" w:hAnsi="Times New Roman" w:eastAsia="仿宋_GB2312" w:cs="Times New Roman"/>
          <w:sz w:val="32"/>
          <w:szCs w:val="32"/>
        </w:rPr>
        <w:t>渔港基础设施包括码头、防波堤、护岸等，荣获“全国文明渔港”称号，</w:t>
      </w:r>
      <w:r>
        <w:rPr>
          <w:rFonts w:ascii="Times New Roman" w:hAnsi="Times New Roman" w:eastAsia="仿宋_GB2312" w:cs="Times New Roman"/>
          <w:sz w:val="32"/>
          <w:szCs w:val="32"/>
        </w:rPr>
        <w:t>是</w:t>
      </w:r>
      <w:r>
        <w:rPr>
          <w:rFonts w:hint="eastAsia" w:ascii="仿宋_GB2312" w:hAnsi="Times New Roman" w:eastAsia="仿宋_GB2312" w:cs="Times New Roman"/>
          <w:sz w:val="32"/>
          <w:szCs w:val="32"/>
        </w:rPr>
        <w:t>农业部公布的国家级海洋捕捞渔获物定点上岸渔港。</w:t>
      </w:r>
    </w:p>
    <w:p w14:paraId="25459CE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 xml:space="preserve">第六条  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港区陆域东至防波堤灯塔、南至护岸、西至港区西围墙、北至防波堤，面积约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25.85万平方米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。港区陆域控制点坐标：</w:t>
      </w:r>
    </w:p>
    <w:p w14:paraId="46A87775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57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698DD60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57.13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19.21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0908DB7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53.62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10.76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61AEF771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51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98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7.3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37C7034C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51.98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07.67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0006902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51.55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09.08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B58201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45.99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11.40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02A552F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43.74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11.69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FE40C2C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39.51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11.95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A60E6B1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37.00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15.88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FFF3C2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34.02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18.11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3B7B0D4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32.78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18.36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886B626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32.72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20.10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4CF4F1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32.93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20.89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28142B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38.16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27.74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FD458B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41.36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27.74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F84362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48.67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17.09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8BBCA7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21.80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77D23E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54.51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24.68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5E042A59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54.51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42.30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0B70B5D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42.30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54CEB48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″E。</w:t>
      </w:r>
    </w:p>
    <w:p w14:paraId="4897D938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第七条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港区水域面积约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63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万平方米。港区水域控制点坐标（港区用海待确权）：</w:t>
      </w:r>
    </w:p>
    <w:p w14:paraId="56A0A30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48.67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17.09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5CB39916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41.23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27.93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159AB3F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37.52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33.58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152012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37.34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03.60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55050454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03.33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CF558B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42.30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F530A3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54.51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42.30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A096FA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54.51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24.68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51BF1C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21.80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62E814D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54.74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60E53304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59.23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16.39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3EDDA6BF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00.00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18.25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97B948D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59.98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53.78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7889345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57.13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4E78402C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57.13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19.21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11C49A95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53.62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10.76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61DD96ED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51.44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06.59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79A5449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18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52.38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06.06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3D2D49C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44.95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37.29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3FF1DB9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24.28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31.45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57584D5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07.21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04.78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2BFB05E1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55.49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53.23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″E。</w:t>
      </w:r>
    </w:p>
    <w:p w14:paraId="20F3C42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01.16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08.85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07C1799A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20.96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39.09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″E；</w:t>
      </w:r>
    </w:p>
    <w:p w14:paraId="6553E2E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25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 xml:space="preserve"> 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42.27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45.02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″E。</w:t>
      </w:r>
    </w:p>
    <w:p w14:paraId="1D38068C">
      <w:pPr>
        <w:widowControl/>
        <w:spacing w:line="600" w:lineRule="exact"/>
        <w:jc w:val="center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第三章  渔港管理机构</w:t>
      </w:r>
    </w:p>
    <w:p w14:paraId="4A7FD29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第八条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环翠区海洋发展局是本港的行政管理部门，组织编制渔港港章，对渔港安全和经营实施监督管理，受理、审核渔港经营许可申请。同时承担本港水域交通安全和防污染监管职责，负责水域交通安全、进出港报告、安全检查，船舶污染渔港水域监督，渔业航标管理等工作。</w:t>
      </w:r>
    </w:p>
    <w:p w14:paraId="1619C2E4">
      <w:pPr>
        <w:widowControl/>
        <w:spacing w:line="600" w:lineRule="exact"/>
        <w:ind w:firstLine="643" w:firstLineChars="200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威海市公安局海岸警察支队孙家疃派出所负责本港治安管理。港区南侧设有警务室。</w:t>
      </w:r>
    </w:p>
    <w:p w14:paraId="079F340F">
      <w:pPr>
        <w:widowControl/>
        <w:spacing w:line="600" w:lineRule="exact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第四章  渔港设施</w:t>
      </w:r>
    </w:p>
    <w:p w14:paraId="3BEA770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第十条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本港</w:t>
      </w:r>
      <w:r>
        <w:rPr>
          <w:rFonts w:ascii="Times New Roman" w:hAnsi="Times New Roman" w:eastAsia="华文仿宋" w:cs="Times New Roman"/>
          <w:sz w:val="32"/>
          <w:szCs w:val="32"/>
        </w:rPr>
        <w:t>码头长1100米，</w:t>
      </w:r>
      <w:r>
        <w:rPr>
          <w:rFonts w:hint="eastAsia" w:ascii="Times New Roman" w:hAnsi="Times New Roman" w:eastAsia="华文仿宋" w:cs="Times New Roman"/>
          <w:sz w:val="32"/>
          <w:szCs w:val="32"/>
        </w:rPr>
        <w:t>设计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泊位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23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个，其中卸渔码头泊位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11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个，供冰码头泊位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个，物资码头泊位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个，其他泊位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个。</w:t>
      </w:r>
    </w:p>
    <w:p w14:paraId="068F0DC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渔港防波堤堤头设灯桩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座，坐标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37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32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56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″N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122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°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05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′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53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″E，桩体红白相间，高度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18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米，红单闪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秒，射程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海里。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座浮标布设航道两侧,为红绿浮标，连闪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10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秒，射程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海里。</w:t>
      </w:r>
    </w:p>
    <w:p w14:paraId="5636CB7B">
      <w:pPr>
        <w:widowControl/>
        <w:spacing w:line="60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第五章  船舶进出港</w:t>
      </w:r>
    </w:p>
    <w:p w14:paraId="723C479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第十二条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本港专门为渔业生产船舶提供服务，未经环翠区海洋发展局同意，其他船舶不得进入本港。</w:t>
      </w:r>
    </w:p>
    <w:p w14:paraId="5A610E3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拟进出本港的渔船应当使用规定的系统向渔业主管部门报告船名、进出港时间、进出港目的等。</w:t>
      </w:r>
    </w:p>
    <w:p w14:paraId="1C67216A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第十四条  </w:t>
      </w:r>
      <w:r>
        <w:rPr>
          <w:rFonts w:hint="eastAsia" w:ascii="仿宋_GB2312" w:hAnsi="仿宋_GB2312" w:eastAsia="仿宋_GB2312" w:cs="仿宋_GB2312"/>
          <w:sz w:val="32"/>
          <w:szCs w:val="32"/>
        </w:rPr>
        <w:t>渔船进出港靠右侧航行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，航速不得超过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节。进港船避让出港船，小型船避让大型船，机动船避让非机动船，</w:t>
      </w:r>
      <w:r>
        <w:rPr>
          <w:rFonts w:hint="eastAsia" w:ascii="仿宋_GB2312" w:hAnsi="宋体" w:eastAsia="仿宋_GB2312" w:cs="宋体"/>
          <w:color w:val="0C0C0C" w:themeColor="text1" w:themeTint="F2"/>
          <w:kern w:val="0"/>
          <w:sz w:val="32"/>
          <w:szCs w:val="32"/>
        </w:rPr>
        <w:t>穿越航道船避让航道内航船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；拖带船（驳）及其他物体应当显示拖带信号，采用旁拖方式，旁拖船数不得超过两艘；拖带舢板、小艇可采用尾拖方式，保持拖缆牢固。</w:t>
      </w:r>
    </w:p>
    <w:p w14:paraId="56DF4DB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渔船进港后和出港前，应当在指定泊位停泊，泊稳后通知渔港管理人员登记，登记完成后，方可作业或驶离渔港。</w:t>
      </w:r>
    </w:p>
    <w:p w14:paraId="03C1E4CE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第十六条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渔港管理公司登记渔船进出港信息，应当使用全省统一的渔船进出港登记系统，如实填报渔船数据，发现进出港渔船有下列情形之一的，立即向渔业主管部门报告，并限制渔船离港：</w:t>
      </w:r>
    </w:p>
    <w:p w14:paraId="44D26B4D">
      <w:pPr>
        <w:widowControl/>
        <w:spacing w:line="600" w:lineRule="exact"/>
        <w:ind w:firstLine="640" w:firstLineChars="200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（一）进出港登记检查不合格的；</w:t>
      </w:r>
    </w:p>
    <w:p w14:paraId="669E60D6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（二）违反伏休管理规定的；</w:t>
      </w:r>
    </w:p>
    <w:p w14:paraId="37F75EA2">
      <w:pPr>
        <w:widowControl/>
        <w:spacing w:line="600" w:lineRule="exact"/>
        <w:ind w:firstLine="640" w:firstLineChars="200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（三）禁止离港或扣押期间离港的；</w:t>
      </w:r>
    </w:p>
    <w:p w14:paraId="2EECE50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（四）被渔业主管部门通报核查的。</w:t>
      </w:r>
    </w:p>
    <w:p w14:paraId="31478823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第十七条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登记渔船进出港信息时，渔港管理公司应当核验渔船信息，查验渔船证书，校验船名、船名牌、船籍港等是否与渔船证书记载相符，利用渔船进出港登记信息系统核实渔船船位是否在本港。</w:t>
      </w:r>
    </w:p>
    <w:p w14:paraId="73831E2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第十八条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渔港管理公司登记渔船出港信息，应当检查渔船安全状况，具体包括：</w:t>
      </w:r>
    </w:p>
    <w:p w14:paraId="121FF7E4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（一）职务船员配备、船员持证以及是否超员；</w:t>
      </w:r>
    </w:p>
    <w:p w14:paraId="0BB43AA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（二）救生消防设备是否齐全有效；</w:t>
      </w:r>
    </w:p>
    <w:p w14:paraId="28A5F7D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（三）AIS、北斗设备完好性及注册信息准确性。</w:t>
      </w:r>
    </w:p>
    <w:p w14:paraId="64AA3B33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第十九条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禁渔期内，未经渔业主管部门批准，伏休渔船不得进出本港。</w:t>
      </w:r>
    </w:p>
    <w:p w14:paraId="2974BD74">
      <w:pPr>
        <w:widowControl/>
        <w:spacing w:line="60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第六章  渔船停泊与作业</w:t>
      </w:r>
    </w:p>
    <w:p w14:paraId="64F787AC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第二十条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渔船进港后，须及时向渔港管理公司报告动态，服从工作人员的调度与指挥，在指定泊位靠泊或作业。</w:t>
      </w:r>
    </w:p>
    <w:p w14:paraId="15F00AEA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渔港管理公司应根据船舶种类、作业类别及泊位功能等合理安排渔船停泊或作业。</w:t>
      </w:r>
    </w:p>
    <w:p w14:paraId="630C7C9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第二十一条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在港停泊的船舶应当留有紧急疏散通道，系泊方式可采用单船单锚或者多船并排单锚。</w:t>
      </w:r>
    </w:p>
    <w:p w14:paraId="2ECB8FF0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第二十二条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渔船靠泊期间，应当留足值班人员，及时应对突发情况。</w:t>
      </w:r>
    </w:p>
    <w:p w14:paraId="3981432F">
      <w:pPr>
        <w:spacing w:line="56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第二十三条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渔船在本港装卸渔获物的，应报告渔获物品种、数量等信息。船载渔获物应当采用箱装或袋装方式上岸。使用吊车、叉车等起重机械装卸的，须报告渔港管理公司；作业期间，船方应当指定专人做好现场安全防护，防止无关人员靠近作业区域。</w:t>
      </w:r>
    </w:p>
    <w:p w14:paraId="710E9AF1">
      <w:pPr>
        <w:pStyle w:val="7"/>
        <w:spacing w:before="0" w:beforeAutospacing="0" w:after="0" w:afterAutospacing="0"/>
        <w:ind w:firstLine="630" w:firstLineChars="196"/>
      </w:pPr>
      <w:r>
        <w:rPr>
          <w:rFonts w:hint="eastAsia" w:ascii="仿宋_GB2312" w:eastAsia="仿宋_GB2312"/>
          <w:b/>
          <w:sz w:val="32"/>
          <w:szCs w:val="32"/>
        </w:rPr>
        <w:t xml:space="preserve">第二十四条 </w:t>
      </w:r>
      <w:r>
        <w:rPr>
          <w:rFonts w:hint="eastAsia" w:ascii="仿宋_GB2312" w:eastAsia="仿宋_GB2312"/>
          <w:sz w:val="32"/>
          <w:szCs w:val="32"/>
        </w:rPr>
        <w:t xml:space="preserve"> 进港装运渔获物的车辆应当至本港网绳场西侧过磅，缴纳过磅费用后，方可离港。渔获物在本港上交易时，有溯源管理要求的，应取得相关合法标签后，方可准予离港。</w:t>
      </w:r>
    </w:p>
    <w:p w14:paraId="4ECB4B9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第二十五条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渔船开展动火、吊装及有限空间作业，作业前须按照程序报备相关材料，渔港管理人员需查验承接作业单位资质、作业人员资质、作业周边环境等是否符合国家有关规定和技术标准要求。</w:t>
      </w:r>
    </w:p>
    <w:p w14:paraId="68697C7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作业期间现场须加强现场值守，设置警戒线，配置必要的安全设备，人员佩戴安全器具。</w:t>
      </w:r>
    </w:p>
    <w:p w14:paraId="1D240E95">
      <w:pPr>
        <w:widowControl/>
        <w:spacing w:line="600" w:lineRule="exact"/>
        <w:ind w:firstLine="643" w:firstLineChars="200"/>
        <w:jc w:val="left"/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b/>
          <w:sz w:val="32"/>
          <w:szCs w:val="32"/>
        </w:rPr>
        <w:t>第二十六条</w:t>
      </w:r>
      <w:r>
        <w:rPr>
          <w:rFonts w:hint="eastAsia" w:ascii="仿宋_GB2312" w:hAnsi="华文仿宋" w:eastAsia="仿宋_GB2312"/>
          <w:sz w:val="32"/>
          <w:szCs w:val="32"/>
        </w:rPr>
        <w:t xml:space="preserve">  油罐车等特种作业车辆进港须提交车辆、人员从业资质等相关证明材料，逐一检查</w:t>
      </w:r>
      <w:r>
        <w:rPr>
          <w:rFonts w:hint="eastAsia" w:ascii="仿宋_GB2312" w:hAnsi="仿宋" w:eastAsia="仿宋_GB2312"/>
          <w:sz w:val="32"/>
          <w:szCs w:val="32"/>
        </w:rPr>
        <w:t>驾驶证件、货运证件、车辆检测证件、危险品运输证件、油品来源与质量等相关证明材料，</w:t>
      </w:r>
      <w:r>
        <w:rPr>
          <w:rFonts w:hint="eastAsia" w:ascii="仿宋_GB2312" w:hAnsi="华文仿宋" w:eastAsia="仿宋_GB2312"/>
          <w:sz w:val="32"/>
          <w:szCs w:val="32"/>
        </w:rPr>
        <w:t>证件齐全，资质合格方可进港。</w:t>
      </w:r>
    </w:p>
    <w:p w14:paraId="1B7EAAF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作业期间须加强现场值守，设置警戒线，配备相应的安全及防污染设备。</w:t>
      </w:r>
    </w:p>
    <w:p w14:paraId="4B403728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第二十七条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渔船结束码头作业，应急立即驶离，在指定地点停泊，不得长时间占用作业泊位。</w:t>
      </w:r>
    </w:p>
    <w:p w14:paraId="6B391622">
      <w:pPr>
        <w:widowControl/>
        <w:spacing w:line="60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第七章  渔港经营与服务</w:t>
      </w:r>
    </w:p>
    <w:p w14:paraId="56CE911C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第二十八条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在本港从事经营活动，应当遵守有关法律、法规和规章的规定，为客户提供公平、良好的港区服务，不得强买强卖或为涉渔“三无”船舶提供服务。</w:t>
      </w:r>
    </w:p>
    <w:p w14:paraId="1820FA61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第二十九条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本港经营人为威海远遥渔港有限公司，已取得威海市海洋发展局颁发的《渔业港口经营许可证》，港内设有渔港调度指挥中心。</w:t>
      </w:r>
    </w:p>
    <w:p w14:paraId="049DAE52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渔港经营人应加强港务管理，维持港区生产作业秩序，定期维护渔港设施，保证设备正常运行。本港可为到港渔船提供下列经营项目：</w:t>
      </w:r>
    </w:p>
    <w:p w14:paraId="0678C44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（一）船舶拖带；</w:t>
      </w:r>
    </w:p>
    <w:p w14:paraId="6A6DD85A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（二）渔获物计量；</w:t>
      </w:r>
    </w:p>
    <w:p w14:paraId="1ED0AEF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（三）加水；</w:t>
      </w:r>
    </w:p>
    <w:p w14:paraId="1100BCB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（四）岸电使用；</w:t>
      </w:r>
    </w:p>
    <w:p w14:paraId="2D1AFF7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（五）溢油防治。</w:t>
      </w:r>
    </w:p>
    <w:p w14:paraId="67826EBF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本港经营收费项目和收费标准按照有关部门批文执行，并在港区公示。</w:t>
      </w:r>
    </w:p>
    <w:p w14:paraId="15F3E53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第三十一条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港区网绳场南侧设有电子显示屏，可为渔船提供信息服务，循环显示气象，预警及渔业管理等信息。</w:t>
      </w:r>
    </w:p>
    <w:p w14:paraId="7D72D25C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第三十二条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本港以外的单位进入本港为渔船提供燃油补给、渔获物装卸等经营活动，须经渔港管理公司批准；作业期间，应当服从渔港管理公司调度和指挥。</w:t>
      </w:r>
    </w:p>
    <w:p w14:paraId="0F426E33">
      <w:pPr>
        <w:widowControl/>
        <w:spacing w:line="600" w:lineRule="exact"/>
        <w:ind w:firstLine="1078" w:firstLineChars="337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第八章  渔港安全与环境保护</w:t>
      </w:r>
    </w:p>
    <w:p w14:paraId="4E7F441A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本港从事生产经营活动的单位、船舶和人员应当接受环翠区海洋发展局依法实施的安全监督检查，不得拒绝、阻扰或者隐匿、谎报有关情况和资料。</w:t>
      </w:r>
    </w:p>
    <w:p w14:paraId="047AEC43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第三十四条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威海远遥渔港有限公司是本港安全生产的责任主体，负责组织机构保障、规章制度保障、安全生产投入保障、教育培训保障、安全管理保障及应急救援保障等。</w:t>
      </w:r>
    </w:p>
    <w:p w14:paraId="5C247F17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任何单位和个人不得破坏渔港设施。船舶碰触航道浮标，应当立即报告渔港管理公司；造成损坏的，承担相应的赔偿责任。</w:t>
      </w:r>
    </w:p>
    <w:p w14:paraId="713D948C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第三十六条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本港码头前水域波高大于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0.5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米时，任何船舶不得进行码头装卸作业。</w:t>
      </w:r>
    </w:p>
    <w:p w14:paraId="5A03A6DD">
      <w:pPr>
        <w:widowControl/>
        <w:spacing w:line="600" w:lineRule="exact"/>
        <w:ind w:firstLine="643" w:firstLineChars="200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第三十七条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车辆进入港区应当谨慎通行，限速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Km/h；除公务车辆和码头作业车辆外，其他车辆不得驶入码头，在指定的区域停放。</w:t>
      </w:r>
    </w:p>
    <w:p w14:paraId="570F7495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第三十八条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凡在本港水域内新建、改建、扩建各种设施，或进行其他水上、水下施工作业，施工单位应当依法向环翠区海洋发展局申请通航安全审核，取得《渔业港口水上水下作业许可证》。</w:t>
      </w:r>
    </w:p>
    <w:p w14:paraId="293267D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施工单位应当按照许可的时间、范围作业；必要时，可向渔业主管部门申请划定作业安全区和设置专用航标；作业结束后应及时清除障碍物。</w:t>
      </w:r>
    </w:p>
    <w:p w14:paraId="44E264D5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第三十九条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在本港水域遗留碍航物的所有人、经营人或者管理人，应当及时设置警示标志，向渔业主管部门报告碍航物的名称、形状、尺寸、位置和深度等信息，并在其限定的期限内打捞清除。</w:t>
      </w:r>
    </w:p>
    <w:p w14:paraId="492FDB44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在港渔船发生火灾事故，应当立即报告渔港管理公司。接报后，须迅速组织救援，疏散事发区域船舶和人员。</w:t>
      </w:r>
    </w:p>
    <w:p w14:paraId="1CE13367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渔港管理公司应当制定防治渔港水域污染的管理制度，配备污染物接收、处理设施，并采取有效措施，防治船舶污染物和陆源污染物污染渔港水域。</w:t>
      </w:r>
    </w:p>
    <w:p w14:paraId="32B4B11C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第四十二条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到港渔船应当将船舶垃圾、生活污水、含油污水排入本港污染物接收、处理设施。</w:t>
      </w:r>
    </w:p>
    <w:p w14:paraId="6BA4659D">
      <w:pPr>
        <w:widowControl/>
        <w:spacing w:line="600" w:lineRule="exact"/>
        <w:ind w:firstLine="643" w:firstLineChars="200"/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管理公司应当监督到港渔船排放船舶垃圾、生活污水、含油污水，如实记录船舶污染物接收、处理或转运台账，并及时清除本港水域内的生活垃圾或废弃物。对未按规定排放船舶污染物的船舶，禁止其开展码头作业。</w:t>
      </w:r>
    </w:p>
    <w:p w14:paraId="15D3BC58">
      <w:pPr>
        <w:widowControl/>
        <w:spacing w:line="600" w:lineRule="exact"/>
        <w:ind w:firstLine="643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第四十四条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到港渔船发生油类、油类混合物或者其他有毒、有害物质泄露造成本港水域污染的，应当立即控制和清除污染，并向渔港管理公司报告。接报后，应当迅速采取应急处置措施。</w:t>
      </w:r>
    </w:p>
    <w:p w14:paraId="06BC4425">
      <w:pPr>
        <w:widowControl/>
        <w:spacing w:line="60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第九章  渔港应急事件处置</w:t>
      </w:r>
    </w:p>
    <w:p w14:paraId="1D5E664A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渔港管理公司应当依法制定生产安全事故、预防自然灾害等应急预案，保障组织实施，定期组织开展演练。</w:t>
      </w:r>
    </w:p>
    <w:p w14:paraId="431DEFFA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第四十六条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渔船在本港水域发生水上安全事故，应当立即上报渔业主管部门，按照指令在指定地点停泊，接受调查处理。拒不服从要求或危害水上交通安全的，环翠区海洋发展局有权对其采取强制性处置措施。</w:t>
      </w:r>
    </w:p>
    <w:p w14:paraId="33087386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第四十七条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渔船在本港水域发生污染事故，应当立即报告渔业主管部门，接受调查处理。为减轻污染损害，事故调查机关有权采取消除、打捞、拖航、过驳等必要措施，相关费用由造成渔港水域污染的渔船或者作业单位承担。</w:t>
      </w:r>
    </w:p>
    <w:p w14:paraId="65226089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第四十八条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有下列情形之一的，渔港管理公司应当立即采取疏散措施，港内船舶、车辆及人员须配合：</w:t>
      </w:r>
    </w:p>
    <w:p w14:paraId="4B3CFDCC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（一）遭遇台风、风暴潮等极端恶劣天气，超过本港设计避险能力的；</w:t>
      </w:r>
    </w:p>
    <w:p w14:paraId="2CB69CA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（二）港内突发重大公共卫生事件的；</w:t>
      </w:r>
    </w:p>
    <w:p w14:paraId="7469EEB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（三）发生火灾、爆炸事故对港口运营产生重大影响的；</w:t>
      </w:r>
    </w:p>
    <w:p w14:paraId="4CBF4529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（四）其他可能危及港内船舶、人员安全的。</w:t>
      </w:r>
    </w:p>
    <w:p w14:paraId="67CF2D51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第四十九条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大风红色预警，渔港管理公司应当采取一切可能的方式通知港内渔船，督促渔船所有人或经营人立即将船上人员全部转移上岸，合理调度渔船停泊避风。对拒不服从政府指令或调度指挥的，及时向渔业主管部门和公安机关报告。</w:t>
      </w:r>
    </w:p>
    <w:p w14:paraId="71071E20">
      <w:pPr>
        <w:widowControl/>
        <w:spacing w:line="60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第十章  禁止及限制性规定</w:t>
      </w:r>
    </w:p>
    <w:p w14:paraId="2FB8937C">
      <w:pPr>
        <w:widowControl/>
        <w:spacing w:line="600" w:lineRule="exact"/>
        <w:ind w:firstLine="643" w:firstLineChars="200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第五十条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本港实行封闭化管理，与港区作业无关的车辆、人员禁止进港；进港车辆、人员须服从渔港管理公司的管理，按规定交纳相关费用。车辆进港后须到指定区域停放。</w:t>
      </w:r>
    </w:p>
    <w:p w14:paraId="1137E281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第五十一条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通航安全禁止与限制：</w:t>
      </w:r>
    </w:p>
    <w:p w14:paraId="1F1D9EC0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（一）禁止在本港水域从事捕捞、养殖、游泳、钓鱼、电鱼、毒鱼、炸鱼、试航等活动；</w:t>
      </w:r>
    </w:p>
    <w:p w14:paraId="4A9AB24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禁止在港区追逐、竞驶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；</w:t>
      </w:r>
    </w:p>
    <w:p w14:paraId="75DB144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 禁止盗窃、损坏渔业航标或者影响渔业航标工作效能；</w:t>
      </w:r>
    </w:p>
    <w:p w14:paraId="46D8469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（四）禁止小型船舶靠泊渔船搭载人员或者物资；</w:t>
      </w:r>
    </w:p>
    <w:p w14:paraId="5613B1E6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（五）禁止无关船舶驶入水上水下作业安全区。</w:t>
      </w:r>
    </w:p>
    <w:p w14:paraId="11EFE4FD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第五十二条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码头作业禁止与限制：</w:t>
      </w:r>
    </w:p>
    <w:p w14:paraId="4D0114A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（一）禁止在码头作业区及港区道路堆放货物，设摊经营，晾晒或弃置渔具、渔获物等；</w:t>
      </w:r>
    </w:p>
    <w:p w14:paraId="21A87CF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ascii="仿宋_GB2312" w:hAnsi="宋体" w:eastAsia="仿宋_GB2312" w:cs="宋体"/>
          <w:kern w:val="0"/>
          <w:sz w:val="32"/>
          <w:szCs w:val="32"/>
        </w:rPr>
        <w:t>（二）渔船加油期间，影响区域内禁止明火；</w:t>
      </w:r>
    </w:p>
    <w:p w14:paraId="317D422B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color w:val="FF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（三）禁止开展水产品交易，任何单位或个人未经渔港管理公司批准不得在码头和船上执秤交易；禁止开展水产品加工；</w:t>
      </w:r>
    </w:p>
    <w:p w14:paraId="33CFD936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（四）禁渔期内，禁止向休渔渔船供油、供冰；</w:t>
      </w:r>
    </w:p>
    <w:p w14:paraId="70CE89E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（五）禁止装卸易燃、易爆、有毒等危险货物。</w:t>
      </w:r>
    </w:p>
    <w:p w14:paraId="5CFA6FB2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第五十三条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环境保护禁止与限制：</w:t>
      </w:r>
    </w:p>
    <w:p w14:paraId="1213427A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（一）禁止向本港水域倾倒和排放废弃物、废油、含油混合物、淤泥、垃圾、污水及其它有毒、有害物质；</w:t>
      </w:r>
    </w:p>
    <w:p w14:paraId="141E3C3D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（二）禁止在本港水域从事船舶除锈、油漆、驳油等作业；</w:t>
      </w:r>
    </w:p>
    <w:p w14:paraId="03F60797">
      <w:pPr>
        <w:widowControl/>
        <w:spacing w:line="600" w:lineRule="exact"/>
        <w:ind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（三）禁止在本港水域开展拆船作业。</w:t>
      </w:r>
    </w:p>
    <w:p w14:paraId="498195DB">
      <w:pPr>
        <w:widowControl/>
        <w:spacing w:line="600" w:lineRule="exact"/>
        <w:ind w:firstLine="643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第五十四条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治安管理禁止与限制：</w:t>
      </w:r>
    </w:p>
    <w:p w14:paraId="1E21007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（一）禁止无证或者酒后驾驶船舶；</w:t>
      </w:r>
    </w:p>
    <w:p w14:paraId="36119E13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（二）禁止伪造、变造船舶户牌；</w:t>
      </w:r>
    </w:p>
    <w:p w14:paraId="6835AC65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</w:t>
      </w:r>
      <w:r>
        <w:rPr>
          <w:rFonts w:hint="eastAsia" w:ascii="仿宋_GB2312" w:eastAsia="仿宋_GB2312"/>
          <w:sz w:val="32"/>
          <w:szCs w:val="32"/>
        </w:rPr>
        <w:t>禁止酗酒、赌博、打架斗殴和其他不正当行为；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对偷渡、走私、贩毒等违法犯罪活动，上报公安、海警部门依法查处；</w:t>
      </w:r>
    </w:p>
    <w:p w14:paraId="39DED18B">
      <w:pPr>
        <w:widowControl/>
        <w:spacing w:line="600" w:lineRule="exact"/>
        <w:ind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（四）禁止强买强卖，强迫他人提供或者接收服务；</w:t>
      </w:r>
    </w:p>
    <w:p w14:paraId="3B519457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（五）禁止在港区燃放烟花爆竹；</w:t>
      </w:r>
    </w:p>
    <w:p w14:paraId="549C4804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（六） 紧急情况下县级以上人民政府依法发布的决定、命令，港内船舶、车辆和人员不得拒绝执行。</w:t>
      </w:r>
    </w:p>
    <w:p w14:paraId="5051A5C5">
      <w:pPr>
        <w:widowControl/>
        <w:spacing w:line="600" w:lineRule="exact"/>
        <w:ind w:left="-1080" w:firstLine="1078" w:firstLineChars="337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第十一章  附则</w:t>
      </w:r>
    </w:p>
    <w:p w14:paraId="7DDEA3EE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第</w:t>
      </w: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五十五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  本港章由环翠区海洋发展局组织编制，环翠区人民政府批准。港口资料统计截止时间为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2024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月。</w:t>
      </w:r>
    </w:p>
    <w:p w14:paraId="0B22AE82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第</w:t>
      </w: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五十六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条  本港章自发布之日起执行。</w:t>
      </w:r>
    </w:p>
    <w:p w14:paraId="6FC58DC8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p w14:paraId="054D07E5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p w14:paraId="39DF8AAF">
      <w:pPr>
        <w:widowControl/>
        <w:spacing w:line="6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ascii="仿宋_GB2312" w:hAnsi="宋体" w:eastAsia="仿宋_GB2312" w:cs="宋体"/>
          <w:kern w:val="0"/>
          <w:sz w:val="32"/>
          <w:szCs w:val="32"/>
        </w:rPr>
        <w:t>附件：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.远遥渔港管理机构及经营服务单位名录</w:t>
      </w:r>
    </w:p>
    <w:p w14:paraId="2CBECCFF">
      <w:pPr>
        <w:widowControl/>
        <w:spacing w:line="600" w:lineRule="exact"/>
        <w:ind w:firstLine="1600" w:firstLineChars="5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.远遥渔港港界示意图</w:t>
      </w:r>
    </w:p>
    <w:p w14:paraId="4ABAC87C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7593DF24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434FA77D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2D74EDAC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4EEDAC61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4F14F3B6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7EE8EA48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53364AA1">
      <w:pPr>
        <w:widowControl/>
        <w:spacing w:line="600" w:lineRule="exact"/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</w:pPr>
    </w:p>
    <w:p w14:paraId="5C1B7713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7F994AF2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3953DA1D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附件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1</w:t>
      </w:r>
    </w:p>
    <w:p w14:paraId="1C196836">
      <w:pPr>
        <w:widowControl/>
        <w:spacing w:line="600" w:lineRule="exac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368C078D">
      <w:pPr>
        <w:widowControl/>
        <w:spacing w:line="600" w:lineRule="exact"/>
        <w:jc w:val="center"/>
        <w:rPr>
          <w:rFonts w:ascii="方正小标宋简体" w:hAnsi="宋体" w:eastAsia="方正小标宋简体" w:cs="宋体"/>
          <w:color w:val="333333"/>
          <w:kern w:val="0"/>
          <w:sz w:val="36"/>
          <w:szCs w:val="36"/>
        </w:rPr>
      </w:pPr>
      <w:r>
        <w:rPr>
          <w:rFonts w:hint="eastAsia" w:ascii="方正小标宋简体" w:hAnsi="宋体" w:eastAsia="方正小标宋简体" w:cs="宋体"/>
          <w:color w:val="333333"/>
          <w:kern w:val="0"/>
          <w:sz w:val="36"/>
          <w:szCs w:val="36"/>
        </w:rPr>
        <w:t>远遥渔港监督管理机构及经营服务单位名录</w:t>
      </w:r>
    </w:p>
    <w:p w14:paraId="6ADD2124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10"/>
        <w:tblW w:w="945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4108"/>
        <w:gridCol w:w="2267"/>
        <w:gridCol w:w="1984"/>
      </w:tblGrid>
      <w:tr w14:paraId="3569CCB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100" w:type="dxa"/>
          </w:tcPr>
          <w:p w14:paraId="130D6855">
            <w:pPr>
              <w:widowControl/>
              <w:spacing w:line="600" w:lineRule="exact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  <w:t>类别</w:t>
            </w:r>
          </w:p>
        </w:tc>
        <w:tc>
          <w:tcPr>
            <w:tcW w:w="4108" w:type="dxa"/>
          </w:tcPr>
          <w:p w14:paraId="21AD8A5E">
            <w:pPr>
              <w:widowControl/>
              <w:spacing w:line="600" w:lineRule="exact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2267" w:type="dxa"/>
          </w:tcPr>
          <w:p w14:paraId="27B4F649">
            <w:pPr>
              <w:widowControl/>
              <w:spacing w:line="600" w:lineRule="exact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  <w:t>位置</w:t>
            </w:r>
          </w:p>
        </w:tc>
        <w:tc>
          <w:tcPr>
            <w:tcW w:w="1984" w:type="dxa"/>
          </w:tcPr>
          <w:p w14:paraId="0574F278">
            <w:pPr>
              <w:widowControl/>
              <w:spacing w:line="600" w:lineRule="exact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 w:val="32"/>
                <w:szCs w:val="32"/>
              </w:rPr>
              <w:t>联系方式</w:t>
            </w:r>
          </w:p>
        </w:tc>
      </w:tr>
      <w:tr w14:paraId="5B42641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100" w:type="dxa"/>
            <w:vMerge w:val="restart"/>
          </w:tcPr>
          <w:p w14:paraId="31DA9787">
            <w:pPr>
              <w:widowControl/>
              <w:spacing w:line="480" w:lineRule="exact"/>
              <w:jc w:val="center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</w:p>
          <w:p w14:paraId="0C7779BB">
            <w:pPr>
              <w:widowControl/>
              <w:spacing w:line="480" w:lineRule="exact"/>
              <w:ind w:firstLine="140" w:firstLineChars="50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监督</w:t>
            </w:r>
          </w:p>
          <w:p w14:paraId="485AB8A1">
            <w:pPr>
              <w:widowControl/>
              <w:spacing w:line="480" w:lineRule="exact"/>
              <w:jc w:val="center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管理</w:t>
            </w:r>
          </w:p>
          <w:p w14:paraId="5E8A01D4">
            <w:pPr>
              <w:widowControl/>
              <w:spacing w:line="480" w:lineRule="exact"/>
              <w:jc w:val="center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机构</w:t>
            </w:r>
          </w:p>
        </w:tc>
        <w:tc>
          <w:tcPr>
            <w:tcW w:w="4108" w:type="dxa"/>
          </w:tcPr>
          <w:p w14:paraId="65DF19C5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环翠区海洋发展局</w:t>
            </w:r>
          </w:p>
        </w:tc>
        <w:tc>
          <w:tcPr>
            <w:tcW w:w="2267" w:type="dxa"/>
          </w:tcPr>
          <w:p w14:paraId="20DF8805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渔港路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68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号</w:t>
            </w:r>
          </w:p>
        </w:tc>
        <w:tc>
          <w:tcPr>
            <w:tcW w:w="1984" w:type="dxa"/>
          </w:tcPr>
          <w:p w14:paraId="2CFE0FE7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0631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5322942</w:t>
            </w:r>
          </w:p>
        </w:tc>
      </w:tr>
      <w:tr w14:paraId="191C291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1100" w:type="dxa"/>
            <w:vMerge w:val="continue"/>
          </w:tcPr>
          <w:p w14:paraId="6C167361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4108" w:type="dxa"/>
          </w:tcPr>
          <w:p w14:paraId="2F62812F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威海市公安局海岸警察支队  孙家疃派出所</w:t>
            </w:r>
          </w:p>
        </w:tc>
        <w:tc>
          <w:tcPr>
            <w:tcW w:w="2267" w:type="dxa"/>
          </w:tcPr>
          <w:p w14:paraId="73505036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永兴路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10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号</w:t>
            </w:r>
          </w:p>
        </w:tc>
        <w:tc>
          <w:tcPr>
            <w:tcW w:w="1984" w:type="dxa"/>
          </w:tcPr>
          <w:p w14:paraId="00493166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0631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5125232</w:t>
            </w:r>
          </w:p>
        </w:tc>
      </w:tr>
      <w:tr w14:paraId="460808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1100" w:type="dxa"/>
            <w:vMerge w:val="continue"/>
          </w:tcPr>
          <w:p w14:paraId="7BF8505B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4108" w:type="dxa"/>
          </w:tcPr>
          <w:p w14:paraId="1CBDE51E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威海市公安局海岸警察支队  孙家疃派出所远遥渔港警务室</w:t>
            </w:r>
          </w:p>
        </w:tc>
        <w:tc>
          <w:tcPr>
            <w:tcW w:w="2267" w:type="dxa"/>
          </w:tcPr>
          <w:p w14:paraId="6AC66DD4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环海路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298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4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号</w:t>
            </w:r>
          </w:p>
        </w:tc>
        <w:tc>
          <w:tcPr>
            <w:tcW w:w="1984" w:type="dxa"/>
          </w:tcPr>
          <w:p w14:paraId="60540BEF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0631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5125232</w:t>
            </w:r>
          </w:p>
        </w:tc>
      </w:tr>
      <w:tr w14:paraId="2929AE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100" w:type="dxa"/>
            <w:vMerge w:val="restart"/>
          </w:tcPr>
          <w:p w14:paraId="0F4EE405">
            <w:pPr>
              <w:widowControl/>
              <w:spacing w:line="480" w:lineRule="exact"/>
              <w:jc w:val="center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经营 服务 单位</w:t>
            </w:r>
          </w:p>
        </w:tc>
        <w:tc>
          <w:tcPr>
            <w:tcW w:w="4108" w:type="dxa"/>
          </w:tcPr>
          <w:p w14:paraId="3E0CC5BE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威海远遥渔港有限公司</w:t>
            </w:r>
          </w:p>
        </w:tc>
        <w:tc>
          <w:tcPr>
            <w:tcW w:w="2267" w:type="dxa"/>
          </w:tcPr>
          <w:p w14:paraId="76B60079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环海路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298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7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号</w:t>
            </w:r>
          </w:p>
        </w:tc>
        <w:tc>
          <w:tcPr>
            <w:tcW w:w="1984" w:type="dxa"/>
          </w:tcPr>
          <w:p w14:paraId="5CE55401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0631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5129969</w:t>
            </w:r>
          </w:p>
        </w:tc>
      </w:tr>
      <w:tr w14:paraId="1D2297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100" w:type="dxa"/>
            <w:vMerge w:val="continue"/>
          </w:tcPr>
          <w:p w14:paraId="00020DB1">
            <w:pPr>
              <w:widowControl/>
              <w:spacing w:line="60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108" w:type="dxa"/>
          </w:tcPr>
          <w:p w14:paraId="31794367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威海市远遥食品冷藏加工厂</w:t>
            </w:r>
          </w:p>
        </w:tc>
        <w:tc>
          <w:tcPr>
            <w:tcW w:w="2267" w:type="dxa"/>
          </w:tcPr>
          <w:p w14:paraId="5EF77784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远遥渔港内西侧</w:t>
            </w:r>
          </w:p>
        </w:tc>
        <w:tc>
          <w:tcPr>
            <w:tcW w:w="1984" w:type="dxa"/>
          </w:tcPr>
          <w:p w14:paraId="5BAB7FA8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0631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5125457</w:t>
            </w:r>
          </w:p>
        </w:tc>
      </w:tr>
      <w:tr w14:paraId="46B58A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100" w:type="dxa"/>
            <w:vMerge w:val="continue"/>
          </w:tcPr>
          <w:p w14:paraId="6B65CCE8">
            <w:pPr>
              <w:widowControl/>
              <w:spacing w:line="60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108" w:type="dxa"/>
          </w:tcPr>
          <w:p w14:paraId="5EC0E624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渔需物资经营业户等</w:t>
            </w:r>
          </w:p>
        </w:tc>
        <w:tc>
          <w:tcPr>
            <w:tcW w:w="2267" w:type="dxa"/>
          </w:tcPr>
          <w:p w14:paraId="7112995A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环海路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298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仿宋_GB2312" w:cs="Times New Roman"/>
                <w:color w:val="333333"/>
                <w:kern w:val="0"/>
                <w:sz w:val="28"/>
                <w:szCs w:val="28"/>
              </w:rPr>
              <w:t>9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28"/>
              </w:rPr>
              <w:t>号</w:t>
            </w:r>
          </w:p>
        </w:tc>
        <w:tc>
          <w:tcPr>
            <w:tcW w:w="1984" w:type="dxa"/>
          </w:tcPr>
          <w:p w14:paraId="71C03FB0">
            <w:pPr>
              <w:widowControl/>
              <w:spacing w:line="480" w:lineRule="exact"/>
              <w:jc w:val="left"/>
              <w:rPr>
                <w:rFonts w:ascii="仿宋_GB2312" w:hAnsi="宋体" w:eastAsia="仿宋_GB2312" w:cs="宋体"/>
                <w:color w:val="333333"/>
                <w:kern w:val="0"/>
                <w:sz w:val="28"/>
                <w:szCs w:val="28"/>
              </w:rPr>
            </w:pPr>
          </w:p>
        </w:tc>
      </w:tr>
    </w:tbl>
    <w:p w14:paraId="04F6900F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631872C6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0E2977F8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07CF7B7D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57BBD99D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395D3A8B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5F486632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4DC1B473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067D7B73">
      <w:pPr>
        <w:widowControl/>
        <w:spacing w:line="600" w:lineRule="exact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68FDD267">
      <w:pPr>
        <w:widowControl/>
        <w:spacing w:line="600" w:lineRule="exact"/>
        <w:jc w:val="left"/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附件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远遥渔港港界示意图</w:t>
      </w:r>
    </w:p>
    <w:p w14:paraId="0095806B"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-16510</wp:posOffset>
            </wp:positionH>
            <wp:positionV relativeFrom="paragraph">
              <wp:posOffset>191770</wp:posOffset>
            </wp:positionV>
            <wp:extent cx="5762625" cy="4487545"/>
            <wp:effectExtent l="19050" t="0" r="9525" b="0"/>
            <wp:wrapSquare wrapText="bothSides"/>
            <wp:docPr id="3" name="图片 3" descr="C:\Users\Administrator\Desktop\微信图片_20240928133758_合并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Administrator\Desktop\微信图片_20240928133758_合并_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4487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0BFFEDF">
      <w:pPr>
        <w:widowControl/>
        <w:spacing w:line="600" w:lineRule="exact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909297"/>
    </w:sdtPr>
    <w:sdtContent>
      <w:p w14:paraId="4BA89634">
        <w:pPr>
          <w:pStyle w:val="5"/>
          <w:jc w:val="right"/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sz w:val="28"/>
            <w:szCs w:val="28"/>
          </w:rPr>
          <w:t xml:space="preserve"> 14 -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6F04B994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B0A99"/>
    <w:rsid w:val="00005485"/>
    <w:rsid w:val="000124E1"/>
    <w:rsid w:val="00025AB8"/>
    <w:rsid w:val="0003488E"/>
    <w:rsid w:val="00042B51"/>
    <w:rsid w:val="00057CD6"/>
    <w:rsid w:val="000631E2"/>
    <w:rsid w:val="000641FA"/>
    <w:rsid w:val="00064D16"/>
    <w:rsid w:val="0006643A"/>
    <w:rsid w:val="000705BE"/>
    <w:rsid w:val="000716EE"/>
    <w:rsid w:val="00072D31"/>
    <w:rsid w:val="000808C6"/>
    <w:rsid w:val="00081864"/>
    <w:rsid w:val="00094A27"/>
    <w:rsid w:val="00097EBB"/>
    <w:rsid w:val="000A0A7A"/>
    <w:rsid w:val="000A20D1"/>
    <w:rsid w:val="000B11D9"/>
    <w:rsid w:val="000B26EE"/>
    <w:rsid w:val="000B5BF6"/>
    <w:rsid w:val="000C19FA"/>
    <w:rsid w:val="000D0164"/>
    <w:rsid w:val="000D16FC"/>
    <w:rsid w:val="000D4076"/>
    <w:rsid w:val="000E1A40"/>
    <w:rsid w:val="000F628E"/>
    <w:rsid w:val="0010063C"/>
    <w:rsid w:val="00110858"/>
    <w:rsid w:val="00114974"/>
    <w:rsid w:val="00123CDC"/>
    <w:rsid w:val="001248AD"/>
    <w:rsid w:val="001248E2"/>
    <w:rsid w:val="001253D9"/>
    <w:rsid w:val="00155A51"/>
    <w:rsid w:val="001576C3"/>
    <w:rsid w:val="00174C38"/>
    <w:rsid w:val="001832F2"/>
    <w:rsid w:val="001836F7"/>
    <w:rsid w:val="001858B4"/>
    <w:rsid w:val="001924C4"/>
    <w:rsid w:val="00194DDB"/>
    <w:rsid w:val="001B4271"/>
    <w:rsid w:val="001C397D"/>
    <w:rsid w:val="001D69A3"/>
    <w:rsid w:val="001E649A"/>
    <w:rsid w:val="001E697D"/>
    <w:rsid w:val="001E75F4"/>
    <w:rsid w:val="001F55FA"/>
    <w:rsid w:val="00200DC1"/>
    <w:rsid w:val="00202C7A"/>
    <w:rsid w:val="00203051"/>
    <w:rsid w:val="00213707"/>
    <w:rsid w:val="002256BC"/>
    <w:rsid w:val="00225EB3"/>
    <w:rsid w:val="0022788B"/>
    <w:rsid w:val="00235404"/>
    <w:rsid w:val="00243D9E"/>
    <w:rsid w:val="00252D17"/>
    <w:rsid w:val="002635AF"/>
    <w:rsid w:val="00271219"/>
    <w:rsid w:val="00276996"/>
    <w:rsid w:val="00277DB5"/>
    <w:rsid w:val="00290D9C"/>
    <w:rsid w:val="0029544C"/>
    <w:rsid w:val="002A074F"/>
    <w:rsid w:val="002A63BF"/>
    <w:rsid w:val="002B0D74"/>
    <w:rsid w:val="002C0353"/>
    <w:rsid w:val="002D430F"/>
    <w:rsid w:val="002F7503"/>
    <w:rsid w:val="0030494F"/>
    <w:rsid w:val="00310C74"/>
    <w:rsid w:val="00316422"/>
    <w:rsid w:val="00323698"/>
    <w:rsid w:val="00343340"/>
    <w:rsid w:val="003710F4"/>
    <w:rsid w:val="00397F67"/>
    <w:rsid w:val="003A2195"/>
    <w:rsid w:val="003C002F"/>
    <w:rsid w:val="003C030D"/>
    <w:rsid w:val="003C41C8"/>
    <w:rsid w:val="003F3640"/>
    <w:rsid w:val="003F4A34"/>
    <w:rsid w:val="00421202"/>
    <w:rsid w:val="00424C05"/>
    <w:rsid w:val="004306AB"/>
    <w:rsid w:val="00433934"/>
    <w:rsid w:val="00433B4C"/>
    <w:rsid w:val="0043562F"/>
    <w:rsid w:val="00467BCD"/>
    <w:rsid w:val="00467EBB"/>
    <w:rsid w:val="004760AD"/>
    <w:rsid w:val="00477E9A"/>
    <w:rsid w:val="004801CB"/>
    <w:rsid w:val="00495013"/>
    <w:rsid w:val="00496330"/>
    <w:rsid w:val="004A529C"/>
    <w:rsid w:val="004A5DFE"/>
    <w:rsid w:val="004B5265"/>
    <w:rsid w:val="004C3C9E"/>
    <w:rsid w:val="004D64FF"/>
    <w:rsid w:val="004D6923"/>
    <w:rsid w:val="004E011A"/>
    <w:rsid w:val="004E0857"/>
    <w:rsid w:val="004E2D10"/>
    <w:rsid w:val="004E5332"/>
    <w:rsid w:val="004F37C6"/>
    <w:rsid w:val="004F3F95"/>
    <w:rsid w:val="004F43DD"/>
    <w:rsid w:val="004F7A21"/>
    <w:rsid w:val="00500C2D"/>
    <w:rsid w:val="005021E9"/>
    <w:rsid w:val="00514EE2"/>
    <w:rsid w:val="00535F86"/>
    <w:rsid w:val="00540C88"/>
    <w:rsid w:val="00542408"/>
    <w:rsid w:val="00544C34"/>
    <w:rsid w:val="005465C5"/>
    <w:rsid w:val="0054772F"/>
    <w:rsid w:val="005762B5"/>
    <w:rsid w:val="00576BCB"/>
    <w:rsid w:val="00577932"/>
    <w:rsid w:val="005827BE"/>
    <w:rsid w:val="00582D05"/>
    <w:rsid w:val="0059340D"/>
    <w:rsid w:val="005D494A"/>
    <w:rsid w:val="005D56C5"/>
    <w:rsid w:val="005D72E5"/>
    <w:rsid w:val="005E5C59"/>
    <w:rsid w:val="005F3960"/>
    <w:rsid w:val="005F4E50"/>
    <w:rsid w:val="006066DB"/>
    <w:rsid w:val="0062362F"/>
    <w:rsid w:val="0063151B"/>
    <w:rsid w:val="00636698"/>
    <w:rsid w:val="00641882"/>
    <w:rsid w:val="00643324"/>
    <w:rsid w:val="00647789"/>
    <w:rsid w:val="006530D7"/>
    <w:rsid w:val="00654CC7"/>
    <w:rsid w:val="006561D0"/>
    <w:rsid w:val="00657E11"/>
    <w:rsid w:val="00666793"/>
    <w:rsid w:val="00670E8A"/>
    <w:rsid w:val="006717D5"/>
    <w:rsid w:val="00680D6E"/>
    <w:rsid w:val="00681926"/>
    <w:rsid w:val="00681ADD"/>
    <w:rsid w:val="006A06AC"/>
    <w:rsid w:val="006A46B2"/>
    <w:rsid w:val="006B0307"/>
    <w:rsid w:val="006C4602"/>
    <w:rsid w:val="006D006A"/>
    <w:rsid w:val="006D1ED3"/>
    <w:rsid w:val="00707B7B"/>
    <w:rsid w:val="00724CCF"/>
    <w:rsid w:val="00727082"/>
    <w:rsid w:val="00740AD8"/>
    <w:rsid w:val="00742D30"/>
    <w:rsid w:val="00752E82"/>
    <w:rsid w:val="00757650"/>
    <w:rsid w:val="00770BCA"/>
    <w:rsid w:val="00773DE2"/>
    <w:rsid w:val="00781B19"/>
    <w:rsid w:val="00782531"/>
    <w:rsid w:val="007827EB"/>
    <w:rsid w:val="007833BD"/>
    <w:rsid w:val="007A34CA"/>
    <w:rsid w:val="007B0A99"/>
    <w:rsid w:val="007B2DA3"/>
    <w:rsid w:val="007C0738"/>
    <w:rsid w:val="007C439D"/>
    <w:rsid w:val="007C6391"/>
    <w:rsid w:val="007D4295"/>
    <w:rsid w:val="007E75E8"/>
    <w:rsid w:val="00801812"/>
    <w:rsid w:val="00802481"/>
    <w:rsid w:val="00820850"/>
    <w:rsid w:val="008243BD"/>
    <w:rsid w:val="00827435"/>
    <w:rsid w:val="00830D46"/>
    <w:rsid w:val="00837036"/>
    <w:rsid w:val="00850B56"/>
    <w:rsid w:val="008515C8"/>
    <w:rsid w:val="0085215F"/>
    <w:rsid w:val="00867ADD"/>
    <w:rsid w:val="00870E63"/>
    <w:rsid w:val="008904A6"/>
    <w:rsid w:val="008A3F04"/>
    <w:rsid w:val="008B2310"/>
    <w:rsid w:val="008D68BE"/>
    <w:rsid w:val="008F0131"/>
    <w:rsid w:val="008F1C3C"/>
    <w:rsid w:val="008F420A"/>
    <w:rsid w:val="00901C83"/>
    <w:rsid w:val="009061D9"/>
    <w:rsid w:val="00910787"/>
    <w:rsid w:val="009132B7"/>
    <w:rsid w:val="00917A73"/>
    <w:rsid w:val="00920567"/>
    <w:rsid w:val="00920B38"/>
    <w:rsid w:val="00921E90"/>
    <w:rsid w:val="0092342E"/>
    <w:rsid w:val="0094166C"/>
    <w:rsid w:val="00947B38"/>
    <w:rsid w:val="00952A7E"/>
    <w:rsid w:val="00954BB6"/>
    <w:rsid w:val="00965937"/>
    <w:rsid w:val="0096742E"/>
    <w:rsid w:val="00993902"/>
    <w:rsid w:val="009A2236"/>
    <w:rsid w:val="009A582D"/>
    <w:rsid w:val="009A597E"/>
    <w:rsid w:val="009A6A8A"/>
    <w:rsid w:val="009B1BA3"/>
    <w:rsid w:val="009B5CA9"/>
    <w:rsid w:val="009B5EE1"/>
    <w:rsid w:val="009B69A7"/>
    <w:rsid w:val="009C26E9"/>
    <w:rsid w:val="009D2BE6"/>
    <w:rsid w:val="009E51ED"/>
    <w:rsid w:val="009E597A"/>
    <w:rsid w:val="00A025C4"/>
    <w:rsid w:val="00A13EC9"/>
    <w:rsid w:val="00A162F6"/>
    <w:rsid w:val="00A22ABE"/>
    <w:rsid w:val="00A26F12"/>
    <w:rsid w:val="00A30ACF"/>
    <w:rsid w:val="00A36BF5"/>
    <w:rsid w:val="00A53DCD"/>
    <w:rsid w:val="00A72774"/>
    <w:rsid w:val="00A80758"/>
    <w:rsid w:val="00A90809"/>
    <w:rsid w:val="00A90AD5"/>
    <w:rsid w:val="00A90B76"/>
    <w:rsid w:val="00A90BDB"/>
    <w:rsid w:val="00A91BDE"/>
    <w:rsid w:val="00AA4F84"/>
    <w:rsid w:val="00AA5B00"/>
    <w:rsid w:val="00AB22C2"/>
    <w:rsid w:val="00AB5B63"/>
    <w:rsid w:val="00AC5B2A"/>
    <w:rsid w:val="00AD0967"/>
    <w:rsid w:val="00AD1C2E"/>
    <w:rsid w:val="00AF7123"/>
    <w:rsid w:val="00B00243"/>
    <w:rsid w:val="00B0289E"/>
    <w:rsid w:val="00B07689"/>
    <w:rsid w:val="00B07F00"/>
    <w:rsid w:val="00B107EB"/>
    <w:rsid w:val="00B13B10"/>
    <w:rsid w:val="00B32626"/>
    <w:rsid w:val="00B41BBB"/>
    <w:rsid w:val="00B500A7"/>
    <w:rsid w:val="00B52A1A"/>
    <w:rsid w:val="00B64160"/>
    <w:rsid w:val="00B66C86"/>
    <w:rsid w:val="00B70CE4"/>
    <w:rsid w:val="00B9638D"/>
    <w:rsid w:val="00BA4EEE"/>
    <w:rsid w:val="00BC4431"/>
    <w:rsid w:val="00BC6E5A"/>
    <w:rsid w:val="00BD45F8"/>
    <w:rsid w:val="00BE6AFB"/>
    <w:rsid w:val="00C051CB"/>
    <w:rsid w:val="00C14A61"/>
    <w:rsid w:val="00C2055F"/>
    <w:rsid w:val="00C26F80"/>
    <w:rsid w:val="00C4240F"/>
    <w:rsid w:val="00C6375F"/>
    <w:rsid w:val="00C654D4"/>
    <w:rsid w:val="00C66E4F"/>
    <w:rsid w:val="00C71EA3"/>
    <w:rsid w:val="00C74DD9"/>
    <w:rsid w:val="00C75286"/>
    <w:rsid w:val="00C76C4E"/>
    <w:rsid w:val="00C87B53"/>
    <w:rsid w:val="00C91540"/>
    <w:rsid w:val="00CA7541"/>
    <w:rsid w:val="00CB16D0"/>
    <w:rsid w:val="00CC5840"/>
    <w:rsid w:val="00CE6723"/>
    <w:rsid w:val="00CF6C42"/>
    <w:rsid w:val="00D023C3"/>
    <w:rsid w:val="00D0261A"/>
    <w:rsid w:val="00D02C15"/>
    <w:rsid w:val="00D15123"/>
    <w:rsid w:val="00D15D8E"/>
    <w:rsid w:val="00D24852"/>
    <w:rsid w:val="00D33F76"/>
    <w:rsid w:val="00D4389E"/>
    <w:rsid w:val="00D52080"/>
    <w:rsid w:val="00D5573C"/>
    <w:rsid w:val="00D622BA"/>
    <w:rsid w:val="00D804A0"/>
    <w:rsid w:val="00D925CE"/>
    <w:rsid w:val="00D95B48"/>
    <w:rsid w:val="00D967F6"/>
    <w:rsid w:val="00DA0050"/>
    <w:rsid w:val="00DA434E"/>
    <w:rsid w:val="00DB708F"/>
    <w:rsid w:val="00DC1445"/>
    <w:rsid w:val="00DC693D"/>
    <w:rsid w:val="00DE0132"/>
    <w:rsid w:val="00DE112B"/>
    <w:rsid w:val="00DE1ECE"/>
    <w:rsid w:val="00DE4A30"/>
    <w:rsid w:val="00DE4DD7"/>
    <w:rsid w:val="00DE72CC"/>
    <w:rsid w:val="00DF3B99"/>
    <w:rsid w:val="00DF6846"/>
    <w:rsid w:val="00E007DF"/>
    <w:rsid w:val="00E02ED0"/>
    <w:rsid w:val="00E04D7A"/>
    <w:rsid w:val="00E10F7E"/>
    <w:rsid w:val="00E14B21"/>
    <w:rsid w:val="00E1504B"/>
    <w:rsid w:val="00E160BC"/>
    <w:rsid w:val="00E16633"/>
    <w:rsid w:val="00E21034"/>
    <w:rsid w:val="00E35B81"/>
    <w:rsid w:val="00E40D31"/>
    <w:rsid w:val="00E44ED8"/>
    <w:rsid w:val="00E47603"/>
    <w:rsid w:val="00E55272"/>
    <w:rsid w:val="00E55532"/>
    <w:rsid w:val="00E70C3B"/>
    <w:rsid w:val="00E71C30"/>
    <w:rsid w:val="00E80AB0"/>
    <w:rsid w:val="00E820DA"/>
    <w:rsid w:val="00E83997"/>
    <w:rsid w:val="00E84C4C"/>
    <w:rsid w:val="00E8679A"/>
    <w:rsid w:val="00E97AE7"/>
    <w:rsid w:val="00EA10AF"/>
    <w:rsid w:val="00EA41CC"/>
    <w:rsid w:val="00EB7326"/>
    <w:rsid w:val="00EC0EDE"/>
    <w:rsid w:val="00EC3B9E"/>
    <w:rsid w:val="00ED00DC"/>
    <w:rsid w:val="00ED195E"/>
    <w:rsid w:val="00ED2BEB"/>
    <w:rsid w:val="00F1483F"/>
    <w:rsid w:val="00F35022"/>
    <w:rsid w:val="00F36ED6"/>
    <w:rsid w:val="00F43A2B"/>
    <w:rsid w:val="00F539F9"/>
    <w:rsid w:val="00F7001B"/>
    <w:rsid w:val="00F75291"/>
    <w:rsid w:val="00F82384"/>
    <w:rsid w:val="00F94648"/>
    <w:rsid w:val="00F948B9"/>
    <w:rsid w:val="00F9611C"/>
    <w:rsid w:val="00F968EC"/>
    <w:rsid w:val="00FA1305"/>
    <w:rsid w:val="00FC2E32"/>
    <w:rsid w:val="00FC3A19"/>
    <w:rsid w:val="00FE765D"/>
    <w:rsid w:val="00FF68E3"/>
    <w:rsid w:val="1B391A9C"/>
    <w:rsid w:val="25A3185A"/>
    <w:rsid w:val="285E0C27"/>
    <w:rsid w:val="34280633"/>
    <w:rsid w:val="3F8F8FBE"/>
    <w:rsid w:val="55EE2EA8"/>
    <w:rsid w:val="57BB500C"/>
    <w:rsid w:val="67DF55EB"/>
    <w:rsid w:val="77BA53B8"/>
    <w:rsid w:val="7BDD2EF3"/>
    <w:rsid w:val="7F9F94EE"/>
    <w:rsid w:val="DB3BBBE6"/>
    <w:rsid w:val="EF3F7E8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3">
    <w:name w:val="Body Text Indent"/>
    <w:basedOn w:val="1"/>
    <w:link w:val="13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4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annotation subject"/>
    <w:basedOn w:val="2"/>
    <w:next w:val="2"/>
    <w:link w:val="19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customStyle="1" w:styleId="13">
    <w:name w:val="正文文本缩进 Char"/>
    <w:basedOn w:val="11"/>
    <w:link w:val="3"/>
    <w:semiHidden/>
    <w:qFormat/>
    <w:uiPriority w:val="99"/>
    <w:rPr>
      <w:rFonts w:ascii="宋体" w:hAnsi="宋体" w:eastAsia="宋体" w:cs="宋体"/>
      <w:kern w:val="0"/>
      <w:sz w:val="24"/>
      <w:szCs w:val="24"/>
    </w:rPr>
  </w:style>
  <w:style w:type="character" w:customStyle="1" w:styleId="14">
    <w:name w:val="页眉 Char"/>
    <w:basedOn w:val="11"/>
    <w:link w:val="6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1"/>
    <w:link w:val="5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批注框文本 Char"/>
    <w:basedOn w:val="11"/>
    <w:link w:val="4"/>
    <w:semiHidden/>
    <w:qFormat/>
    <w:uiPriority w:val="99"/>
    <w:rPr>
      <w:sz w:val="18"/>
      <w:szCs w:val="18"/>
    </w:rPr>
  </w:style>
  <w:style w:type="character" w:customStyle="1" w:styleId="18">
    <w:name w:val="批注文字 Char"/>
    <w:basedOn w:val="11"/>
    <w:link w:val="2"/>
    <w:semiHidden/>
    <w:qFormat/>
    <w:uiPriority w:val="99"/>
    <w:rPr>
      <w:kern w:val="2"/>
      <w:sz w:val="21"/>
      <w:szCs w:val="22"/>
    </w:rPr>
  </w:style>
  <w:style w:type="character" w:customStyle="1" w:styleId="19">
    <w:name w:val="批注主题 Char"/>
    <w:basedOn w:val="18"/>
    <w:link w:val="8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17</Pages>
  <Words>5782</Words>
  <Characters>6586</Characters>
  <Lines>51</Lines>
  <Paragraphs>14</Paragraphs>
  <TotalTime>528</TotalTime>
  <ScaleCrop>false</ScaleCrop>
  <LinksUpToDate>false</LinksUpToDate>
  <CharactersWithSpaces>7033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2014-08-10T18:17:00Z</dcterms:created>
  <dc:creator>Sky123.Org</dc:creator>
  <cp:lastModifiedBy>user</cp:lastModifiedBy>
  <cp:lastPrinted>2024-07-27T00:05:00Z</cp:lastPrinted>
  <dcterms:modified xsi:type="dcterms:W3CDTF">2025-12-05T17:34:02Z</dcterms:modified>
  <cp:revision>192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KSOTemplateDocerSaveRecord">
    <vt:lpwstr>eyJoZGlkIjoiMDMzZTc4ZmU2NzI5MTg1NmMzM2RiN2JjZDg3NTk2Y2EiLCJ1c2VySWQiOiIzMDY4NDMyNDkifQ==</vt:lpwstr>
  </property>
  <property fmtid="{D5CDD505-2E9C-101B-9397-08002B2CF9AE}" pid="4" name="ICV">
    <vt:lpwstr>C53159BFA4114C68A4D43D89958C95BB_12</vt:lpwstr>
  </property>
</Properties>
</file>