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both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威海市环翠区民政局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0" w:right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  <w:lang w:val="en-US" w:eastAsia="zh-CN"/>
        </w:rPr>
        <w:t>2024年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-17"/>
          <w:sz w:val="44"/>
          <w:szCs w:val="44"/>
          <w:shd w:val="clear" w:fill="FFFFFF"/>
        </w:rPr>
        <w:t>政府信息公开工作</w:t>
      </w:r>
      <w:r>
        <w:rPr>
          <w:rFonts w:hint="eastAsia" w:ascii="方正小标宋简体" w:hAnsi="方正小标宋简体" w:eastAsia="方正小标宋简体" w:cs="方正小标宋简体"/>
          <w:b w:val="0"/>
          <w:bCs/>
          <w:i w:val="0"/>
          <w:caps w:val="0"/>
          <w:color w:val="333333"/>
          <w:spacing w:val="0"/>
          <w:sz w:val="44"/>
          <w:szCs w:val="44"/>
          <w:shd w:val="clear" w:fill="FFFFFF"/>
        </w:rPr>
        <w:t>年度报告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jc w:val="both"/>
        <w:textAlignment w:val="auto"/>
        <w:rPr>
          <w:rFonts w:hint="default" w:ascii="Times New Roman" w:hAnsi="Times New Roman" w:eastAsia="仿宋_GB2312" w:cs="Times New Roman"/>
          <w:color w:val="000000"/>
          <w:sz w:val="32"/>
          <w:szCs w:val="32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根据《中华人民共和国政府信息公开条例》（国务院令第</w:t>
      </w:r>
      <w:r>
        <w:rPr>
          <w:rFonts w:hint="default" w:ascii="Times New Roman" w:hAnsi="Times New Roman" w:cs="Times New Roman"/>
          <w:color w:val="000000"/>
          <w:sz w:val="32"/>
          <w:szCs w:val="32"/>
        </w:rPr>
        <w:t>711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号，以下简称《条例》）和《中华人民共和国政府信息公开工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作年度报告格式》（国办公开办函〔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〕30号）要求，结合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政府信息公开工作实际，编制发布本报告。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="0" w:beforeAutospacing="0" w:after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本报告内容包括：总体情况、主动公开政府信息情况、收到和处理政府信息公开申请情况、政府信息公开行政复议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行政诉讼情况、存在的主要问题及改进情况、其他事项，以及相关指标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统计附表等。报告中所列数据统计期限从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202</w:t>
      </w:r>
      <w:r>
        <w:rPr>
          <w:rFonts w:hint="default" w:ascii="Times New Roman" w:hAnsi="Times New Roman" w:cs="Times New Roman"/>
          <w:color w:val="auto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日到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default" w:ascii="Times New Roman" w:hAnsi="Times New Roman" w:cs="Times New Roman"/>
          <w:color w:val="auto"/>
          <w:sz w:val="32"/>
          <w:szCs w:val="32"/>
        </w:rPr>
        <w:t>31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日止。报告电子版可从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网站（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网址：http://www.huancui.gov.cn/col/col57856/index.html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）查阅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或下载。公众如需进一步咨询了解相关信息，请与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联系（地址：威海市环翠区花园北路48号，电话：</w:t>
      </w:r>
      <w:r>
        <w:rPr>
          <w:rFonts w:hint="default" w:ascii="Times New Roman" w:hAnsi="Times New Roman" w:eastAsia="微软雅黑" w:cs="Times New Roman"/>
          <w:i w:val="0"/>
          <w:iCs w:val="0"/>
          <w:caps w:val="0"/>
          <w:color w:val="333333"/>
          <w:spacing w:val="0"/>
          <w:sz w:val="32"/>
          <w:szCs w:val="32"/>
        </w:rPr>
        <w:t>5223723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）。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一、总体情况</w:t>
      </w:r>
      <w:bookmarkStart w:id="10" w:name="_GoBack"/>
      <w:bookmarkEnd w:id="10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威海市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环翠区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民政局坚持以习近平新时代中国特色社会主义思想为指导，深入贯彻落实党的二十大精神，按照《条例》和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政府关于全面推进政务公开工作的部署和要求，紧紧围绕202</w:t>
      </w:r>
      <w:r>
        <w:rPr>
          <w:rFonts w:hint="eastAsia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lang w:val="en-US" w:eastAsia="zh-CN"/>
        </w:rPr>
        <w:t>年政务公开工作要点及民政工作，以提升政务公开质量为主线，不断拓展公开内容，完善公开制度，强化公开监督，政务公开工作取得了一定成效。现将有关情况报告如下：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1.主动公开方面。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2024年，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按照区政府政务公开科的要求，围绕民政领域重点工作，不断健全完善政府信息公开工作制度。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全年通过威海市环翠区民政局网站主动公开发布信息183条，主动公开政府信息包括人事信息28条，政策文件信息4条，政府会议5条，财政预决算信息4条，重点领域信息129条，建议提案信息5条，业务动态信息5条，政务公开组织管理信息3条。通过“最威海市环翠”发布信息324条。主动公开规范性文件1件，发布文字、图文、音视频等各类解读材料2条，开展意见征集1次，组织政府开放日活动1次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eastAsia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2.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依申请公开工作方面。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2024年，收到政府信息公开申请0件，全年未发生因政府信息公开工作引发举报、投诉、申请行政复议或提起行政诉讼的情况。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3.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政府信息管理方面。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严格执行信息公开审查制度，动态完善我局政务公开制度，制定了环翠区民政局主动公开事项目录清单，修订局政策信息公开考核办法，严格执行政府信息公开发布机制、“三审三校”机制、公开协调机制、保密审查机制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4.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平台建设方面。</w:t>
      </w:r>
      <w:r>
        <w:rPr>
          <w:rFonts w:hint="eastAsia" w:ascii="仿宋_GB2312" w:hAnsi="仿宋_GB2312" w:eastAsia="仿宋_GB2312" w:cs="仿宋_GB2312"/>
          <w:b w:val="0"/>
          <w:bCs/>
          <w:color w:val="auto"/>
          <w:sz w:val="32"/>
          <w:szCs w:val="32"/>
          <w:lang w:val="en-US" w:eastAsia="zh-CN"/>
        </w:rPr>
        <w:t>加强网站建设管理，严格信息发布审核制度，杜绝政治类敏感信息错误，不断优化完善部门网站，加强对环翠区民政局网站的管理运维，切实提升网站便民服务水平。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b w:val="0"/>
          <w:bCs/>
          <w:color w:val="auto"/>
          <w:sz w:val="32"/>
          <w:szCs w:val="32"/>
          <w:lang w:val="en-US" w:eastAsia="zh-CN"/>
        </w:rPr>
        <w:t>5.</w:t>
      </w:r>
      <w:r>
        <w:rPr>
          <w:rFonts w:hint="default" w:ascii="楷体_GB2312" w:hAnsi="楷体_GB2312" w:eastAsia="楷体_GB2312" w:cs="楷体_GB2312"/>
          <w:b w:val="0"/>
          <w:bCs/>
          <w:color w:val="auto"/>
          <w:sz w:val="32"/>
          <w:szCs w:val="32"/>
          <w:lang w:val="en-US" w:eastAsia="zh-CN"/>
        </w:rPr>
        <w:t>监督保障方面。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严格落实主体责任，坚持把政务公开作为一项重要工作摆在重要位置予以推进，局办公室安排专人负责政务公开工作，确保流程规范、合规，定期对政府信息公开工作进行检查，确保不出现各类错误和问题。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</w:rPr>
        <w:t>二、主动公开政府信息情况</w:t>
      </w:r>
    </w:p>
    <w:tbl>
      <w:tblPr>
        <w:tblStyle w:val="4"/>
        <w:tblW w:w="8824" w:type="dxa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06"/>
        <w:gridCol w:w="2206"/>
        <w:gridCol w:w="2206"/>
        <w:gridCol w:w="2206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第二十条第（一）项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本年制发件数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本年废止件数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现行有效件数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规章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行政规范性文件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1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  <w:tc>
          <w:tcPr>
            <w:tcW w:w="22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宋体" w:eastAsia="仿宋_GB2312" w:cs="宋体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第二十条第（五）项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1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行政许可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第二十条第（六）项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本年处理决定数量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行政处罚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行政强制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auto"/>
                <w:kern w:val="0"/>
                <w:szCs w:val="21"/>
                <w:lang w:val="en-US" w:eastAsia="zh-CN"/>
              </w:rPr>
              <w:t>0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824" w:type="dxa"/>
            <w:gridSpan w:val="4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000000" w:sz="8" w:space="0"/>
            </w:tcBorders>
            <w:shd w:val="clear" w:color="000000" w:fill="C6D9F1"/>
            <w:vAlign w:val="center"/>
          </w:tcPr>
          <w:p>
            <w:pPr>
              <w:widowControl/>
              <w:jc w:val="center"/>
              <w:rPr>
                <w:rFonts w:ascii="黑体" w:hAnsi="黑体" w:eastAsia="黑体" w:cs="宋体"/>
                <w:color w:val="000000"/>
                <w:kern w:val="0"/>
                <w:szCs w:val="21"/>
              </w:rPr>
            </w:pPr>
            <w:r>
              <w:rPr>
                <w:rFonts w:hint="eastAsia" w:ascii="黑体" w:hAnsi="黑体" w:eastAsia="黑体" w:cs="宋体"/>
                <w:color w:val="000000"/>
                <w:kern w:val="0"/>
                <w:szCs w:val="21"/>
              </w:rPr>
              <w:t>第二十条第（八）项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信息内容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本年收费金额（单位：万元）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206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仿宋_GB2312" w:hAnsi="宋体" w:eastAsia="仿宋_GB2312" w:cs="宋体"/>
                <w:color w:val="000000"/>
                <w:kern w:val="0"/>
                <w:szCs w:val="21"/>
              </w:rPr>
            </w:pPr>
            <w:r>
              <w:rPr>
                <w:rFonts w:hint="eastAsia" w:ascii="仿宋_GB2312" w:hAnsi="宋体" w:eastAsia="仿宋_GB2312" w:cs="宋体"/>
                <w:color w:val="000000"/>
                <w:kern w:val="0"/>
                <w:szCs w:val="21"/>
              </w:rPr>
              <w:t>行政事业性收费</w:t>
            </w:r>
          </w:p>
        </w:tc>
        <w:tc>
          <w:tcPr>
            <w:tcW w:w="6618" w:type="dxa"/>
            <w:gridSpan w:val="3"/>
            <w:tcBorders>
              <w:top w:val="single" w:color="auto" w:sz="8" w:space="0"/>
              <w:left w:val="nil"/>
              <w:bottom w:val="single" w:color="auto" w:sz="8" w:space="0"/>
              <w:right w:val="single" w:color="000000" w:sz="8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hint="default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</w:pPr>
            <w:r>
              <w:rPr>
                <w:rFonts w:hint="eastAsia" w:ascii="仿宋_GB2312" w:hAnsi="Calibri" w:eastAsia="仿宋_GB2312" w:cs="Calibri"/>
                <w:color w:val="000000"/>
                <w:kern w:val="0"/>
                <w:szCs w:val="21"/>
                <w:lang w:val="en-US" w:eastAsia="zh-CN"/>
              </w:rPr>
              <w:t>0</w:t>
            </w:r>
          </w:p>
        </w:tc>
      </w:tr>
    </w:tbl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三、收到和处理政府信息公开申请情况</w:t>
      </w:r>
    </w:p>
    <w:tbl>
      <w:tblPr>
        <w:tblStyle w:val="4"/>
        <w:tblW w:w="9541" w:type="dxa"/>
        <w:jc w:val="center"/>
        <w:tblBorders>
          <w:top w:val="single" w:color="auto" w:sz="8" w:space="0"/>
          <w:left w:val="single" w:color="auto" w:sz="8" w:space="0"/>
          <w:bottom w:val="single" w:color="auto" w:sz="8" w:space="0"/>
          <w:right w:val="single" w:color="auto" w:sz="8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16"/>
        <w:gridCol w:w="1701"/>
        <w:gridCol w:w="2976"/>
        <w:gridCol w:w="747"/>
        <w:gridCol w:w="5"/>
        <w:gridCol w:w="5"/>
        <w:gridCol w:w="4"/>
        <w:gridCol w:w="4"/>
        <w:gridCol w:w="3"/>
        <w:gridCol w:w="3"/>
        <w:gridCol w:w="516"/>
        <w:gridCol w:w="5"/>
        <w:gridCol w:w="4"/>
        <w:gridCol w:w="4"/>
        <w:gridCol w:w="3"/>
        <w:gridCol w:w="3"/>
        <w:gridCol w:w="3"/>
        <w:gridCol w:w="518"/>
        <w:gridCol w:w="720"/>
        <w:gridCol w:w="675"/>
        <w:gridCol w:w="525"/>
        <w:gridCol w:w="1"/>
        <w:gridCol w:w="700"/>
      </w:tblGrid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13" w:hRule="atLeast"/>
          <w:jc w:val="center"/>
        </w:trPr>
        <w:tc>
          <w:tcPr>
            <w:tcW w:w="5093" w:type="dxa"/>
            <w:gridSpan w:val="3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楷体_GB2312" w:hAnsi="黑体" w:eastAsia="楷体_GB2312"/>
                <w:kern w:val="0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（本列数据的勾稽关系为：第一项加第二项之和，</w:t>
            </w:r>
          </w:p>
          <w:p>
            <w:pPr>
              <w:widowControl/>
              <w:jc w:val="center"/>
              <w:rPr>
                <w:rFonts w:ascii="仿宋_GB2312" w:hAnsi="Times New Roman" w:eastAsia="仿宋_GB2312"/>
                <w:szCs w:val="21"/>
              </w:rPr>
            </w:pPr>
            <w:r>
              <w:rPr>
                <w:rFonts w:hint="eastAsia" w:ascii="楷体_GB2312" w:hAnsi="黑体" w:eastAsia="楷体_GB2312"/>
                <w:kern w:val="0"/>
                <w:szCs w:val="21"/>
              </w:rPr>
              <w:t>等于第三项加第四项之和）</w:t>
            </w:r>
          </w:p>
        </w:tc>
        <w:tc>
          <w:tcPr>
            <w:tcW w:w="4448" w:type="dxa"/>
            <w:gridSpan w:val="20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申请人情况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25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自然人</w:t>
            </w:r>
          </w:p>
        </w:tc>
        <w:tc>
          <w:tcPr>
            <w:tcW w:w="3000" w:type="dxa"/>
            <w:gridSpan w:val="1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法人或其他组织</w:t>
            </w:r>
          </w:p>
        </w:tc>
        <w:tc>
          <w:tcPr>
            <w:tcW w:w="701" w:type="dxa"/>
            <w:gridSpan w:val="2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总计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22" w:hRule="atLeast"/>
          <w:jc w:val="center"/>
        </w:trPr>
        <w:tc>
          <w:tcPr>
            <w:tcW w:w="5093" w:type="dxa"/>
            <w:gridSpan w:val="3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  <w:tc>
          <w:tcPr>
            <w:tcW w:w="747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黑体" w:hAnsi="黑体" w:eastAsia="黑体"/>
                <w:szCs w:val="21"/>
              </w:rPr>
            </w:pP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商业企业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科研机构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7" w:leftChars="-51" w:right="-107" w:rightChars="-5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社会公益组织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ind w:left="-106" w:leftChars="-51" w:right="-107" w:rightChars="-51" w:hanging="1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法律服务机构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60" w:lineRule="exact"/>
              <w:ind w:left="-63" w:leftChars="-30" w:right="-134" w:rightChars="-64"/>
              <w:jc w:val="center"/>
              <w:rPr>
                <w:rFonts w:ascii="黑体" w:hAnsi="黑体" w:eastAsia="黑体"/>
                <w:szCs w:val="21"/>
              </w:rPr>
            </w:pPr>
            <w:r>
              <w:rPr>
                <w:rFonts w:hint="eastAsia" w:ascii="黑体" w:hAnsi="黑体" w:eastAsia="黑体"/>
                <w:kern w:val="0"/>
                <w:szCs w:val="21"/>
              </w:rPr>
              <w:t>其他</w:t>
            </w:r>
          </w:p>
        </w:tc>
        <w:tc>
          <w:tcPr>
            <w:tcW w:w="701" w:type="dxa"/>
            <w:gridSpan w:val="2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jc w:val="center"/>
              <w:rPr>
                <w:rFonts w:ascii="仿宋_GB2312" w:hAnsi="Times New Roman" w:eastAsia="仿宋_GB2312"/>
                <w:szCs w:val="21"/>
              </w:rPr>
            </w:pP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一、</w:t>
            </w:r>
            <w:bookmarkStart w:id="0" w:name="_Hlk66973412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本年新收政府信息公开申请数量</w:t>
            </w:r>
            <w:bookmarkEnd w:id="0"/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0" w:hRule="atLeast"/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二、上年结转政府信息公开申请数量</w:t>
            </w:r>
          </w:p>
        </w:tc>
        <w:tc>
          <w:tcPr>
            <w:tcW w:w="747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三、本年度办理结果</w:t>
            </w: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（一）予以公开</w:t>
            </w:r>
          </w:p>
        </w:tc>
        <w:tc>
          <w:tcPr>
            <w:tcW w:w="752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40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（二）部分公开（</w:t>
            </w:r>
            <w:bookmarkStart w:id="1" w:name="_Hlk6697398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区分处理的，只计这一情形，不计其他情形</w:t>
            </w:r>
            <w:bookmarkEnd w:id="1"/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）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（三）不予公开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1.属于国家秘密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5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2" w:name="_Hlk66974104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其他法律行政法规禁止公开</w:t>
            </w:r>
            <w:bookmarkEnd w:id="2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3.危及“三安全一稳定”</w:t>
            </w:r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</w:t>
            </w:r>
            <w:bookmarkStart w:id="3" w:name="_Hlk66974290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保护第三方合法权益</w:t>
            </w:r>
            <w:bookmarkEnd w:id="3"/>
          </w:p>
        </w:tc>
        <w:tc>
          <w:tcPr>
            <w:tcW w:w="757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1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5.属于三类内部事务信息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6.</w:t>
            </w:r>
            <w:bookmarkStart w:id="4" w:name="_Hlk66974555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属于四类过程性信息</w:t>
            </w:r>
            <w:bookmarkEnd w:id="4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7.属于行政执法案卷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8.</w:t>
            </w:r>
            <w:bookmarkStart w:id="5" w:name="_Hlk66975211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属于行政查询事项</w:t>
            </w:r>
            <w:bookmarkEnd w:id="5"/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（四）无法提供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1.本机关不掌握相关政府信息</w:t>
            </w:r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</w:t>
            </w:r>
            <w:bookmarkStart w:id="6" w:name="_Hlk66975392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没有现成信息需要另行制作</w:t>
            </w:r>
            <w:bookmarkEnd w:id="6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</w:t>
            </w:r>
            <w:bookmarkStart w:id="7" w:name="_Hlk66975466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补正后申请内容仍不明确</w:t>
            </w:r>
            <w:bookmarkEnd w:id="7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ind w:left="-107" w:leftChars="-51"/>
              <w:rPr>
                <w:rFonts w:ascii="黑体" w:hAnsi="黑体" w:eastAsia="黑体"/>
                <w:color w:val="auto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（五）不予处理</w:t>
            </w: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1.</w:t>
            </w:r>
            <w:bookmarkStart w:id="8" w:name="_Hlk66975537"/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信访举报投诉类申请</w:t>
            </w:r>
            <w:bookmarkEnd w:id="8"/>
          </w:p>
        </w:tc>
        <w:tc>
          <w:tcPr>
            <w:tcW w:w="765" w:type="dxa"/>
            <w:gridSpan w:val="5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4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2.重复申请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4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3.要求提供公开出版物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97" w:hRule="exac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200" w:lineRule="exact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4.无正当理由大量反复申请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spacing w:line="200" w:lineRule="exact"/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2976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5.要求行政机关确认或重新</w:t>
            </w:r>
          </w:p>
          <w:p>
            <w:pPr>
              <w:widowControl/>
              <w:spacing w:line="300" w:lineRule="exact"/>
              <w:ind w:firstLine="210" w:firstLineChars="100"/>
              <w:rPr>
                <w:rFonts w:ascii="仿宋_GB2312" w:hAnsi="黑体" w:eastAsia="仿宋_GB2312"/>
                <w:color w:val="auto"/>
                <w:szCs w:val="21"/>
              </w:rPr>
            </w:pPr>
            <w:r>
              <w:rPr>
                <w:rFonts w:hint="eastAsia" w:ascii="仿宋_GB2312" w:hAnsi="黑体" w:eastAsia="仿宋_GB2312"/>
                <w:color w:val="auto"/>
                <w:kern w:val="0"/>
                <w:szCs w:val="21"/>
              </w:rPr>
              <w:t>出具已获取信息</w:t>
            </w:r>
          </w:p>
        </w:tc>
        <w:tc>
          <w:tcPr>
            <w:tcW w:w="768" w:type="dxa"/>
            <w:gridSpan w:val="6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1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restart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（六）其他处理</w:t>
            </w: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楷体" w:eastAsia="仿宋_GB2312"/>
                <w:color w:val="auto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1.申请人无正当理由逾期不补正、行政机关不再处理其政府信息公开申请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2.申请人逾期未按收费通知要求缴纳费用、行政机关不再处理其政府信息公开申请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74" w:hRule="atLeast"/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1701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</w:p>
        </w:tc>
        <w:tc>
          <w:tcPr>
            <w:tcW w:w="2976" w:type="dxa"/>
            <w:shd w:val="clear" w:color="auto" w:fill="auto"/>
            <w:vAlign w:val="center"/>
          </w:tcPr>
          <w:p>
            <w:pPr>
              <w:widowControl/>
              <w:spacing w:line="300" w:lineRule="exact"/>
              <w:rPr>
                <w:rFonts w:ascii="仿宋_GB2312" w:hAnsi="黑体" w:eastAsia="仿宋_GB2312"/>
                <w:color w:val="auto"/>
                <w:kern w:val="0"/>
                <w:szCs w:val="21"/>
              </w:rPr>
            </w:pPr>
            <w:r>
              <w:rPr>
                <w:rFonts w:hint="eastAsia" w:ascii="仿宋_GB2312" w:hAnsi="楷体" w:eastAsia="仿宋_GB2312"/>
                <w:color w:val="auto"/>
              </w:rPr>
              <w:t>3.其他</w:t>
            </w:r>
          </w:p>
        </w:tc>
        <w:tc>
          <w:tcPr>
            <w:tcW w:w="771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8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18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416" w:type="dxa"/>
            <w:vMerge w:val="continue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color w:val="auto"/>
                <w:szCs w:val="21"/>
              </w:rPr>
            </w:pPr>
          </w:p>
        </w:tc>
        <w:tc>
          <w:tcPr>
            <w:tcW w:w="4677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（七）总计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1</w:t>
            </w:r>
          </w:p>
        </w:tc>
      </w:tr>
      <w:tr>
        <w:tblPrEx>
          <w:tblBorders>
            <w:top w:val="single" w:color="auto" w:sz="8" w:space="0"/>
            <w:left w:val="single" w:color="auto" w:sz="8" w:space="0"/>
            <w:bottom w:val="single" w:color="auto" w:sz="8" w:space="0"/>
            <w:right w:val="single" w:color="auto" w:sz="8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5093" w:type="dxa"/>
            <w:gridSpan w:val="3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00" w:lineRule="exact"/>
              <w:rPr>
                <w:rFonts w:ascii="黑体" w:hAnsi="黑体" w:eastAsia="黑体"/>
                <w:color w:val="auto"/>
                <w:kern w:val="0"/>
                <w:szCs w:val="21"/>
              </w:rPr>
            </w:pPr>
            <w:r>
              <w:rPr>
                <w:rFonts w:hint="eastAsia" w:ascii="黑体" w:hAnsi="黑体" w:eastAsia="黑体"/>
                <w:color w:val="auto"/>
                <w:kern w:val="0"/>
                <w:szCs w:val="21"/>
              </w:rPr>
              <w:t>四、结转下年度继续办理</w:t>
            </w:r>
          </w:p>
        </w:tc>
        <w:tc>
          <w:tcPr>
            <w:tcW w:w="761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39" w:type="dxa"/>
            <w:gridSpan w:val="7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7" w:type="dxa"/>
            <w:gridSpan w:val="4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2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675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526" w:type="dxa"/>
            <w:gridSpan w:val="2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default" w:ascii="仿宋_GB2312" w:hAnsi="Times New Roman" w:eastAsia="仿宋_GB2312" w:cstheme="minorBidi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  <w:tc>
          <w:tcPr>
            <w:tcW w:w="700" w:type="dxa"/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outlineLvl w:val="9"/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</w:pPr>
            <w:r>
              <w:rPr>
                <w:rFonts w:hint="eastAsia" w:ascii="仿宋_GB2312" w:hAnsi="Times New Roman" w:eastAsia="仿宋_GB2312"/>
                <w:color w:val="auto"/>
                <w:szCs w:val="21"/>
                <w:lang w:val="en-US" w:eastAsia="zh-CN"/>
              </w:rPr>
              <w:t>0</w:t>
            </w:r>
          </w:p>
        </w:tc>
      </w:tr>
    </w:tbl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四、政府信息公开行政复议、行政诉讼情况</w:t>
      </w:r>
    </w:p>
    <w:tbl>
      <w:tblPr>
        <w:tblStyle w:val="4"/>
        <w:tblW w:w="9071" w:type="dxa"/>
        <w:jc w:val="center"/>
        <w:tblBorders>
          <w:top w:val="none" w:color="auto" w:sz="6" w:space="0"/>
          <w:left w:val="none" w:color="auto" w:sz="6" w:space="0"/>
          <w:bottom w:val="none" w:color="auto" w:sz="6" w:space="0"/>
          <w:right w:val="none" w:color="auto" w:sz="6" w:space="0"/>
          <w:insideH w:val="outset" w:color="auto" w:sz="6" w:space="0"/>
          <w:insideV w:val="outset" w:color="auto" w:sz="6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04"/>
        <w:gridCol w:w="604"/>
        <w:gridCol w:w="604"/>
        <w:gridCol w:w="604"/>
        <w:gridCol w:w="658"/>
        <w:gridCol w:w="550"/>
        <w:gridCol w:w="605"/>
        <w:gridCol w:w="605"/>
        <w:gridCol w:w="605"/>
        <w:gridCol w:w="605"/>
        <w:gridCol w:w="605"/>
        <w:gridCol w:w="605"/>
        <w:gridCol w:w="605"/>
        <w:gridCol w:w="606"/>
        <w:gridCol w:w="606"/>
      </w:tblGrid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97" w:hRule="atLeast"/>
          <w:jc w:val="center"/>
        </w:trPr>
        <w:tc>
          <w:tcPr>
            <w:tcW w:w="3074" w:type="dxa"/>
            <w:gridSpan w:val="5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行政复议</w:t>
            </w:r>
          </w:p>
        </w:tc>
        <w:tc>
          <w:tcPr>
            <w:tcW w:w="5997" w:type="dxa"/>
            <w:gridSpan w:val="10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行政诉讼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47" w:hRule="atLeast"/>
          <w:jc w:val="center"/>
        </w:trPr>
        <w:tc>
          <w:tcPr>
            <w:tcW w:w="604" w:type="dxa"/>
            <w:vMerge w:val="restart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49" w:leftChars="-71" w:right="-170" w:rightChars="-8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维持</w:t>
            </w:r>
          </w:p>
        </w:tc>
        <w:tc>
          <w:tcPr>
            <w:tcW w:w="604" w:type="dxa"/>
            <w:vMerge w:val="restart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43" w:leftChars="-21" w:right="-132" w:rightChars="-63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2" w:leftChars="-39" w:right="-97" w:rightChars="-4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其他结果</w:t>
            </w:r>
          </w:p>
        </w:tc>
        <w:tc>
          <w:tcPr>
            <w:tcW w:w="604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18" w:leftChars="-56" w:right="-118" w:rightChars="-56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58" w:type="dxa"/>
            <w:vMerge w:val="restart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</w:t>
            </w:r>
          </w:p>
          <w:p>
            <w:pPr>
              <w:widowControl/>
              <w:spacing w:line="320" w:lineRule="exact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计</w:t>
            </w:r>
          </w:p>
        </w:tc>
        <w:tc>
          <w:tcPr>
            <w:tcW w:w="2970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未经复议直接起诉</w:t>
            </w:r>
          </w:p>
        </w:tc>
        <w:tc>
          <w:tcPr>
            <w:tcW w:w="3027" w:type="dxa"/>
            <w:gridSpan w:val="5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bookmarkStart w:id="9" w:name="_Hlk67039688"/>
            <w:r>
              <w:rPr>
                <w:rFonts w:ascii="黑体" w:hAnsi="黑体" w:eastAsia="黑体"/>
                <w:kern w:val="0"/>
                <w:sz w:val="20"/>
                <w:szCs w:val="20"/>
              </w:rPr>
              <w:t>复议后起诉</w:t>
            </w:r>
            <w:bookmarkEnd w:id="9"/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6" w:hRule="atLeast"/>
          <w:jc w:val="center"/>
        </w:trPr>
        <w:tc>
          <w:tcPr>
            <w:tcW w:w="604" w:type="dxa"/>
            <w:vMerge w:val="continue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04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658" w:type="dxa"/>
            <w:vMerge w:val="continue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rPr>
                <w:rFonts w:ascii="黑体" w:hAnsi="黑体" w:eastAsia="黑体"/>
                <w:sz w:val="24"/>
              </w:rPr>
            </w:pP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05" w:leftChars="-50" w:right="-126" w:rightChars="-60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86" w:leftChars="-41" w:right="-88" w:rightChars="-42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26" w:leftChars="-60" w:right="-136" w:rightChars="-65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</w:t>
            </w:r>
          </w:p>
          <w:p>
            <w:pPr>
              <w:widowControl/>
              <w:ind w:left="-164" w:leftChars="-78" w:right="-153" w:rightChars="-73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审结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99" w:leftChars="-47" w:right="-78" w:rightChars="-37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结果维持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  <w:p>
            <w:pPr>
              <w:widowControl/>
              <w:ind w:left="-136" w:leftChars="-65" w:right="-124" w:rightChars="-59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纠正</w:t>
            </w:r>
          </w:p>
        </w:tc>
        <w:tc>
          <w:tcPr>
            <w:tcW w:w="605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  <w:kern w:val="0"/>
                <w:sz w:val="20"/>
                <w:szCs w:val="20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其他</w:t>
            </w:r>
          </w:p>
          <w:p>
            <w:pPr>
              <w:widowControl/>
              <w:ind w:left="-173" w:leftChars="-83" w:right="-134" w:rightChars="-64" w:hanging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结果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ind w:left="-67" w:leftChars="-33" w:right="-105" w:rightChars="-50" w:hanging="2" w:hangingChars="1"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尚未审结</w:t>
            </w:r>
          </w:p>
        </w:tc>
        <w:tc>
          <w:tcPr>
            <w:tcW w:w="606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jc w:val="center"/>
              <w:rPr>
                <w:rFonts w:ascii="黑体" w:hAnsi="黑体" w:eastAsia="黑体"/>
              </w:rPr>
            </w:pPr>
            <w:r>
              <w:rPr>
                <w:rFonts w:ascii="黑体" w:hAnsi="黑体" w:eastAsia="黑体"/>
                <w:kern w:val="0"/>
                <w:sz w:val="20"/>
                <w:szCs w:val="20"/>
              </w:rPr>
              <w:t>总计</w:t>
            </w:r>
          </w:p>
        </w:tc>
      </w:tr>
      <w:tr>
        <w:tblPrEx>
          <w:tblBorders>
            <w:top w:val="none" w:color="auto" w:sz="6" w:space="0"/>
            <w:left w:val="none" w:color="auto" w:sz="6" w:space="0"/>
            <w:bottom w:val="none" w:color="auto" w:sz="6" w:space="0"/>
            <w:right w:val="none" w:color="auto" w:sz="6" w:space="0"/>
            <w:insideH w:val="outset" w:color="auto" w:sz="6" w:space="0"/>
            <w:insideV w:val="outset" w:color="auto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jc w:val="center"/>
        </w:trPr>
        <w:tc>
          <w:tcPr>
            <w:tcW w:w="604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default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4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58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55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5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  <w:tc>
          <w:tcPr>
            <w:tcW w:w="606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>
            <w:pPr>
              <w:widowControl/>
              <w:spacing w:after="180"/>
              <w:jc w:val="center"/>
              <w:rPr>
                <w:rFonts w:hint="eastAsia" w:ascii="Times New Roman" w:hAnsi="Times New Roman" w:eastAsiaTheme="minorEastAsia"/>
                <w:lang w:val="en-US" w:eastAsia="zh-CN"/>
              </w:rPr>
            </w:pPr>
            <w:r>
              <w:rPr>
                <w:rFonts w:hint="eastAsia" w:ascii="Times New Roman" w:hAnsi="Times New Roman"/>
                <w:lang w:val="en-US" w:eastAsia="zh-CN"/>
              </w:rPr>
              <w:t>0</w:t>
            </w:r>
          </w:p>
        </w:tc>
      </w:tr>
    </w:tbl>
    <w:p>
      <w:pPr>
        <w:widowControl/>
        <w:jc w:val="left"/>
        <w:rPr>
          <w:rFonts w:hint="eastAsia" w:ascii="仿宋_GB2312" w:hAnsi="Calibri" w:eastAsia="仿宋_GB2312" w:cs="Calibri"/>
          <w:color w:val="FF0000"/>
          <w:kern w:val="0"/>
          <w:szCs w:val="21"/>
          <w:lang w:val="en-US" w:eastAsia="zh-CN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五、存在的主要问题及改进情况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存在的问题主要有：一是政策解读形式较为单一，二是内容审核不严格。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color w:val="000000"/>
          <w:kern w:val="0"/>
          <w:sz w:val="32"/>
          <w:szCs w:val="32"/>
          <w:lang w:val="en-US" w:eastAsia="zh-CN" w:bidi="ar-SA"/>
        </w:rPr>
        <w:t>改进情况：在政策解读形式上，创新政策解读形式，采用图文解析、政策吹风会、新闻发布会、专家访谈、简明问答、卡通动漫、短视频等可视、可读、可感等多种方式，不断提升解读质量和水平；在内容审核上，严格落实信息发布和保密审查机制，加强对工作人员开展培训工作，杜绝出现表述错误、泄露国家机密等内容，进一步提高认识和工作自觉性。坚持以服务群众为导向，聚焦群众关注的问题，不断丰富政府信息公开内容。</w:t>
      </w: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right="0" w:firstLine="640" w:firstLineChars="200"/>
        <w:jc w:val="both"/>
        <w:textAlignment w:val="auto"/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</w:pPr>
      <w:r>
        <w:rPr>
          <w:rFonts w:hint="eastAsia" w:ascii="黑体" w:hAnsi="黑体" w:eastAsia="黑体" w:cs="黑体"/>
          <w:b w:val="0"/>
          <w:bCs/>
          <w:i w:val="0"/>
          <w:caps w:val="0"/>
          <w:color w:val="333333"/>
          <w:spacing w:val="0"/>
          <w:kern w:val="0"/>
          <w:sz w:val="32"/>
          <w:szCs w:val="32"/>
          <w:shd w:val="clear" w:fill="FFFFFF"/>
          <w:lang w:val="en-US" w:eastAsia="zh-CN" w:bidi="ar"/>
        </w:rPr>
        <w:t>六、其他需要报告的事项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right="0" w:firstLine="645"/>
        <w:jc w:val="both"/>
        <w:textAlignment w:val="auto"/>
        <w:rPr>
          <w:rFonts w:hint="eastAsia" w:ascii="Times New Roman" w:hAnsi="Times New Roman" w:eastAsia="仿宋_GB2312" w:cs="Times New Roman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cs="Times New Roman"/>
          <w:sz w:val="32"/>
          <w:szCs w:val="32"/>
        </w:rPr>
        <w:t>1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政府信息公开收费方面：</w:t>
      </w: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>根据《政府信息公开信息处理费管理办法》，2024年环翠区民政局共</w:t>
      </w:r>
      <w:r>
        <w:rPr>
          <w:rFonts w:hint="default" w:ascii="Times New Roman" w:hAnsi="Times New Roman" w:eastAsia="仿宋_GB2312" w:cs="Times New Roman"/>
          <w:sz w:val="32"/>
          <w:szCs w:val="32"/>
        </w:rPr>
        <w:t>收取政府信息公开信息处理费</w:t>
      </w:r>
      <w:r>
        <w:rPr>
          <w:rFonts w:hint="eastAsia" w:ascii="Times New Roman" w:hAnsi="Times New Roman" w:eastAsia="仿宋_GB2312" w:cs="Times New Roman"/>
          <w:sz w:val="32"/>
          <w:szCs w:val="32"/>
          <w:u w:val="none"/>
          <w:lang w:val="en-US" w:eastAsia="zh-CN"/>
        </w:rPr>
        <w:t>0元。</w:t>
      </w:r>
    </w:p>
    <w:p>
      <w:pPr>
        <w:pStyle w:val="3"/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 w:val="0"/>
        <w:autoSpaceDN/>
        <w:bidi w:val="0"/>
        <w:adjustRightInd/>
        <w:snapToGrid/>
        <w:spacing w:beforeAutospacing="0" w:afterAutospacing="0" w:line="560" w:lineRule="exact"/>
        <w:ind w:left="0" w:firstLine="645"/>
        <w:jc w:val="both"/>
        <w:textAlignment w:val="auto"/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</w:pPr>
      <w:r>
        <w:rPr>
          <w:rFonts w:hint="default" w:ascii="Times New Roman" w:hAnsi="Times New Roman" w:cs="Times New Roman"/>
          <w:sz w:val="32"/>
          <w:szCs w:val="32"/>
          <w:highlight w:val="none"/>
        </w:rPr>
        <w:t>2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  <w:highlight w:val="none"/>
        </w:rPr>
        <w:t>人大代表、政协委员提案办理方面：</w:t>
      </w:r>
      <w:r>
        <w:rPr>
          <w:rFonts w:hint="default" w:ascii="Times New Roman" w:hAnsi="Times New Roman" w:cs="Times New Roman"/>
          <w:sz w:val="32"/>
          <w:szCs w:val="32"/>
          <w:highlight w:val="none"/>
        </w:rPr>
        <w:t>202</w:t>
      </w:r>
      <w:r>
        <w:rPr>
          <w:rFonts w:hint="eastAsia" w:ascii="Times New Roman" w:hAnsi="Times New Roman" w:cs="Times New Roman"/>
          <w:sz w:val="32"/>
          <w:szCs w:val="32"/>
          <w:highlight w:val="none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年</w:t>
      </w:r>
      <w:r>
        <w:rPr>
          <w:rFonts w:hint="eastAsia" w:ascii="Times New Roman" w:hAnsi="Times New Roman" w:eastAsia="仿宋_GB2312" w:cs="Times New Roman"/>
          <w:sz w:val="32"/>
          <w:szCs w:val="32"/>
          <w:highlight w:val="none"/>
          <w:lang w:val="en-US" w:eastAsia="zh-CN"/>
        </w:rPr>
        <w:t>环翠区民政局</w:t>
      </w:r>
      <w:r>
        <w:rPr>
          <w:rFonts w:hint="default" w:ascii="Times New Roman" w:hAnsi="Times New Roman" w:eastAsia="仿宋_GB2312" w:cs="Times New Roman"/>
          <w:sz w:val="32"/>
          <w:szCs w:val="32"/>
          <w:highlight w:val="none"/>
        </w:rPr>
        <w:t>共承办市人大代表建议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件、政协提案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u w:val="none"/>
        </w:rPr>
        <w:t>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。目前，已全部办理完成，办复率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100%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，办理结果为</w:t>
      </w:r>
      <w:r>
        <w:rPr>
          <w:rFonts w:hint="default" w:ascii="Times New Roman" w:hAnsi="Times New Roman" w:cs="Times New Roman"/>
          <w:color w:val="auto"/>
          <w:sz w:val="32"/>
          <w:szCs w:val="32"/>
          <w:highlight w:val="none"/>
        </w:rPr>
        <w:t>A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类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件。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sz w:val="32"/>
          <w:szCs w:val="32"/>
        </w:rPr>
        <w:t>.</w:t>
      </w:r>
      <w:r>
        <w:rPr>
          <w:rFonts w:hint="default" w:ascii="Times New Roman" w:hAnsi="Times New Roman" w:eastAsia="楷体_GB2312" w:cs="Times New Roman"/>
          <w:sz w:val="32"/>
          <w:szCs w:val="32"/>
        </w:rPr>
        <w:t>其他方面：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环翠区</w:t>
      </w:r>
      <w:r>
        <w:rPr>
          <w:rFonts w:hint="eastAsia" w:ascii="仿宋_GB2312" w:hAnsi="仿宋_GB2312" w:eastAsia="仿宋_GB2312" w:cs="仿宋_GB2312"/>
          <w:sz w:val="32"/>
          <w:szCs w:val="32"/>
        </w:rPr>
        <w:t>民政局积极围绕社会救助重点民生工作领域，持续深化公开内容、创新推送方式、拓展互动渠道，提升工作透明度、群众满意度和社会参与度。</w:t>
      </w: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bidi w:val="0"/>
        <w:snapToGrid/>
        <w:spacing w:line="560" w:lineRule="exact"/>
        <w:textAlignment w:val="auto"/>
        <w:rPr>
          <w:rFonts w:hint="eastAsia" w:ascii="仿宋_GB2312" w:hAnsi="仿宋_GB2312" w:eastAsia="仿宋_GB2312" w:cs="仿宋_GB2312"/>
          <w:color w:val="FF0000"/>
          <w:sz w:val="32"/>
          <w:szCs w:val="32"/>
          <w:lang w:val="en-US" w:eastAsia="zh-CN"/>
        </w:rPr>
      </w:pPr>
    </w:p>
    <w:sectPr>
      <w:pgSz w:w="11906" w:h="16838"/>
      <w:pgMar w:top="1440" w:right="1531" w:bottom="1440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altName w:val="仿宋_GB2312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decorative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decorative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DczZmYxYmQwMWRiNjMxNjU0MjJjNGUxOWM4MjZkNmMifQ=="/>
    <w:docVar w:name="KSO_WPS_MARK_KEY" w:val="d2e6e80e-51b2-4353-a7e3-6c8439b204c3"/>
  </w:docVars>
  <w:rsids>
    <w:rsidRoot w:val="11AF18C8"/>
    <w:rsid w:val="08D157AC"/>
    <w:rsid w:val="0D7D0EC2"/>
    <w:rsid w:val="11AF18C8"/>
    <w:rsid w:val="1A6A77C7"/>
    <w:rsid w:val="20584A02"/>
    <w:rsid w:val="21E9640B"/>
    <w:rsid w:val="256118C2"/>
    <w:rsid w:val="3FFB8F66"/>
    <w:rsid w:val="464F74E8"/>
    <w:rsid w:val="4BEC1C1F"/>
    <w:rsid w:val="4F0D75AF"/>
    <w:rsid w:val="511E6463"/>
    <w:rsid w:val="54F23AC6"/>
    <w:rsid w:val="56F344A5"/>
    <w:rsid w:val="68C9088B"/>
    <w:rsid w:val="6C7C7FF0"/>
    <w:rsid w:val="73C117A4"/>
    <w:rsid w:val="77181135"/>
    <w:rsid w:val="77927421"/>
    <w:rsid w:val="797F3D0C"/>
    <w:rsid w:val="7DF892BA"/>
    <w:rsid w:val="7E2277F5"/>
    <w:rsid w:val="7FA7698F"/>
    <w:rsid w:val="9D3E9747"/>
    <w:rsid w:val="BFCB537C"/>
    <w:rsid w:val="E6D96BC3"/>
    <w:rsid w:val="E8EF7774"/>
    <w:rsid w:val="FF9FD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Default"/>
    <w:qFormat/>
    <w:uiPriority w:val="99"/>
    <w:pPr>
      <w:widowControl w:val="0"/>
      <w:autoSpaceDE w:val="0"/>
      <w:autoSpaceDN w:val="0"/>
      <w:adjustRightInd w:val="0"/>
    </w:pPr>
    <w:rPr>
      <w:rFonts w:ascii="方正小标宋简体" w:hAnsi="方正小标宋简体" w:eastAsia="方正小标宋简体" w:cs="方正小标宋简体"/>
      <w:color w:val="000000"/>
      <w:sz w:val="24"/>
      <w:szCs w:val="24"/>
      <w:lang w:val="en-US" w:eastAsia="zh-CN" w:bidi="ar-SA"/>
    </w:r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5</Pages>
  <Words>2519</Words>
  <Characters>2592</Characters>
  <Lines>0</Lines>
  <Paragraphs>0</Paragraphs>
  <TotalTime>76</TotalTime>
  <ScaleCrop>false</ScaleCrop>
  <LinksUpToDate>false</LinksUpToDate>
  <CharactersWithSpaces>2646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2023-01-16T23:45:00Z</dcterms:created>
  <dc:creator>诗人与熊</dc:creator>
  <cp:lastModifiedBy>李佳欣</cp:lastModifiedBy>
  <cp:lastPrinted>2023-01-17T01:08:00Z</cp:lastPrinted>
  <dcterms:modified xsi:type="dcterms:W3CDTF">2025-01-15T06:33:15Z</dcterms:modified>
  <dc:title>某某单位（规范全称）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DE1D95953E784A69943B6488A5464EAE_13</vt:lpwstr>
  </property>
  <property fmtid="{D5CDD505-2E9C-101B-9397-08002B2CF9AE}" pid="4" name="KSOTemplateDocerSaveRecord">
    <vt:lpwstr>eyJoZGlkIjoiMzFjNTdhOWRkMDczNDQ1ODdiNDRjOTY2MjVjNTA3ODcifQ==</vt:lpwstr>
  </property>
</Properties>
</file>