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8CE1A0">
      <w:pPr>
        <w:rPr>
          <w:rFonts w:hint="eastAsia" w:ascii="Times New Roman" w:hAnsi="Times New Roman" w:eastAsia="仿宋_GB2312" w:cs="Times New Roman"/>
          <w:color w:val="auto"/>
          <w:sz w:val="32"/>
          <w:szCs w:val="32"/>
          <w:highlight w:val="none"/>
          <w:lang w:val="en-US" w:eastAsia="zh-CN"/>
        </w:rPr>
      </w:pPr>
      <w:bookmarkStart w:id="0" w:name="OLE_LINK4"/>
      <w:r>
        <w:rPr>
          <w:rFonts w:hint="eastAsia" w:ascii="Times New Roman" w:hAnsi="Times New Roman" w:eastAsia="仿宋_GB2312" w:cs="Times New Roman"/>
          <w:color w:val="auto"/>
          <w:sz w:val="32"/>
          <w:szCs w:val="32"/>
          <w:highlight w:val="none"/>
          <w:lang w:val="en-US" w:eastAsia="zh-CN"/>
        </w:rPr>
        <w:t>HCDR-2</w:t>
      </w:r>
      <w:r>
        <w:rPr>
          <w:rFonts w:hint="eastAsia" w:ascii="Times New Roman" w:hAnsi="Times New Roman" w:eastAsia="仿宋_GB2312" w:cs="Times New Roman"/>
          <w:color w:val="auto"/>
          <w:sz w:val="32"/>
          <w:szCs w:val="32"/>
          <w:highlight w:val="none"/>
        </w:rPr>
        <w:t>0</w:t>
      </w:r>
      <w:r>
        <w:rPr>
          <w:rFonts w:hint="eastAsia" w:ascii="Times New Roman" w:hAnsi="Times New Roman" w:eastAsia="仿宋_GB2312" w:cs="Times New Roman"/>
          <w:color w:val="auto"/>
          <w:sz w:val="32"/>
          <w:szCs w:val="32"/>
          <w:highlight w:val="none"/>
          <w:lang w:val="en-US" w:eastAsia="zh-CN"/>
        </w:rPr>
        <w:t>26-0030001</w:t>
      </w:r>
    </w:p>
    <w:bookmarkEnd w:id="0"/>
    <w:p w14:paraId="36483E0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pPr>
    </w:p>
    <w:p w14:paraId="1D0FFA45">
      <w:pPr>
        <w:jc w:val="center"/>
        <w:rPr>
          <w:rFonts w:hint="eastAsia" w:ascii="文星简小标宋" w:hAnsi="文星简小标宋" w:eastAsia="文星简小标宋" w:cs="文星简小标宋"/>
          <w:b w:val="0"/>
          <w:bCs w:val="0"/>
          <w:color w:val="000000" w:themeColor="text1"/>
          <w:sz w:val="44"/>
          <w:szCs w:val="44"/>
          <w:highlight w:val="none"/>
          <w:lang w:val="en-US" w:eastAsia="zh-CN"/>
          <w14:textFill>
            <w14:solidFill>
              <w14:schemeClr w14:val="tx1"/>
            </w14:solidFill>
          </w14:textFill>
        </w:rPr>
      </w:pPr>
      <w:bookmarkStart w:id="1" w:name="OLE_LINK1"/>
      <w:r>
        <w:rPr>
          <w:rFonts w:hint="eastAsia" w:ascii="文星简小标宋" w:hAnsi="文星简小标宋" w:eastAsia="文星简小标宋" w:cs="文星简小标宋"/>
          <w:b w:val="0"/>
          <w:bCs w:val="0"/>
          <w:color w:val="000000" w:themeColor="text1"/>
          <w:sz w:val="44"/>
          <w:szCs w:val="44"/>
          <w:highlight w:val="none"/>
          <w:lang w:val="en-US" w:eastAsia="zh-CN"/>
          <w14:textFill>
            <w14:solidFill>
              <w14:schemeClr w14:val="tx1"/>
            </w14:solidFill>
          </w14:textFill>
        </w:rPr>
        <w:t>关于明确普惠性养老机构床位费、照料</w:t>
      </w:r>
    </w:p>
    <w:p w14:paraId="1CDE3430">
      <w:pPr>
        <w:jc w:val="center"/>
        <w:rPr>
          <w:rFonts w:hint="eastAsia" w:ascii="文星简小标宋" w:hAnsi="文星简小标宋" w:eastAsia="文星简小标宋" w:cs="文星简小标宋"/>
          <w:b w:val="0"/>
          <w:bCs w:val="0"/>
          <w:color w:val="000000" w:themeColor="text1"/>
          <w:sz w:val="44"/>
          <w:szCs w:val="44"/>
          <w:highlight w:val="none"/>
          <w:lang w:val="en-US" w:eastAsia="zh-CN"/>
          <w14:textFill>
            <w14:solidFill>
              <w14:schemeClr w14:val="tx1"/>
            </w14:solidFill>
          </w14:textFill>
        </w:rPr>
      </w:pPr>
      <w:r>
        <w:rPr>
          <w:rFonts w:hint="eastAsia" w:ascii="文星简小标宋" w:hAnsi="文星简小标宋" w:eastAsia="文星简小标宋" w:cs="文星简小标宋"/>
          <w:b w:val="0"/>
          <w:bCs w:val="0"/>
          <w:color w:val="000000" w:themeColor="text1"/>
          <w:sz w:val="44"/>
          <w:szCs w:val="44"/>
          <w:highlight w:val="none"/>
          <w:lang w:val="en-US" w:eastAsia="zh-CN"/>
          <w14:textFill>
            <w14:solidFill>
              <w14:schemeClr w14:val="tx1"/>
            </w14:solidFill>
          </w14:textFill>
        </w:rPr>
        <w:t>护理费收费标准的通知</w:t>
      </w:r>
      <w:bookmarkEnd w:id="1"/>
    </w:p>
    <w:p w14:paraId="1C271600">
      <w:pPr>
        <w:pStyle w:val="5"/>
        <w:keepNext w:val="0"/>
        <w:keepLines w:val="0"/>
        <w:pageBreakBefore w:val="0"/>
        <w:widowControl w:val="0"/>
        <w:kinsoku/>
        <w:wordWrap/>
        <w:overflowPunct/>
        <w:topLinePunct w:val="0"/>
        <w:autoSpaceDE/>
        <w:autoSpaceDN/>
        <w:bidi w:val="0"/>
        <w:snapToGrid/>
        <w:spacing w:line="560" w:lineRule="exact"/>
        <w:ind w:right="0" w:rightChars="0"/>
        <w:jc w:val="center"/>
        <w:textAlignment w:val="auto"/>
        <w:outlineLvl w:val="9"/>
        <w:rPr>
          <w:rFonts w:hint="eastAsia" w:ascii="Times New Roman" w:hAnsi="Times New Roman"/>
          <w:color w:val="000000" w:themeColor="text1"/>
          <w:highlight w:val="none"/>
          <w14:textFill>
            <w14:solidFill>
              <w14:schemeClr w14:val="tx1"/>
            </w14:solidFill>
          </w14:textFill>
        </w:rPr>
      </w:pPr>
      <w:r>
        <w:rPr>
          <w:rFonts w:ascii="Times New Roman" w:hAnsi="Times New Roman" w:eastAsia="仿宋_GB2312"/>
          <w:color w:val="000000" w:themeColor="text1"/>
          <w:sz w:val="32"/>
          <w:highlight w:val="none"/>
          <w14:textFill>
            <w14:solidFill>
              <w14:schemeClr w14:val="tx1"/>
            </w14:solidFill>
          </w14:textFill>
        </w:rPr>
        <w:t>威环</w:t>
      </w:r>
      <w:r>
        <w:rPr>
          <w:rFonts w:hint="eastAsia" w:ascii="Times New Roman" w:hAnsi="Times New Roman" w:eastAsia="仿宋_GB2312"/>
          <w:color w:val="000000" w:themeColor="text1"/>
          <w:sz w:val="32"/>
          <w:highlight w:val="none"/>
          <w14:textFill>
            <w14:solidFill>
              <w14:schemeClr w14:val="tx1"/>
            </w14:solidFill>
          </w14:textFill>
        </w:rPr>
        <w:t>发改字</w:t>
      </w:r>
      <w:r>
        <w:rPr>
          <w:rFonts w:hint="eastAsia" w:ascii="Times New Roman" w:hAnsi="Times New Roman" w:eastAsia="仿宋_GB2312"/>
          <w:color w:val="000000" w:themeColor="text1"/>
          <w:sz w:val="32"/>
          <w:szCs w:val="32"/>
          <w:highlight w:val="none"/>
          <w14:textFill>
            <w14:solidFill>
              <w14:schemeClr w14:val="tx1"/>
            </w14:solidFill>
          </w14:textFill>
        </w:rPr>
        <w:t>〔</w:t>
      </w:r>
      <w:r>
        <w:rPr>
          <w:rFonts w:ascii="Times New Roman" w:hAnsi="Times New Roman" w:eastAsia="仿宋_GB2312"/>
          <w:color w:val="000000" w:themeColor="text1"/>
          <w:sz w:val="32"/>
          <w:szCs w:val="32"/>
          <w:highlight w:val="none"/>
          <w14:textFill>
            <w14:solidFill>
              <w14:schemeClr w14:val="tx1"/>
            </w14:solidFill>
          </w14:textFill>
        </w:rPr>
        <w:t>20</w:t>
      </w:r>
      <w:r>
        <w:rPr>
          <w:rFonts w:hint="eastAsia" w:ascii="Times New Roman" w:hAnsi="Times New Roman" w:eastAsia="仿宋_GB2312"/>
          <w:color w:val="000000" w:themeColor="text1"/>
          <w:sz w:val="32"/>
          <w:szCs w:val="32"/>
          <w:highlight w:val="none"/>
          <w:lang w:val="en-US" w:eastAsia="zh-CN"/>
          <w14:textFill>
            <w14:solidFill>
              <w14:schemeClr w14:val="tx1"/>
            </w14:solidFill>
          </w14:textFill>
        </w:rPr>
        <w:t>26</w:t>
      </w:r>
      <w:r>
        <w:rPr>
          <w:rFonts w:hint="eastAsia" w:ascii="Times New Roman" w:hAnsi="Times New Roman" w:eastAsia="仿宋_GB2312"/>
          <w:color w:val="000000" w:themeColor="text1"/>
          <w:sz w:val="32"/>
          <w:szCs w:val="32"/>
          <w:highlight w:val="none"/>
          <w14:textFill>
            <w14:solidFill>
              <w14:schemeClr w14:val="tx1"/>
            </w14:solidFill>
          </w14:textFill>
        </w:rPr>
        <w:t>〕</w:t>
      </w:r>
      <w:r>
        <w:rPr>
          <w:rFonts w:hint="eastAsia" w:ascii="Times New Roman" w:hAnsi="Times New Roman" w:eastAsia="仿宋_GB2312"/>
          <w:color w:val="000000" w:themeColor="text1"/>
          <w:sz w:val="32"/>
          <w:highlight w:val="none"/>
          <w:lang w:val="en-US" w:eastAsia="zh-CN"/>
          <w14:textFill>
            <w14:solidFill>
              <w14:schemeClr w14:val="tx1"/>
            </w14:solidFill>
          </w14:textFill>
        </w:rPr>
        <w:t>7</w:t>
      </w:r>
      <w:r>
        <w:rPr>
          <w:rFonts w:ascii="Times New Roman" w:hAnsi="Times New Roman" w:eastAsia="仿宋_GB2312"/>
          <w:color w:val="000000" w:themeColor="text1"/>
          <w:sz w:val="32"/>
          <w:highlight w:val="none"/>
          <w14:textFill>
            <w14:solidFill>
              <w14:schemeClr w14:val="tx1"/>
            </w14:solidFill>
          </w14:textFill>
        </w:rPr>
        <w:t>号</w:t>
      </w:r>
    </w:p>
    <w:p w14:paraId="3D96990E">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文星简小标宋" w:hAnsi="文星简小标宋" w:eastAsia="文星简小标宋" w:cs="文星简小标宋"/>
          <w:b w:val="0"/>
          <w:bCs w:val="0"/>
          <w:color w:val="000000" w:themeColor="text1"/>
          <w:sz w:val="32"/>
          <w:szCs w:val="32"/>
          <w:highlight w:val="none"/>
          <w14:textFill>
            <w14:solidFill>
              <w14:schemeClr w14:val="tx1"/>
            </w14:solidFill>
          </w14:textFill>
        </w:rPr>
      </w:pPr>
    </w:p>
    <w:p w14:paraId="1F0EF8E1">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各养老机构：</w:t>
      </w:r>
    </w:p>
    <w:p w14:paraId="435CEEAF">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为扩大普惠性养老服务供给，推动普惠性养老服务付费可享有、价格可承受、质量有保障、服务可持续，促进我区养老服务高质量发展，根据山东省民政厅、山东省发展和改革委员会《关于印发&lt;山东省普惠性养老机构认定与管理办法（试行）&gt;的通知》（鲁民〔2024〕35号）要求，结合我区实际情况，现将普惠性养老机构床位费、照料护理费标准有关事项通知如下：</w:t>
      </w:r>
    </w:p>
    <w:p w14:paraId="3284075D">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黑体" w:hAnsi="黑体" w:eastAsia="黑体" w:cs="黑体"/>
          <w:color w:val="auto"/>
          <w:kern w:val="2"/>
          <w:sz w:val="32"/>
          <w:szCs w:val="32"/>
          <w:highlight w:val="none"/>
          <w:lang w:val="en-US" w:eastAsia="zh-CN" w:bidi="ar-SA"/>
        </w:rPr>
      </w:pPr>
      <w:r>
        <w:rPr>
          <w:rFonts w:hint="eastAsia" w:ascii="黑体" w:hAnsi="黑体" w:eastAsia="黑体" w:cs="黑体"/>
          <w:color w:val="auto"/>
          <w:kern w:val="2"/>
          <w:sz w:val="32"/>
          <w:szCs w:val="32"/>
          <w:highlight w:val="none"/>
          <w:lang w:val="en-US" w:eastAsia="zh-CN" w:bidi="ar-SA"/>
        </w:rPr>
        <w:t>一、总体要求</w:t>
      </w:r>
    </w:p>
    <w:p w14:paraId="3DFA318E">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普惠性养老机构应坚持公益性原则，提供质价相符的服务，收费标准应公开透明，严禁变相提高收费标准。</w:t>
      </w:r>
    </w:p>
    <w:p w14:paraId="1A6CBADD">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黑体" w:hAnsi="黑体" w:eastAsia="黑体" w:cs="黑体"/>
          <w:color w:val="auto"/>
          <w:kern w:val="2"/>
          <w:sz w:val="32"/>
          <w:szCs w:val="32"/>
          <w:highlight w:val="none"/>
          <w:lang w:val="en-US" w:eastAsia="zh-CN" w:bidi="ar-SA"/>
        </w:rPr>
      </w:pPr>
      <w:r>
        <w:rPr>
          <w:rFonts w:hint="eastAsia" w:ascii="黑体" w:hAnsi="黑体" w:eastAsia="黑体" w:cs="黑体"/>
          <w:color w:val="auto"/>
          <w:kern w:val="2"/>
          <w:sz w:val="32"/>
          <w:szCs w:val="32"/>
          <w:highlight w:val="none"/>
          <w:lang w:val="en-US" w:eastAsia="zh-CN" w:bidi="ar-SA"/>
        </w:rPr>
        <w:t>二、收费项目</w:t>
      </w:r>
    </w:p>
    <w:p w14:paraId="660C5C70">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（一）普惠性养老服务收费项目包括床位费、照料护理费、伙食费和其他服务收费。</w:t>
      </w:r>
    </w:p>
    <w:p w14:paraId="5297F16A">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（二）床位费、照料护理费实行政府指导价。伙食费和其他服务收费实行市场调节价。</w:t>
      </w:r>
    </w:p>
    <w:p w14:paraId="53F7BB47">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黑体" w:hAnsi="黑体" w:eastAsia="黑体" w:cs="黑体"/>
          <w:color w:val="auto"/>
          <w:kern w:val="2"/>
          <w:sz w:val="32"/>
          <w:szCs w:val="32"/>
          <w:highlight w:val="none"/>
          <w:lang w:val="en-US" w:eastAsia="zh-CN" w:bidi="ar-SA"/>
        </w:rPr>
      </w:pPr>
      <w:r>
        <w:rPr>
          <w:rFonts w:hint="eastAsia" w:ascii="黑体" w:hAnsi="黑体" w:eastAsia="黑体" w:cs="黑体"/>
          <w:color w:val="auto"/>
          <w:kern w:val="2"/>
          <w:sz w:val="32"/>
          <w:szCs w:val="32"/>
          <w:highlight w:val="none"/>
          <w:lang w:val="en-US" w:eastAsia="zh-CN" w:bidi="ar-SA"/>
        </w:rPr>
        <w:t>三、收费标准</w:t>
      </w:r>
    </w:p>
    <w:p w14:paraId="718A3E6A">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（一）普惠性养老机构床位费、照料护理费标准根据自理能力评估结果按照养老机构不同星级、护理等级等，实行分级管理。具体收费标准详见附件。</w:t>
      </w:r>
      <w:bookmarkStart w:id="4" w:name="_GoBack"/>
      <w:bookmarkEnd w:id="4"/>
    </w:p>
    <w:p w14:paraId="42614B71">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（二）护理等级的评定，应严格按照国家标准《老年人能力评估规范》（GB/T42195-2022）执行。养老机构等级评定由民政部门负责。</w:t>
      </w:r>
    </w:p>
    <w:p w14:paraId="191CBE66">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黑体" w:hAnsi="黑体" w:eastAsia="黑体" w:cs="黑体"/>
          <w:color w:val="auto"/>
          <w:kern w:val="2"/>
          <w:sz w:val="32"/>
          <w:szCs w:val="32"/>
          <w:highlight w:val="none"/>
          <w:lang w:val="en-US" w:eastAsia="zh-CN" w:bidi="ar-SA"/>
        </w:rPr>
      </w:pPr>
      <w:r>
        <w:rPr>
          <w:rFonts w:hint="eastAsia" w:ascii="黑体" w:hAnsi="黑体" w:eastAsia="黑体" w:cs="黑体"/>
          <w:color w:val="auto"/>
          <w:kern w:val="2"/>
          <w:sz w:val="32"/>
          <w:szCs w:val="32"/>
          <w:highlight w:val="none"/>
          <w:lang w:val="en-US" w:eastAsia="zh-CN" w:bidi="ar-SA"/>
        </w:rPr>
        <w:t>四、收费公示</w:t>
      </w:r>
    </w:p>
    <w:p w14:paraId="0EAE45BF">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普惠性养老机构应当按规定在经营场所醒目位置和相应网站公示机构基本设施与条件、服务内容与等级、收费项目与标准、收费依据等信息，建有门户网站的应同时在网站进行公示，主动接受入住老年人和社会监督。</w:t>
      </w:r>
    </w:p>
    <w:p w14:paraId="0EE2AEDF">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黑体" w:hAnsi="黑体" w:eastAsia="黑体" w:cs="黑体"/>
          <w:color w:val="auto"/>
          <w:kern w:val="2"/>
          <w:sz w:val="32"/>
          <w:szCs w:val="32"/>
          <w:highlight w:val="none"/>
          <w:lang w:val="en-US" w:eastAsia="zh-CN" w:bidi="ar-SA"/>
        </w:rPr>
      </w:pPr>
      <w:r>
        <w:rPr>
          <w:rFonts w:hint="eastAsia" w:ascii="黑体" w:hAnsi="黑体" w:eastAsia="黑体" w:cs="黑体"/>
          <w:color w:val="auto"/>
          <w:kern w:val="2"/>
          <w:sz w:val="32"/>
          <w:szCs w:val="32"/>
          <w:highlight w:val="none"/>
          <w:lang w:val="en-US" w:eastAsia="zh-CN" w:bidi="ar-SA"/>
        </w:rPr>
        <w:t>五、其他</w:t>
      </w:r>
    </w:p>
    <w:p w14:paraId="3740BA0E">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ascii="Times New Roman" w:hAnsi="Times New Roman" w:eastAsia="仿宋_GB2312" w:cs="Times New Roman"/>
          <w:color w:val="auto"/>
          <w:kern w:val="2"/>
          <w:sz w:val="32"/>
          <w:szCs w:val="32"/>
          <w:highlight w:val="none"/>
          <w:lang w:val="en-US" w:eastAsia="zh-CN" w:bidi="ar-SA"/>
        </w:rPr>
        <w:t>本通知自</w:t>
      </w:r>
      <w:r>
        <w:rPr>
          <w:rFonts w:hint="eastAsia" w:ascii="Times New Roman" w:hAnsi="Times New Roman" w:eastAsia="仿宋_GB2312" w:cs="Times New Roman"/>
          <w:color w:val="auto"/>
          <w:kern w:val="2"/>
          <w:sz w:val="32"/>
          <w:szCs w:val="32"/>
          <w:highlight w:val="none"/>
          <w:lang w:val="en-US" w:eastAsia="zh-CN" w:bidi="ar-SA"/>
        </w:rPr>
        <w:t>2026年3月2日</w:t>
      </w:r>
      <w:r>
        <w:rPr>
          <w:rFonts w:ascii="Times New Roman" w:hAnsi="Times New Roman" w:eastAsia="仿宋_GB2312" w:cs="Times New Roman"/>
          <w:color w:val="auto"/>
          <w:kern w:val="2"/>
          <w:sz w:val="32"/>
          <w:szCs w:val="32"/>
          <w:highlight w:val="none"/>
          <w:lang w:val="en-US" w:eastAsia="zh-CN" w:bidi="ar-SA"/>
        </w:rPr>
        <w:t>起</w:t>
      </w:r>
      <w:r>
        <w:rPr>
          <w:rFonts w:hint="eastAsia" w:ascii="Times New Roman" w:hAnsi="Times New Roman" w:eastAsia="仿宋_GB2312" w:cs="Times New Roman"/>
          <w:color w:val="auto"/>
          <w:kern w:val="2"/>
          <w:sz w:val="32"/>
          <w:szCs w:val="32"/>
          <w:highlight w:val="none"/>
          <w:lang w:val="en-US" w:eastAsia="zh-CN" w:bidi="ar-SA"/>
        </w:rPr>
        <w:t>施行。在施行过程中，如上级出台其他新文件或规定，按上级文件和规定执行。</w:t>
      </w:r>
    </w:p>
    <w:p w14:paraId="763358F0">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ascii="Times New Roman" w:hAnsi="Times New Roman" w:eastAsia="仿宋_GB2312" w:cs="Times New Roman"/>
          <w:color w:val="auto"/>
          <w:kern w:val="2"/>
          <w:sz w:val="32"/>
          <w:szCs w:val="32"/>
          <w:highlight w:val="none"/>
          <w:lang w:val="en-US" w:eastAsia="zh-CN" w:bidi="ar-SA"/>
        </w:rPr>
      </w:pPr>
    </w:p>
    <w:p w14:paraId="0A3C418C">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ascii="Times New Roman" w:hAnsi="Times New Roman" w:eastAsia="仿宋_GB2312" w:cs="Times New Roman"/>
          <w:color w:val="auto"/>
          <w:kern w:val="2"/>
          <w:sz w:val="32"/>
          <w:szCs w:val="32"/>
          <w:highlight w:val="none"/>
          <w:lang w:val="en-US" w:eastAsia="zh-CN" w:bidi="ar-SA"/>
        </w:rPr>
      </w:pPr>
      <w:r>
        <w:rPr>
          <w:rFonts w:ascii="Times New Roman" w:hAnsi="Times New Roman" w:eastAsia="仿宋_GB2312" w:cs="Times New Roman"/>
          <w:color w:val="auto"/>
          <w:kern w:val="2"/>
          <w:sz w:val="32"/>
          <w:szCs w:val="32"/>
          <w:highlight w:val="none"/>
          <w:lang w:val="en-US" w:eastAsia="zh-CN" w:bidi="ar-SA"/>
        </w:rPr>
        <w:t>附件：普惠性养老机构床位费、照料护理费收费标准</w:t>
      </w:r>
    </w:p>
    <w:p w14:paraId="4528ADDC">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 xml:space="preserve"> </w:t>
      </w:r>
    </w:p>
    <w:p w14:paraId="544C55AD">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eastAsia" w:ascii="Times New Roman" w:hAnsi="Times New Roman" w:eastAsia="仿宋_GB2312" w:cs="Times New Roman"/>
          <w:color w:val="auto"/>
          <w:kern w:val="2"/>
          <w:sz w:val="32"/>
          <w:szCs w:val="32"/>
          <w:highlight w:val="none"/>
          <w:lang w:val="en-US" w:eastAsia="zh-CN" w:bidi="ar-SA"/>
        </w:rPr>
      </w:pPr>
    </w:p>
    <w:p w14:paraId="044E30C7">
      <w:pPr>
        <w:pStyle w:val="13"/>
        <w:keepNext w:val="0"/>
        <w:keepLines w:val="0"/>
        <w:pageBreakBefore w:val="0"/>
        <w:widowControl w:val="0"/>
        <w:kinsoku/>
        <w:wordWrap/>
        <w:overflowPunct/>
        <w:topLinePunct w:val="0"/>
        <w:autoSpaceDE/>
        <w:autoSpaceDN/>
        <w:bidi w:val="0"/>
        <w:adjustRightInd/>
        <w:snapToGrid/>
        <w:spacing w:line="540" w:lineRule="exact"/>
        <w:ind w:firstLine="1280" w:firstLineChars="40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威海市环翠区发展和改革局   威海市环翠区民政局</w:t>
      </w:r>
    </w:p>
    <w:p w14:paraId="2F9A607F">
      <w:pPr>
        <w:pStyle w:val="13"/>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default" w:ascii="Times New Roman" w:hAnsi="Times New Roman" w:eastAsia="仿宋_GB2312" w:cs="Times New Roman"/>
          <w:color w:val="auto"/>
          <w:kern w:val="2"/>
          <w:sz w:val="32"/>
          <w:szCs w:val="32"/>
          <w:highlight w:val="none"/>
          <w:lang w:val="en-US" w:eastAsia="zh-CN" w:bidi="ar-SA"/>
        </w:rPr>
        <w:sectPr>
          <w:headerReference r:id="rId3" w:type="default"/>
          <w:footerReference r:id="rId4" w:type="default"/>
          <w:pgSz w:w="11940" w:h="16920"/>
          <w:pgMar w:top="1417" w:right="1701" w:bottom="1417" w:left="1701" w:header="720" w:footer="720" w:gutter="0"/>
          <w:cols w:space="720" w:num="1"/>
        </w:sectPr>
      </w:pPr>
      <w:r>
        <w:rPr>
          <w:rFonts w:hint="eastAsia" w:ascii="Times New Roman" w:hAnsi="Times New Roman" w:eastAsia="仿宋_GB2312" w:cs="Times New Roman"/>
          <w:color w:val="auto"/>
          <w:kern w:val="2"/>
          <w:sz w:val="32"/>
          <w:szCs w:val="32"/>
          <w:highlight w:val="none"/>
          <w:lang w:val="en-US" w:eastAsia="zh-CN" w:bidi="ar-SA"/>
        </w:rPr>
        <w:t xml:space="preserve">                                   2026年3月2日</w:t>
      </w:r>
    </w:p>
    <w:p w14:paraId="03442E18">
      <w:pPr>
        <w:pStyle w:val="13"/>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both"/>
        <w:textAlignment w:val="auto"/>
        <w:rPr>
          <w:rFonts w:ascii="Times New Roman" w:hAnsi="Times New Roman" w:eastAsia="仿宋_GB2312" w:cs="Times New Roman"/>
          <w:color w:val="auto"/>
          <w:kern w:val="2"/>
          <w:sz w:val="32"/>
          <w:szCs w:val="32"/>
          <w:highlight w:val="none"/>
          <w:lang w:val="en-US" w:eastAsia="zh-CN" w:bidi="ar-SA"/>
        </w:rPr>
      </w:pPr>
      <w:r>
        <w:rPr>
          <w:rFonts w:ascii="Times New Roman" w:hAnsi="Times New Roman" w:eastAsia="仿宋_GB2312" w:cs="Times New Roman"/>
          <w:color w:val="auto"/>
          <w:kern w:val="2"/>
          <w:sz w:val="32"/>
          <w:szCs w:val="32"/>
          <w:highlight w:val="none"/>
          <w:lang w:val="en-US" w:eastAsia="zh-CN" w:bidi="ar-SA"/>
        </w:rPr>
        <w:t>附件：</w:t>
      </w:r>
    </w:p>
    <w:p w14:paraId="6179C9C4">
      <w:pPr>
        <w:pStyle w:val="13"/>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黑体" w:hAnsi="黑体" w:eastAsia="黑体" w:cs="黑体"/>
          <w:color w:val="auto"/>
          <w:kern w:val="2"/>
          <w:sz w:val="32"/>
          <w:szCs w:val="32"/>
          <w:highlight w:val="none"/>
          <w:lang w:val="en-US" w:eastAsia="zh-CN" w:bidi="ar-SA"/>
        </w:rPr>
      </w:pPr>
    </w:p>
    <w:p w14:paraId="4D8722AB">
      <w:pPr>
        <w:jc w:val="center"/>
        <w:rPr>
          <w:rFonts w:hint="eastAsia" w:ascii="文星简小标宋" w:hAnsi="文星简小标宋" w:eastAsia="文星简小标宋" w:cs="文星简小标宋"/>
          <w:b w:val="0"/>
          <w:bCs w:val="0"/>
          <w:color w:val="000000" w:themeColor="text1"/>
          <w:sz w:val="44"/>
          <w:szCs w:val="44"/>
          <w:highlight w:val="none"/>
          <w:lang w:val="en-US" w:eastAsia="zh-CN"/>
          <w14:textFill>
            <w14:solidFill>
              <w14:schemeClr w14:val="tx1"/>
            </w14:solidFill>
          </w14:textFill>
        </w:rPr>
      </w:pPr>
      <w:r>
        <w:rPr>
          <w:rFonts w:hint="eastAsia" w:ascii="文星简小标宋" w:hAnsi="文星简小标宋" w:eastAsia="文星简小标宋" w:cs="文星简小标宋"/>
          <w:b w:val="0"/>
          <w:bCs w:val="0"/>
          <w:color w:val="000000" w:themeColor="text1"/>
          <w:sz w:val="44"/>
          <w:szCs w:val="44"/>
          <w:highlight w:val="none"/>
          <w:lang w:val="en-US" w:eastAsia="zh-CN"/>
          <w14:textFill>
            <w14:solidFill>
              <w14:schemeClr w14:val="tx1"/>
            </w14:solidFill>
          </w14:textFill>
        </w:rPr>
        <w:t>普惠性养老机构床位费、照料护理费</w:t>
      </w:r>
    </w:p>
    <w:p w14:paraId="5D1305EF">
      <w:pPr>
        <w:jc w:val="center"/>
        <w:rPr>
          <w:rFonts w:hint="eastAsia" w:ascii="黑体" w:hAnsi="黑体" w:eastAsia="黑体" w:cs="黑体"/>
          <w:color w:val="auto"/>
          <w:kern w:val="2"/>
          <w:sz w:val="32"/>
          <w:szCs w:val="32"/>
          <w:highlight w:val="none"/>
          <w:lang w:val="en-US" w:eastAsia="zh-CN" w:bidi="ar-SA"/>
        </w:rPr>
      </w:pPr>
      <w:r>
        <w:rPr>
          <w:rFonts w:hint="eastAsia" w:ascii="文星简小标宋" w:hAnsi="文星简小标宋" w:eastAsia="文星简小标宋" w:cs="文星简小标宋"/>
          <w:b w:val="0"/>
          <w:bCs w:val="0"/>
          <w:color w:val="000000" w:themeColor="text1"/>
          <w:sz w:val="44"/>
          <w:szCs w:val="44"/>
          <w:highlight w:val="none"/>
          <w:lang w:val="en-US" w:eastAsia="zh-CN"/>
          <w14:textFill>
            <w14:solidFill>
              <w14:schemeClr w14:val="tx1"/>
            </w14:solidFill>
          </w14:textFill>
        </w:rPr>
        <w:t>收费标准</w:t>
      </w:r>
    </w:p>
    <w:p w14:paraId="4C97A248">
      <w:pPr>
        <w:pStyle w:val="13"/>
        <w:keepNext w:val="0"/>
        <w:keepLines w:val="0"/>
        <w:pageBreakBefore w:val="0"/>
        <w:widowControl w:val="0"/>
        <w:kinsoku/>
        <w:wordWrap/>
        <w:overflowPunct/>
        <w:topLinePunct w:val="0"/>
        <w:autoSpaceDE/>
        <w:autoSpaceDN/>
        <w:bidi w:val="0"/>
        <w:adjustRightInd/>
        <w:snapToGrid/>
        <w:spacing w:line="560" w:lineRule="exact"/>
        <w:ind w:firstLine="640"/>
        <w:jc w:val="right"/>
        <w:textAlignment w:val="auto"/>
        <w:rPr>
          <w:rFonts w:hint="default" w:ascii="Times New Roman" w:hAnsi="Times New Roman" w:eastAsia="仿宋_GB2312" w:cs="Times New Roman"/>
          <w:color w:val="auto"/>
          <w:kern w:val="2"/>
          <w:sz w:val="32"/>
          <w:szCs w:val="32"/>
          <w:highlight w:val="none"/>
          <w:lang w:val="en-US" w:eastAsia="zh-CN" w:bidi="ar-SA"/>
        </w:rPr>
      </w:pPr>
    </w:p>
    <w:tbl>
      <w:tblPr>
        <w:tblStyle w:val="9"/>
        <w:tblW w:w="9012" w:type="dxa"/>
        <w:tblInd w:w="-2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82"/>
        <w:gridCol w:w="2195"/>
        <w:gridCol w:w="990"/>
        <w:gridCol w:w="945"/>
        <w:gridCol w:w="960"/>
        <w:gridCol w:w="1005"/>
        <w:gridCol w:w="1035"/>
      </w:tblGrid>
      <w:tr w14:paraId="6A4A7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4077" w:type="dxa"/>
            <w:gridSpan w:val="2"/>
            <w:vMerge w:val="restart"/>
            <w:vAlign w:val="center"/>
          </w:tcPr>
          <w:p w14:paraId="3627343E">
            <w:pPr>
              <w:jc w:val="center"/>
              <w:rPr>
                <w:vertAlign w:val="baseline"/>
              </w:rPr>
            </w:pPr>
            <w:r>
              <w:rPr>
                <w:rFonts w:hint="eastAsia" w:ascii="黑体" w:hAnsi="黑体" w:eastAsia="黑体" w:cs="黑体"/>
                <w:sz w:val="32"/>
                <w:szCs w:val="32"/>
                <w:vertAlign w:val="baseline"/>
                <w:lang w:eastAsia="zh-CN"/>
              </w:rPr>
              <w:t>收费项目</w:t>
            </w:r>
          </w:p>
        </w:tc>
        <w:tc>
          <w:tcPr>
            <w:tcW w:w="4935" w:type="dxa"/>
            <w:gridSpan w:val="5"/>
            <w:vAlign w:val="center"/>
          </w:tcPr>
          <w:p w14:paraId="6F653608">
            <w:pPr>
              <w:jc w:val="center"/>
              <w:rPr>
                <w:rFonts w:hint="eastAsia" w:ascii="黑体" w:hAnsi="黑体" w:eastAsia="黑体" w:cs="黑体"/>
                <w:sz w:val="32"/>
                <w:szCs w:val="32"/>
                <w:vertAlign w:val="baseline"/>
                <w:lang w:eastAsia="zh-CN"/>
              </w:rPr>
            </w:pPr>
            <w:r>
              <w:rPr>
                <w:rFonts w:hint="eastAsia" w:ascii="黑体" w:hAnsi="黑体" w:eastAsia="黑体" w:cs="黑体"/>
                <w:sz w:val="32"/>
                <w:szCs w:val="32"/>
                <w:vertAlign w:val="baseline"/>
                <w:lang w:eastAsia="zh-CN"/>
              </w:rPr>
              <w:t>星级类别</w:t>
            </w:r>
          </w:p>
        </w:tc>
      </w:tr>
      <w:tr w14:paraId="41D9A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4077" w:type="dxa"/>
            <w:gridSpan w:val="2"/>
            <w:vMerge w:val="continue"/>
          </w:tcPr>
          <w:p w14:paraId="7BA50BBA">
            <w:pPr>
              <w:rPr>
                <w:vertAlign w:val="baseline"/>
              </w:rPr>
            </w:pPr>
          </w:p>
        </w:tc>
        <w:tc>
          <w:tcPr>
            <w:tcW w:w="990" w:type="dxa"/>
            <w:vAlign w:val="center"/>
          </w:tcPr>
          <w:p w14:paraId="65A2D235">
            <w:pPr>
              <w:jc w:val="center"/>
              <w:rPr>
                <w:rFonts w:hint="default" w:eastAsiaTheme="minorEastAsia"/>
                <w:vertAlign w:val="baseline"/>
                <w:lang w:val="en-US" w:eastAsia="zh-CN"/>
              </w:rPr>
            </w:pPr>
            <w:r>
              <w:rPr>
                <w:rFonts w:hint="eastAsia" w:ascii="黑体" w:hAnsi="黑体" w:eastAsia="黑体" w:cs="黑体"/>
                <w:sz w:val="32"/>
                <w:szCs w:val="32"/>
                <w:vertAlign w:val="baseline"/>
                <w:lang w:val="en-US" w:eastAsia="zh-CN"/>
              </w:rPr>
              <w:t>一级</w:t>
            </w:r>
          </w:p>
        </w:tc>
        <w:tc>
          <w:tcPr>
            <w:tcW w:w="945" w:type="dxa"/>
            <w:vAlign w:val="center"/>
          </w:tcPr>
          <w:p w14:paraId="078C81C6">
            <w:pPr>
              <w:jc w:val="center"/>
              <w:rPr>
                <w:rFonts w:hint="eastAsia" w:eastAsiaTheme="minorEastAsia"/>
                <w:vertAlign w:val="baseline"/>
                <w:lang w:val="en-US" w:eastAsia="zh-CN"/>
              </w:rPr>
            </w:pPr>
            <w:r>
              <w:rPr>
                <w:rFonts w:hint="eastAsia" w:ascii="黑体" w:hAnsi="黑体" w:eastAsia="黑体" w:cs="黑体"/>
                <w:sz w:val="32"/>
                <w:szCs w:val="32"/>
                <w:vertAlign w:val="baseline"/>
                <w:lang w:val="en-US" w:eastAsia="zh-CN"/>
              </w:rPr>
              <w:t>二级</w:t>
            </w:r>
          </w:p>
        </w:tc>
        <w:tc>
          <w:tcPr>
            <w:tcW w:w="960" w:type="dxa"/>
            <w:vAlign w:val="center"/>
          </w:tcPr>
          <w:p w14:paraId="00F7F4E7">
            <w:pPr>
              <w:jc w:val="center"/>
              <w:rPr>
                <w:rFonts w:hint="eastAsia" w:eastAsiaTheme="minorEastAsia"/>
                <w:vertAlign w:val="baseline"/>
                <w:lang w:val="en-US" w:eastAsia="zh-CN"/>
              </w:rPr>
            </w:pPr>
            <w:r>
              <w:rPr>
                <w:rFonts w:hint="eastAsia" w:ascii="黑体" w:hAnsi="黑体" w:eastAsia="黑体" w:cs="黑体"/>
                <w:sz w:val="32"/>
                <w:szCs w:val="32"/>
                <w:vertAlign w:val="baseline"/>
                <w:lang w:val="en-US" w:eastAsia="zh-CN"/>
              </w:rPr>
              <w:t>三级</w:t>
            </w:r>
          </w:p>
        </w:tc>
        <w:tc>
          <w:tcPr>
            <w:tcW w:w="1005" w:type="dxa"/>
            <w:vAlign w:val="center"/>
          </w:tcPr>
          <w:p w14:paraId="25C8AB81">
            <w:pPr>
              <w:jc w:val="center"/>
              <w:rPr>
                <w:rFonts w:hint="default"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四级</w:t>
            </w:r>
          </w:p>
        </w:tc>
        <w:tc>
          <w:tcPr>
            <w:tcW w:w="1035" w:type="dxa"/>
            <w:vAlign w:val="center"/>
          </w:tcPr>
          <w:p w14:paraId="4B65C0FB">
            <w:pPr>
              <w:jc w:val="center"/>
              <w:rPr>
                <w:rFonts w:hint="eastAsia"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五级</w:t>
            </w:r>
          </w:p>
        </w:tc>
      </w:tr>
      <w:tr w14:paraId="528BC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4077" w:type="dxa"/>
            <w:gridSpan w:val="2"/>
            <w:vAlign w:val="center"/>
          </w:tcPr>
          <w:p w14:paraId="7D1ADDA7">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床位费</w:t>
            </w:r>
          </w:p>
          <w:p w14:paraId="1BBAAC9E">
            <w:pPr>
              <w:jc w:val="center"/>
              <w:rPr>
                <w:rFonts w:hint="eastAsia" w:ascii="仿宋_GB2312" w:hAnsi="仿宋_GB2312" w:eastAsia="仿宋_GB2312" w:cs="仿宋_GB2312"/>
                <w:vertAlign w:val="baseline"/>
                <w:lang w:eastAsia="zh-CN"/>
              </w:rPr>
            </w:pPr>
            <w:bookmarkStart w:id="2" w:name="OLE_LINK2"/>
            <w:r>
              <w:rPr>
                <w:rFonts w:hint="eastAsia" w:ascii="仿宋_GB2312" w:hAnsi="仿宋_GB2312" w:eastAsia="仿宋_GB2312" w:cs="仿宋_GB2312"/>
                <w:sz w:val="32"/>
                <w:szCs w:val="32"/>
                <w:vertAlign w:val="baseline"/>
                <w:lang w:eastAsia="zh-CN"/>
              </w:rPr>
              <w:t>（</w:t>
            </w:r>
            <w:r>
              <w:rPr>
                <w:rFonts w:hint="eastAsia" w:ascii="仿宋_GB2312" w:hAnsi="仿宋_GB2312" w:eastAsia="仿宋_GB2312" w:cs="仿宋_GB2312"/>
                <w:sz w:val="32"/>
                <w:szCs w:val="32"/>
                <w:vertAlign w:val="baseline"/>
                <w:lang w:val="en-US" w:eastAsia="zh-CN"/>
              </w:rPr>
              <w:t>元/床/月</w:t>
            </w:r>
            <w:r>
              <w:rPr>
                <w:rFonts w:hint="eastAsia" w:ascii="仿宋_GB2312" w:hAnsi="仿宋_GB2312" w:eastAsia="仿宋_GB2312" w:cs="仿宋_GB2312"/>
                <w:sz w:val="32"/>
                <w:szCs w:val="32"/>
                <w:vertAlign w:val="baseline"/>
                <w:lang w:eastAsia="zh-CN"/>
              </w:rPr>
              <w:t>）</w:t>
            </w:r>
            <w:bookmarkEnd w:id="2"/>
          </w:p>
        </w:tc>
        <w:tc>
          <w:tcPr>
            <w:tcW w:w="990" w:type="dxa"/>
            <w:vAlign w:val="center"/>
          </w:tcPr>
          <w:p w14:paraId="1A4454F6">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900</w:t>
            </w:r>
          </w:p>
        </w:tc>
        <w:tc>
          <w:tcPr>
            <w:tcW w:w="945" w:type="dxa"/>
            <w:vAlign w:val="center"/>
          </w:tcPr>
          <w:p w14:paraId="21D09CE9">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1000</w:t>
            </w:r>
          </w:p>
        </w:tc>
        <w:tc>
          <w:tcPr>
            <w:tcW w:w="960" w:type="dxa"/>
            <w:vAlign w:val="center"/>
          </w:tcPr>
          <w:p w14:paraId="30926DE0">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1100</w:t>
            </w:r>
          </w:p>
        </w:tc>
        <w:tc>
          <w:tcPr>
            <w:tcW w:w="1005" w:type="dxa"/>
            <w:vAlign w:val="center"/>
          </w:tcPr>
          <w:p w14:paraId="0B3194BD">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1200</w:t>
            </w:r>
          </w:p>
        </w:tc>
        <w:tc>
          <w:tcPr>
            <w:tcW w:w="1035" w:type="dxa"/>
            <w:vAlign w:val="center"/>
          </w:tcPr>
          <w:p w14:paraId="20A2CA14">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1400</w:t>
            </w:r>
          </w:p>
        </w:tc>
      </w:tr>
      <w:tr w14:paraId="34D50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5" w:hRule="atLeast"/>
        </w:trPr>
        <w:tc>
          <w:tcPr>
            <w:tcW w:w="1882" w:type="dxa"/>
            <w:vMerge w:val="restart"/>
            <w:vAlign w:val="center"/>
          </w:tcPr>
          <w:p w14:paraId="7E0FC260">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照</w:t>
            </w:r>
          </w:p>
          <w:p w14:paraId="000155E9">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料</w:t>
            </w:r>
          </w:p>
          <w:p w14:paraId="635AD617">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护</w:t>
            </w:r>
          </w:p>
          <w:p w14:paraId="08D1AB1A">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理</w:t>
            </w:r>
          </w:p>
          <w:p w14:paraId="04089D37">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费</w:t>
            </w:r>
          </w:p>
          <w:p w14:paraId="367114B9">
            <w:pPr>
              <w:pStyle w:val="13"/>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both"/>
              <w:textAlignment w:val="auto"/>
              <w:rPr>
                <w:rFonts w:hint="eastAsia" w:ascii="仿宋_GB2312" w:hAnsi="仿宋_GB2312" w:eastAsia="仿宋_GB2312" w:cs="仿宋_GB2312"/>
                <w:vertAlign w:val="baseline"/>
                <w:lang w:eastAsia="zh-CN"/>
              </w:rPr>
            </w:pPr>
            <w:bookmarkStart w:id="3" w:name="OLE_LINK3"/>
            <w:r>
              <w:rPr>
                <w:rFonts w:hint="eastAsia" w:ascii="仿宋_GB2312" w:hAnsi="仿宋_GB2312" w:eastAsia="仿宋_GB2312" w:cs="仿宋_GB2312"/>
                <w:sz w:val="32"/>
                <w:szCs w:val="32"/>
                <w:vertAlign w:val="baseline"/>
                <w:lang w:eastAsia="zh-CN"/>
              </w:rPr>
              <w:t>（</w:t>
            </w:r>
            <w:r>
              <w:rPr>
                <w:rFonts w:hint="eastAsia" w:ascii="Times New Roman" w:hAnsi="Times New Roman" w:eastAsia="仿宋_GB2312" w:cs="Times New Roman"/>
                <w:color w:val="auto"/>
                <w:kern w:val="2"/>
                <w:sz w:val="32"/>
                <w:szCs w:val="32"/>
                <w:highlight w:val="none"/>
                <w:lang w:val="en-US" w:eastAsia="zh-CN" w:bidi="ar-SA"/>
              </w:rPr>
              <w:t>元/人/月</w:t>
            </w:r>
            <w:r>
              <w:rPr>
                <w:rFonts w:hint="eastAsia" w:ascii="仿宋_GB2312" w:hAnsi="仿宋_GB2312" w:eastAsia="仿宋_GB2312" w:cs="仿宋_GB2312"/>
                <w:sz w:val="32"/>
                <w:szCs w:val="32"/>
                <w:vertAlign w:val="baseline"/>
                <w:lang w:eastAsia="zh-CN"/>
              </w:rPr>
              <w:t>）</w:t>
            </w:r>
            <w:bookmarkEnd w:id="3"/>
          </w:p>
        </w:tc>
        <w:tc>
          <w:tcPr>
            <w:tcW w:w="2195" w:type="dxa"/>
            <w:vAlign w:val="center"/>
          </w:tcPr>
          <w:p w14:paraId="5F3B4672">
            <w:pPr>
              <w:numPr>
                <w:ilvl w:val="0"/>
                <w:numId w:val="0"/>
              </w:numPr>
              <w:bidi w:val="0"/>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自理级</w:t>
            </w:r>
          </w:p>
          <w:p w14:paraId="174EC359">
            <w:pPr>
              <w:numPr>
                <w:ilvl w:val="0"/>
                <w:numId w:val="0"/>
              </w:numPr>
              <w:bidi w:val="0"/>
              <w:jc w:val="center"/>
              <w:rPr>
                <w:rFonts w:hint="eastAsia" w:ascii="仿宋_GB2312" w:hAnsi="仿宋_GB2312" w:eastAsia="仿宋_GB2312" w:cs="仿宋_GB2312"/>
                <w:vertAlign w:val="baseline"/>
              </w:rPr>
            </w:pPr>
            <w:r>
              <w:rPr>
                <w:rFonts w:hint="eastAsia" w:ascii="仿宋_GB2312" w:hAnsi="仿宋_GB2312" w:eastAsia="仿宋_GB2312" w:cs="仿宋_GB2312"/>
                <w:sz w:val="28"/>
                <w:szCs w:val="28"/>
                <w:lang w:val="en-US" w:eastAsia="zh-CN"/>
              </w:rPr>
              <w:t>（能力完好）</w:t>
            </w:r>
          </w:p>
        </w:tc>
        <w:tc>
          <w:tcPr>
            <w:tcW w:w="990" w:type="dxa"/>
            <w:vAlign w:val="center"/>
          </w:tcPr>
          <w:p w14:paraId="17AB7A8B">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400</w:t>
            </w:r>
          </w:p>
        </w:tc>
        <w:tc>
          <w:tcPr>
            <w:tcW w:w="945" w:type="dxa"/>
            <w:vAlign w:val="center"/>
          </w:tcPr>
          <w:p w14:paraId="2C9E85D4">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500</w:t>
            </w:r>
          </w:p>
        </w:tc>
        <w:tc>
          <w:tcPr>
            <w:tcW w:w="960" w:type="dxa"/>
            <w:vAlign w:val="center"/>
          </w:tcPr>
          <w:p w14:paraId="62D3DC55">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600</w:t>
            </w:r>
          </w:p>
        </w:tc>
        <w:tc>
          <w:tcPr>
            <w:tcW w:w="1005" w:type="dxa"/>
            <w:vAlign w:val="center"/>
          </w:tcPr>
          <w:p w14:paraId="57A3EC84">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700</w:t>
            </w:r>
          </w:p>
        </w:tc>
        <w:tc>
          <w:tcPr>
            <w:tcW w:w="1035" w:type="dxa"/>
            <w:vAlign w:val="center"/>
          </w:tcPr>
          <w:p w14:paraId="539F9BA3">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800</w:t>
            </w:r>
          </w:p>
        </w:tc>
      </w:tr>
      <w:tr w14:paraId="4903D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0" w:hRule="atLeast"/>
        </w:trPr>
        <w:tc>
          <w:tcPr>
            <w:tcW w:w="1882" w:type="dxa"/>
            <w:vMerge w:val="continue"/>
          </w:tcPr>
          <w:p w14:paraId="6A9009FF">
            <w:pPr>
              <w:rPr>
                <w:rFonts w:hint="eastAsia" w:ascii="仿宋_GB2312" w:hAnsi="仿宋_GB2312" w:eastAsia="仿宋_GB2312" w:cs="仿宋_GB2312"/>
                <w:vertAlign w:val="baseline"/>
              </w:rPr>
            </w:pPr>
          </w:p>
        </w:tc>
        <w:tc>
          <w:tcPr>
            <w:tcW w:w="2195" w:type="dxa"/>
            <w:vAlign w:val="center"/>
          </w:tcPr>
          <w:p w14:paraId="78AA6F41">
            <w:pPr>
              <w:numPr>
                <w:ilvl w:val="0"/>
                <w:numId w:val="0"/>
              </w:numPr>
              <w:bidi w:val="0"/>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部分自理级</w:t>
            </w:r>
          </w:p>
          <w:p w14:paraId="510A9282">
            <w:pPr>
              <w:numPr>
                <w:ilvl w:val="0"/>
                <w:numId w:val="0"/>
              </w:numPr>
              <w:bidi w:val="0"/>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（轻度失能、</w:t>
            </w:r>
          </w:p>
          <w:p w14:paraId="48656DAA">
            <w:pPr>
              <w:numPr>
                <w:ilvl w:val="0"/>
                <w:numId w:val="0"/>
              </w:numPr>
              <w:bidi w:val="0"/>
              <w:jc w:val="center"/>
              <w:rPr>
                <w:rFonts w:hint="eastAsia" w:ascii="仿宋_GB2312" w:hAnsi="仿宋_GB2312" w:eastAsia="仿宋_GB2312" w:cs="仿宋_GB2312"/>
                <w:vertAlign w:val="baseline"/>
              </w:rPr>
            </w:pPr>
            <w:r>
              <w:rPr>
                <w:rFonts w:hint="eastAsia" w:ascii="仿宋_GB2312" w:hAnsi="仿宋_GB2312" w:eastAsia="仿宋_GB2312" w:cs="仿宋_GB2312"/>
                <w:sz w:val="28"/>
                <w:szCs w:val="28"/>
                <w:lang w:val="en-US" w:eastAsia="zh-CN"/>
              </w:rPr>
              <w:t>中度失能）</w:t>
            </w:r>
          </w:p>
        </w:tc>
        <w:tc>
          <w:tcPr>
            <w:tcW w:w="990" w:type="dxa"/>
            <w:vAlign w:val="center"/>
          </w:tcPr>
          <w:p w14:paraId="3185EBC9">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1400</w:t>
            </w:r>
          </w:p>
        </w:tc>
        <w:tc>
          <w:tcPr>
            <w:tcW w:w="945" w:type="dxa"/>
            <w:vAlign w:val="center"/>
          </w:tcPr>
          <w:p w14:paraId="0235A4B3">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1600</w:t>
            </w:r>
          </w:p>
        </w:tc>
        <w:tc>
          <w:tcPr>
            <w:tcW w:w="960" w:type="dxa"/>
            <w:vAlign w:val="center"/>
          </w:tcPr>
          <w:p w14:paraId="2C64758E">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1800</w:t>
            </w:r>
          </w:p>
        </w:tc>
        <w:tc>
          <w:tcPr>
            <w:tcW w:w="1005" w:type="dxa"/>
            <w:vAlign w:val="center"/>
          </w:tcPr>
          <w:p w14:paraId="297285B5">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2000</w:t>
            </w:r>
          </w:p>
        </w:tc>
        <w:tc>
          <w:tcPr>
            <w:tcW w:w="1035" w:type="dxa"/>
            <w:vAlign w:val="center"/>
          </w:tcPr>
          <w:p w14:paraId="568571E2">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2200</w:t>
            </w:r>
          </w:p>
        </w:tc>
      </w:tr>
      <w:tr w14:paraId="79ADD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2" w:hRule="atLeast"/>
        </w:trPr>
        <w:tc>
          <w:tcPr>
            <w:tcW w:w="1882" w:type="dxa"/>
            <w:vMerge w:val="continue"/>
          </w:tcPr>
          <w:p w14:paraId="2215B63F">
            <w:pPr>
              <w:rPr>
                <w:rFonts w:hint="eastAsia" w:ascii="仿宋_GB2312" w:hAnsi="仿宋_GB2312" w:eastAsia="仿宋_GB2312" w:cs="仿宋_GB2312"/>
                <w:vertAlign w:val="baseline"/>
              </w:rPr>
            </w:pPr>
          </w:p>
        </w:tc>
        <w:tc>
          <w:tcPr>
            <w:tcW w:w="2195" w:type="dxa"/>
            <w:vAlign w:val="center"/>
          </w:tcPr>
          <w:p w14:paraId="5DFCC1AC">
            <w:pPr>
              <w:numPr>
                <w:ilvl w:val="0"/>
                <w:numId w:val="0"/>
              </w:numPr>
              <w:bidi w:val="0"/>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完全不能自理级</w:t>
            </w:r>
          </w:p>
          <w:p w14:paraId="1A8DBC9B">
            <w:pPr>
              <w:numPr>
                <w:ilvl w:val="0"/>
                <w:numId w:val="0"/>
              </w:numPr>
              <w:bidi w:val="0"/>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（重度失能、</w:t>
            </w:r>
          </w:p>
          <w:p w14:paraId="5B99A56E">
            <w:pPr>
              <w:numPr>
                <w:ilvl w:val="0"/>
                <w:numId w:val="0"/>
              </w:numPr>
              <w:bidi w:val="0"/>
              <w:jc w:val="center"/>
              <w:rPr>
                <w:rFonts w:hint="eastAsia" w:ascii="仿宋_GB2312" w:hAnsi="仿宋_GB2312" w:eastAsia="仿宋_GB2312" w:cs="仿宋_GB2312"/>
                <w:sz w:val="32"/>
                <w:szCs w:val="32"/>
                <w:vertAlign w:val="baseline"/>
              </w:rPr>
            </w:pPr>
            <w:r>
              <w:rPr>
                <w:rFonts w:hint="eastAsia" w:ascii="仿宋_GB2312" w:hAnsi="仿宋_GB2312" w:eastAsia="仿宋_GB2312" w:cs="仿宋_GB2312"/>
                <w:sz w:val="28"/>
                <w:szCs w:val="28"/>
                <w:lang w:val="en-US" w:eastAsia="zh-CN"/>
              </w:rPr>
              <w:t>完全失能）</w:t>
            </w:r>
          </w:p>
        </w:tc>
        <w:tc>
          <w:tcPr>
            <w:tcW w:w="990" w:type="dxa"/>
            <w:vAlign w:val="center"/>
          </w:tcPr>
          <w:p w14:paraId="75FE54B5">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2200</w:t>
            </w:r>
          </w:p>
        </w:tc>
        <w:tc>
          <w:tcPr>
            <w:tcW w:w="945" w:type="dxa"/>
            <w:vAlign w:val="center"/>
          </w:tcPr>
          <w:p w14:paraId="65CB0B07">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2600</w:t>
            </w:r>
          </w:p>
        </w:tc>
        <w:tc>
          <w:tcPr>
            <w:tcW w:w="960" w:type="dxa"/>
            <w:vAlign w:val="center"/>
          </w:tcPr>
          <w:p w14:paraId="683342B3">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2800</w:t>
            </w:r>
          </w:p>
        </w:tc>
        <w:tc>
          <w:tcPr>
            <w:tcW w:w="1005" w:type="dxa"/>
            <w:vAlign w:val="center"/>
          </w:tcPr>
          <w:p w14:paraId="34152E6A">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3000</w:t>
            </w:r>
          </w:p>
        </w:tc>
        <w:tc>
          <w:tcPr>
            <w:tcW w:w="1035" w:type="dxa"/>
            <w:vAlign w:val="center"/>
          </w:tcPr>
          <w:p w14:paraId="6E9FCAE4">
            <w:pPr>
              <w:jc w:val="center"/>
              <w:rPr>
                <w:rFonts w:hint="eastAsia" w:asciiTheme="minorEastAsia" w:hAnsiTheme="minorEastAsia" w:eastAsiaTheme="minorEastAsia" w:cstheme="minorEastAsia"/>
                <w:sz w:val="28"/>
                <w:szCs w:val="28"/>
                <w:vertAlign w:val="baseline"/>
                <w:lang w:val="en-US" w:eastAsia="zh-CN"/>
              </w:rPr>
            </w:pPr>
            <w:r>
              <w:rPr>
                <w:rFonts w:hint="eastAsia" w:asciiTheme="minorEastAsia" w:hAnsiTheme="minorEastAsia" w:eastAsiaTheme="minorEastAsia" w:cstheme="minorEastAsia"/>
                <w:sz w:val="28"/>
                <w:szCs w:val="28"/>
                <w:vertAlign w:val="baseline"/>
                <w:lang w:val="en-US" w:eastAsia="zh-CN"/>
              </w:rPr>
              <w:t>3200</w:t>
            </w:r>
          </w:p>
        </w:tc>
      </w:tr>
      <w:tr w14:paraId="63161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2" w:hRule="atLeast"/>
        </w:trPr>
        <w:tc>
          <w:tcPr>
            <w:tcW w:w="9012" w:type="dxa"/>
            <w:gridSpan w:val="7"/>
          </w:tcPr>
          <w:p w14:paraId="18446BCF">
            <w:pPr>
              <w:pStyle w:val="13"/>
              <w:keepNext w:val="0"/>
              <w:keepLines w:val="0"/>
              <w:pageBreakBefore w:val="0"/>
              <w:widowControl w:val="0"/>
              <w:kinsoku/>
              <w:wordWrap/>
              <w:overflowPunct/>
              <w:topLinePunct w:val="0"/>
              <w:autoSpaceDE/>
              <w:autoSpaceDN/>
              <w:bidi w:val="0"/>
              <w:adjustRightInd/>
              <w:snapToGrid/>
              <w:spacing w:line="560" w:lineRule="exact"/>
              <w:ind w:left="0" w:leftChars="0" w:firstLine="480" w:firstLineChars="200"/>
              <w:jc w:val="both"/>
              <w:textAlignment w:val="auto"/>
              <w:rPr>
                <w:rFonts w:hint="eastAsia" w:ascii="仿宋_GB2312" w:hAnsi="仿宋_GB2312" w:eastAsia="仿宋_GB2312" w:cs="仿宋_GB2312"/>
                <w:color w:val="auto"/>
                <w:kern w:val="2"/>
                <w:sz w:val="24"/>
                <w:szCs w:val="24"/>
                <w:highlight w:val="none"/>
                <w:u w:val="none"/>
                <w:lang w:val="en-US" w:eastAsia="zh-CN" w:bidi="ar-SA"/>
              </w:rPr>
            </w:pPr>
            <w:r>
              <w:rPr>
                <w:rFonts w:hint="eastAsia" w:ascii="仿宋_GB2312" w:hAnsi="仿宋_GB2312" w:eastAsia="仿宋_GB2312" w:cs="仿宋_GB2312"/>
                <w:sz w:val="24"/>
                <w:szCs w:val="24"/>
                <w:lang w:val="en-US" w:eastAsia="zh-CN"/>
              </w:rPr>
              <w:t>备注：1.</w:t>
            </w:r>
            <w:r>
              <w:rPr>
                <w:rFonts w:hint="eastAsia" w:ascii="仿宋_GB2312" w:hAnsi="仿宋_GB2312" w:eastAsia="仿宋_GB2312" w:cs="仿宋_GB2312"/>
                <w:color w:val="auto"/>
                <w:kern w:val="2"/>
                <w:sz w:val="24"/>
                <w:szCs w:val="24"/>
                <w:highlight w:val="none"/>
                <w:u w:val="none"/>
                <w:lang w:val="en-US" w:eastAsia="zh-CN" w:bidi="ar-SA"/>
              </w:rPr>
              <w:t>上述收费标准为最高限价，具体可在不超过政府指导价格的前提下确定。</w:t>
            </w:r>
          </w:p>
          <w:p w14:paraId="245264B9">
            <w:pPr>
              <w:pStyle w:val="13"/>
              <w:keepNext w:val="0"/>
              <w:keepLines w:val="0"/>
              <w:pageBreakBefore w:val="0"/>
              <w:widowControl w:val="0"/>
              <w:kinsoku/>
              <w:wordWrap/>
              <w:overflowPunct/>
              <w:topLinePunct w:val="0"/>
              <w:autoSpaceDE/>
              <w:autoSpaceDN/>
              <w:bidi w:val="0"/>
              <w:adjustRightInd/>
              <w:snapToGrid/>
              <w:spacing w:line="560" w:lineRule="exact"/>
              <w:ind w:left="0" w:leftChars="0" w:firstLine="480" w:firstLineChars="200"/>
              <w:jc w:val="both"/>
              <w:textAlignment w:val="auto"/>
              <w:rPr>
                <w:rFonts w:hint="eastAsia" w:ascii="Times New Roman" w:hAnsi="Times New Roman" w:cs="Times New Roman"/>
                <w:sz w:val="28"/>
                <w:szCs w:val="28"/>
                <w:vertAlign w:val="baseline"/>
                <w:lang w:val="en-US" w:eastAsia="zh-CN"/>
              </w:rPr>
            </w:pPr>
            <w:r>
              <w:rPr>
                <w:rFonts w:hint="eastAsia" w:ascii="仿宋_GB2312" w:hAnsi="仿宋_GB2312" w:eastAsia="仿宋_GB2312" w:cs="仿宋_GB2312"/>
                <w:color w:val="auto"/>
                <w:kern w:val="2"/>
                <w:sz w:val="24"/>
                <w:szCs w:val="24"/>
                <w:highlight w:val="none"/>
                <w:u w:val="none"/>
                <w:lang w:val="en-US" w:eastAsia="zh-CN" w:bidi="ar-SA"/>
              </w:rPr>
              <w:t>2.上述床位费收费标准已包含取暖费及降温费，不得另行收取。</w:t>
            </w:r>
          </w:p>
        </w:tc>
      </w:tr>
    </w:tbl>
    <w:p w14:paraId="25A22515">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pPr>
    </w:p>
    <w:p w14:paraId="03FE5DBA">
      <w:pPr>
        <w:pStyle w:val="2"/>
        <w:rPr>
          <w:rFonts w:hint="default"/>
          <w:lang w:val="en-US" w:eastAsia="zh-CN"/>
        </w:rPr>
      </w:pPr>
    </w:p>
    <w:sectPr>
      <w:headerReference r:id="rId5" w:type="default"/>
      <w:footerReference r:id="rId6" w:type="default"/>
      <w:pgSz w:w="11906" w:h="16838"/>
      <w:pgMar w:top="1417" w:right="1701" w:bottom="1417"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E62FE9">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990240">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310416">
    <w:pPr>
      <w:pStyle w:val="7"/>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BC8FF5">
    <w:pPr>
      <w:pStyle w:val="7"/>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6BE6"/>
    <w:rsid w:val="00041C37"/>
    <w:rsid w:val="00055F3A"/>
    <w:rsid w:val="000F7896"/>
    <w:rsid w:val="001148CA"/>
    <w:rsid w:val="001257DE"/>
    <w:rsid w:val="00186034"/>
    <w:rsid w:val="00193440"/>
    <w:rsid w:val="001D2B5C"/>
    <w:rsid w:val="002A48C9"/>
    <w:rsid w:val="00344D01"/>
    <w:rsid w:val="00352E71"/>
    <w:rsid w:val="00384470"/>
    <w:rsid w:val="003F34F8"/>
    <w:rsid w:val="00454FBD"/>
    <w:rsid w:val="004B55B1"/>
    <w:rsid w:val="004D5A3B"/>
    <w:rsid w:val="00506BE6"/>
    <w:rsid w:val="00522A86"/>
    <w:rsid w:val="00543C13"/>
    <w:rsid w:val="00581130"/>
    <w:rsid w:val="005B54AF"/>
    <w:rsid w:val="005F1D75"/>
    <w:rsid w:val="00642BB8"/>
    <w:rsid w:val="00680C8A"/>
    <w:rsid w:val="0074073C"/>
    <w:rsid w:val="0082091A"/>
    <w:rsid w:val="00852917"/>
    <w:rsid w:val="00853406"/>
    <w:rsid w:val="009D7A37"/>
    <w:rsid w:val="009E772C"/>
    <w:rsid w:val="00A151BE"/>
    <w:rsid w:val="00A26839"/>
    <w:rsid w:val="00A446E2"/>
    <w:rsid w:val="00A90768"/>
    <w:rsid w:val="00A93518"/>
    <w:rsid w:val="00A97CA7"/>
    <w:rsid w:val="00AB634F"/>
    <w:rsid w:val="00AE59CF"/>
    <w:rsid w:val="00B306B9"/>
    <w:rsid w:val="00B47A29"/>
    <w:rsid w:val="00BB0E90"/>
    <w:rsid w:val="00C219B6"/>
    <w:rsid w:val="00C515C0"/>
    <w:rsid w:val="00CC6701"/>
    <w:rsid w:val="00CF56A2"/>
    <w:rsid w:val="00D03AFA"/>
    <w:rsid w:val="00D150BD"/>
    <w:rsid w:val="00D32E04"/>
    <w:rsid w:val="00E04E00"/>
    <w:rsid w:val="00FE1DF2"/>
    <w:rsid w:val="00FE27D3"/>
    <w:rsid w:val="00FE4DE2"/>
    <w:rsid w:val="023A7079"/>
    <w:rsid w:val="04F13D91"/>
    <w:rsid w:val="054345A5"/>
    <w:rsid w:val="07BE731A"/>
    <w:rsid w:val="09D94B18"/>
    <w:rsid w:val="0A8235E4"/>
    <w:rsid w:val="0BA41E19"/>
    <w:rsid w:val="0C6F5ED0"/>
    <w:rsid w:val="0CF30D83"/>
    <w:rsid w:val="0F4F5353"/>
    <w:rsid w:val="11C40045"/>
    <w:rsid w:val="12162E8B"/>
    <w:rsid w:val="12DF383C"/>
    <w:rsid w:val="13642DA1"/>
    <w:rsid w:val="14FC3F92"/>
    <w:rsid w:val="15997834"/>
    <w:rsid w:val="161261DB"/>
    <w:rsid w:val="18DB1421"/>
    <w:rsid w:val="1971580B"/>
    <w:rsid w:val="1DD9550E"/>
    <w:rsid w:val="1E4E1356"/>
    <w:rsid w:val="230939B0"/>
    <w:rsid w:val="236146BC"/>
    <w:rsid w:val="237739EF"/>
    <w:rsid w:val="23F72A7D"/>
    <w:rsid w:val="26195506"/>
    <w:rsid w:val="27504C1F"/>
    <w:rsid w:val="28F75364"/>
    <w:rsid w:val="29666B83"/>
    <w:rsid w:val="2AB45147"/>
    <w:rsid w:val="2B6B2F3B"/>
    <w:rsid w:val="2B78320D"/>
    <w:rsid w:val="2E20316F"/>
    <w:rsid w:val="31194996"/>
    <w:rsid w:val="32426CB7"/>
    <w:rsid w:val="34026F96"/>
    <w:rsid w:val="343B7CFE"/>
    <w:rsid w:val="34F724AC"/>
    <w:rsid w:val="35E97B9E"/>
    <w:rsid w:val="3B3F7DCC"/>
    <w:rsid w:val="3C635FFD"/>
    <w:rsid w:val="3C827D1B"/>
    <w:rsid w:val="3CE15AFC"/>
    <w:rsid w:val="40B00922"/>
    <w:rsid w:val="41E245EA"/>
    <w:rsid w:val="44130012"/>
    <w:rsid w:val="46736AAA"/>
    <w:rsid w:val="473A797D"/>
    <w:rsid w:val="491E42FF"/>
    <w:rsid w:val="493E6CC6"/>
    <w:rsid w:val="49635A75"/>
    <w:rsid w:val="4AE64369"/>
    <w:rsid w:val="4D4E003D"/>
    <w:rsid w:val="4E4A532D"/>
    <w:rsid w:val="4F323102"/>
    <w:rsid w:val="4FB404DA"/>
    <w:rsid w:val="542A21A3"/>
    <w:rsid w:val="556B6660"/>
    <w:rsid w:val="581F174B"/>
    <w:rsid w:val="5844390F"/>
    <w:rsid w:val="5A092F04"/>
    <w:rsid w:val="5A972D16"/>
    <w:rsid w:val="5B441473"/>
    <w:rsid w:val="5B7D6C7E"/>
    <w:rsid w:val="5BE43902"/>
    <w:rsid w:val="5C6F197B"/>
    <w:rsid w:val="5CF95ACD"/>
    <w:rsid w:val="5E2F4450"/>
    <w:rsid w:val="614F09EE"/>
    <w:rsid w:val="619725DE"/>
    <w:rsid w:val="62DE7687"/>
    <w:rsid w:val="64E30268"/>
    <w:rsid w:val="687B1DB5"/>
    <w:rsid w:val="6A6F7E23"/>
    <w:rsid w:val="6BAA4FF4"/>
    <w:rsid w:val="6C014F79"/>
    <w:rsid w:val="6DB5069C"/>
    <w:rsid w:val="6F4B6B24"/>
    <w:rsid w:val="6FCA4C3C"/>
    <w:rsid w:val="700A0B5C"/>
    <w:rsid w:val="72355467"/>
    <w:rsid w:val="724F0F35"/>
    <w:rsid w:val="77A214A8"/>
    <w:rsid w:val="7A610EEE"/>
    <w:rsid w:val="7D255C0F"/>
    <w:rsid w:val="7FD475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next w:val="4"/>
    <w:qFormat/>
    <w:uiPriority w:val="0"/>
    <w:pPr>
      <w:spacing w:after="120" w:afterLines="0" w:afterAutospacing="0"/>
      <w:ind w:left="420" w:leftChars="200"/>
    </w:pPr>
  </w:style>
  <w:style w:type="paragraph" w:styleId="4">
    <w:name w:val="Normal Indent"/>
    <w:basedOn w:val="1"/>
    <w:unhideWhenUsed/>
    <w:qFormat/>
    <w:uiPriority w:val="99"/>
    <w:pPr>
      <w:ind w:firstLine="420" w:firstLineChars="200"/>
    </w:pPr>
  </w:style>
  <w:style w:type="paragraph" w:styleId="5">
    <w:name w:val="Plain Text"/>
    <w:basedOn w:val="1"/>
    <w:qFormat/>
    <w:uiPriority w:val="0"/>
    <w:pPr>
      <w:adjustRightInd w:val="0"/>
      <w:spacing w:line="312" w:lineRule="atLeast"/>
    </w:pPr>
    <w:rPr>
      <w:rFonts w:hint="eastAsia" w:ascii="宋体" w:hAnsi="Courier New"/>
      <w:kern w:val="0"/>
      <w:szCs w:val="20"/>
    </w:rPr>
  </w:style>
  <w:style w:type="paragraph" w:styleId="6">
    <w:name w:val="footer"/>
    <w:basedOn w:val="1"/>
    <w:link w:val="12"/>
    <w:qFormat/>
    <w:uiPriority w:val="0"/>
    <w:pPr>
      <w:tabs>
        <w:tab w:val="center" w:pos="4153"/>
        <w:tab w:val="right" w:pos="8306"/>
      </w:tabs>
      <w:snapToGrid w:val="0"/>
      <w:jc w:val="left"/>
    </w:pPr>
    <w:rPr>
      <w:sz w:val="18"/>
      <w:szCs w:val="18"/>
    </w:rPr>
  </w:style>
  <w:style w:type="paragraph" w:styleId="7">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页眉 Char"/>
    <w:basedOn w:val="10"/>
    <w:link w:val="7"/>
    <w:qFormat/>
    <w:uiPriority w:val="0"/>
    <w:rPr>
      <w:kern w:val="2"/>
      <w:sz w:val="18"/>
      <w:szCs w:val="18"/>
    </w:rPr>
  </w:style>
  <w:style w:type="character" w:customStyle="1" w:styleId="12">
    <w:name w:val="页脚 Char"/>
    <w:basedOn w:val="10"/>
    <w:link w:val="6"/>
    <w:qFormat/>
    <w:uiPriority w:val="0"/>
    <w:rPr>
      <w:kern w:val="2"/>
      <w:sz w:val="18"/>
      <w:szCs w:val="18"/>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EA3D5B-FCEC-4933-A9F6-9FF9F4692703}">
  <ds:schemaRefs/>
</ds:datastoreItem>
</file>

<file path=docProps/app.xml><?xml version="1.0" encoding="utf-8"?>
<Properties xmlns="http://schemas.openxmlformats.org/officeDocument/2006/extended-properties" xmlns:vt="http://schemas.openxmlformats.org/officeDocument/2006/docPropsVTypes">
  <Template>Normal</Template>
  <Pages>3</Pages>
  <Words>885</Words>
  <Characters>986</Characters>
  <Lines>7</Lines>
  <Paragraphs>2</Paragraphs>
  <TotalTime>0</TotalTime>
  <ScaleCrop>false</ScaleCrop>
  <LinksUpToDate>false</LinksUpToDate>
  <CharactersWithSpaces>1095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2019-01-03T07:45:00Z</dcterms:created>
  <dc:creator>Administrator</dc:creator>
  <cp:lastModifiedBy>铁齿铜牙灰太狼</cp:lastModifiedBy>
  <cp:lastPrinted>2026-03-04T07:12:00Z</cp:lastPrinted>
  <dcterms:modified xsi:type="dcterms:W3CDTF">2026-04-01T05:40:07Z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eyJoZGlkIjoiYWJlNjdiOTU1NWQ0NWYyNTZjMDVlMGNhNmZmZWJjMjciLCJ1c2VySWQiOiIxMTMyMjczMjIxIn0=</vt:lpwstr>
  </property>
  <property fmtid="{D5CDD505-2E9C-101B-9397-08002B2CF9AE}" pid="4" name="ICV">
    <vt:lpwstr>38F348A245044E879EB422C7B844463E_13</vt:lpwstr>
  </property>
</Properties>
</file>