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880" w:firstLineChars="200"/>
        <w:jc w:val="center"/>
        <w:textAlignment w:val="auto"/>
        <w:rPr>
          <w:rFonts w:hint="default" w:ascii="Times New Roman" w:hAnsi="Times New Roman" w:eastAsia="文星简小标宋" w:cs="Times New Roman"/>
          <w:b w:val="0"/>
          <w:bCs/>
          <w:color w:val="000000"/>
          <w:kern w:val="2"/>
          <w:sz w:val="44"/>
          <w:szCs w:val="44"/>
          <w:lang w:val="en-US" w:eastAsia="zh-CN" w:bidi="ar-SA"/>
        </w:rPr>
      </w:pPr>
      <w:r>
        <w:rPr>
          <w:rFonts w:hint="default" w:ascii="Times New Roman" w:hAnsi="Times New Roman" w:eastAsia="文星简小标宋" w:cs="Times New Roman"/>
          <w:b w:val="0"/>
          <w:bCs/>
          <w:color w:val="000000"/>
          <w:kern w:val="2"/>
          <w:sz w:val="44"/>
          <w:szCs w:val="44"/>
          <w:lang w:val="en-US" w:eastAsia="zh-CN" w:bidi="ar-SA"/>
        </w:rPr>
        <w:t>威海市环翠区人民政府办公室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880" w:firstLineChars="200"/>
        <w:jc w:val="center"/>
        <w:textAlignment w:val="auto"/>
        <w:rPr>
          <w:rFonts w:hint="default" w:ascii="Times New Roman" w:hAnsi="Times New Roman" w:eastAsia="文星简小标宋" w:cs="Times New Roman"/>
          <w:b w:val="0"/>
          <w:bCs/>
          <w:color w:val="000000"/>
          <w:kern w:val="2"/>
          <w:sz w:val="44"/>
          <w:szCs w:val="44"/>
          <w:lang w:val="en-US" w:eastAsia="zh-CN" w:bidi="ar-SA"/>
        </w:rPr>
      </w:pPr>
      <w:bookmarkStart w:id="14" w:name="_GoBack"/>
      <w:bookmarkEnd w:id="14"/>
      <w:r>
        <w:rPr>
          <w:rFonts w:hint="default" w:ascii="Times New Roman" w:hAnsi="Times New Roman" w:eastAsia="文星简小标宋" w:cs="Times New Roman"/>
          <w:b w:val="0"/>
          <w:bCs/>
          <w:color w:val="000000"/>
          <w:kern w:val="2"/>
          <w:sz w:val="44"/>
          <w:szCs w:val="44"/>
          <w:lang w:val="en-US" w:eastAsia="zh-CN" w:bidi="ar-SA"/>
        </w:rPr>
        <w:t>关于印发《环翠区农村生活污水治理实施方案（2022年修订版）》的通知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540" w:firstLineChars="200"/>
        <w:jc w:val="both"/>
        <w:textAlignment w:val="auto"/>
        <w:rPr>
          <w:rFonts w:hint="default" w:ascii="Times New Roman" w:hAnsi="Times New Roman" w:cs="Times New Roman"/>
          <w:color w:val="333333"/>
          <w:sz w:val="27"/>
          <w:szCs w:val="27"/>
          <w:bdr w:val="none" w:color="auto" w:sz="0" w:space="0"/>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540" w:firstLineChars="200"/>
        <w:jc w:val="both"/>
        <w:textAlignment w:val="auto"/>
        <w:rPr>
          <w:rFonts w:hint="default" w:ascii="Times New Roman" w:hAnsi="Times New Roman" w:cs="Times New Roman"/>
          <w:color w:val="333333"/>
          <w:sz w:val="27"/>
          <w:szCs w:val="27"/>
          <w:bdr w:val="none" w:color="auto" w:sz="0" w:space="0"/>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各镇政府、街道办事处，里口山管理服务中心，区政府各部门、单位：</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《环翠区农村生活污水治理实施方案（2022年修订版）》已经区政府研究同意，现印发给你们，请认真抓好贯彻落实。</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Times New Roman" w:hAnsi="Times New Roman" w:eastAsia="仿宋_GB2312" w:cs="Times New Roman"/>
          <w:color w:val="auto"/>
          <w:sz w:val="32"/>
          <w:szCs w:val="32"/>
          <w:bdr w:val="none" w:color="auto" w:sz="0" w:space="0"/>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Times New Roman" w:hAnsi="Times New Roman" w:eastAsia="仿宋_GB2312" w:cs="Times New Roman"/>
          <w:color w:val="auto"/>
          <w:sz w:val="32"/>
          <w:szCs w:val="32"/>
          <w:bdr w:val="none" w:color="auto" w:sz="0" w:space="0"/>
        </w:rPr>
      </w:pPr>
      <w:r>
        <w:rPr>
          <w:rFonts w:hint="default" w:ascii="Times New Roman" w:hAnsi="Times New Roman" w:eastAsia="仿宋_GB2312" w:cs="Times New Roman"/>
          <w:color w:val="auto"/>
          <w:sz w:val="32"/>
          <w:szCs w:val="32"/>
          <w:bdr w:val="none" w:color="auto" w:sz="0" w:space="0"/>
        </w:rPr>
        <w:t>威海市环翠区人民政府办公室</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2022年4月30日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bdr w:val="none" w:color="auto" w:sz="0" w:space="0"/>
        </w:rPr>
        <w:t>（此件公开发布）</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color w:val="auto"/>
          <w:sz w:val="32"/>
          <w:szCs w:val="32"/>
        </w:rPr>
      </w:pPr>
    </w:p>
    <w:p>
      <w:pPr>
        <w:keepNext w:val="0"/>
        <w:keepLines w:val="0"/>
        <w:pageBreakBefore w:val="0"/>
        <w:kinsoku/>
        <w:wordWrap/>
        <w:overflowPunct/>
        <w:topLinePunct w:val="0"/>
        <w:autoSpaceDE/>
        <w:autoSpaceDN/>
        <w:bidi w:val="0"/>
        <w:adjustRightInd/>
        <w:snapToGrid/>
        <w:spacing w:line="580" w:lineRule="exact"/>
        <w:ind w:left="0" w:leftChars="0" w:firstLine="880" w:firstLineChars="200"/>
        <w:jc w:val="center"/>
        <w:textAlignment w:val="auto"/>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pStyle w:val="2"/>
        <w:rPr>
          <w:rFonts w:hint="default" w:ascii="Times New Roman" w:hAnsi="Times New Roman" w:eastAsia="文星简小标宋" w:cs="Times New Roman"/>
          <w:bCs/>
          <w:color w:val="000000"/>
          <w:sz w:val="44"/>
          <w:szCs w:val="44"/>
        </w:rPr>
      </w:pPr>
    </w:p>
    <w:p>
      <w:pPr>
        <w:keepNext w:val="0"/>
        <w:keepLines w:val="0"/>
        <w:pageBreakBefore w:val="0"/>
        <w:kinsoku/>
        <w:wordWrap/>
        <w:overflowPunct/>
        <w:topLinePunct w:val="0"/>
        <w:autoSpaceDE/>
        <w:autoSpaceDN/>
        <w:bidi w:val="0"/>
        <w:adjustRightInd/>
        <w:snapToGrid/>
        <w:spacing w:line="580" w:lineRule="exact"/>
        <w:ind w:left="0" w:leftChars="0" w:firstLine="880" w:firstLineChars="200"/>
        <w:jc w:val="center"/>
        <w:textAlignment w:val="auto"/>
        <w:rPr>
          <w:rFonts w:hint="default" w:ascii="Times New Roman" w:hAnsi="Times New Roman" w:eastAsia="文星简小标宋" w:cs="Times New Roman"/>
          <w:bCs/>
          <w:color w:val="000000"/>
          <w:sz w:val="44"/>
          <w:szCs w:val="44"/>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color w:val="000000"/>
          <w:sz w:val="44"/>
          <w:szCs w:val="44"/>
        </w:rPr>
      </w:pPr>
      <w:r>
        <w:rPr>
          <w:rFonts w:hint="default" w:ascii="Times New Roman" w:hAnsi="Times New Roman" w:eastAsia="文星简小标宋" w:cs="Times New Roman"/>
          <w:bCs/>
          <w:color w:val="000000"/>
          <w:sz w:val="44"/>
          <w:szCs w:val="44"/>
        </w:rPr>
        <w:t>环翠区农村生活污水治理实施方案</w:t>
      </w:r>
    </w:p>
    <w:p>
      <w:pPr>
        <w:pStyle w:val="26"/>
        <w:keepNext w:val="0"/>
        <w:keepLines w:val="0"/>
        <w:pageBreakBefore w:val="0"/>
        <w:widowControl w:val="0"/>
        <w:kinsoku/>
        <w:wordWrap/>
        <w:overflowPunct/>
        <w:topLinePunct w:val="0"/>
        <w:autoSpaceDE w:val="0"/>
        <w:autoSpaceDN w:val="0"/>
        <w:bidi w:val="0"/>
        <w:adjustRightInd w:val="0"/>
        <w:snapToGrid/>
        <w:spacing w:line="600" w:lineRule="exact"/>
        <w:ind w:left="0" w:leftChars="0"/>
        <w:jc w:val="center"/>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（2022年修订版）</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color w:val="000000"/>
          <w:sz w:val="44"/>
          <w:szCs w:val="44"/>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一、前言</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推进农村生活污水治理是加强农村环境保护的必然要求，是建设生态文明的重要任务，是保障和改善民生的迫切需要。全面实施乡村振兴战略，农村生态环境是重中之重，急需补足农村生活污水治理突出短板。农村生活污水治理既是难点，也是突破点和创新点。党中央、国务院出台的一系列重要文件对农村生活污水治理作出了重要部署，也为进一步推进农村生态环境保护指明了努力方向，提供了基本遵循和有力保障，标志着农村生态环境保护站在了新的起点，迎来了大有可为的机遇期。</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本方案以习近平新时代中国特色社会主义思想为指导，深入贯彻落实“绿水青山就是金山银山”理念，以普遍改善农村生态环境面貌、提高农民生活质量为目标，全面实施农村生活污水治理，加快改善农村基础设施条件，力争为推动乡村生态振兴、实现全面小康目标打下坚实的基础。</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bookmarkStart w:id="0" w:name="_Toc16948134"/>
      <w:r>
        <w:rPr>
          <w:rFonts w:hint="default" w:ascii="Times New Roman" w:hAnsi="Times New Roman" w:eastAsia="黑体" w:cs="Times New Roman"/>
          <w:bCs/>
          <w:color w:val="000000"/>
          <w:sz w:val="32"/>
          <w:szCs w:val="32"/>
        </w:rPr>
        <w:t>二、总则</w:t>
      </w:r>
      <w:bookmarkEnd w:id="0"/>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1" w:name="_Toc16948136"/>
      <w:r>
        <w:rPr>
          <w:rFonts w:hint="default" w:ascii="Times New Roman" w:hAnsi="Times New Roman" w:eastAsia="楷体_GB2312" w:cs="Times New Roman"/>
          <w:sz w:val="32"/>
          <w:szCs w:val="32"/>
        </w:rPr>
        <w:t>（一）总体思路</w:t>
      </w:r>
      <w:bookmarkEnd w:id="1"/>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习近平新时代中国特色社会主义思想为指导，按照治理与保护、保护与发展和谐统一的要求，秉持服务乡村振兴、服务绿色发展工作理念，全面贯彻落实农村生活污水治理相关政策。坚持统筹规划、突出重点、集中资金、整体推进、综合治理工作思路，解决突出农村生活污水问题，切实提高农村生产生活水平，改善农村环境质量，坚决打好农业农村污染治理攻坚战。</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2" w:name="_Toc16948137"/>
      <w:r>
        <w:rPr>
          <w:rFonts w:hint="default" w:ascii="Times New Roman" w:hAnsi="Times New Roman" w:eastAsia="楷体_GB2312" w:cs="Times New Roman"/>
          <w:sz w:val="32"/>
          <w:szCs w:val="32"/>
        </w:rPr>
        <w:t>（二）基本原则</w:t>
      </w:r>
      <w:bookmarkEnd w:id="2"/>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坚持突出重点，梯次推进。优先安排饮用水水源地准保护区周边农村地区生活污水处理设施建设，逐步实现全面覆盖。</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坚持因地制宜，分类治理。尊重各相关镇街区位和经济差异，充分利用农村现有基础条件，采用不同方式完善处理设施，分类治理农村生活污水。</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坚持建管并重，长效运行。对农村生活污水治理设施的建设、维护建立长效机制，确保农村生活污水治理设施“建得成、管得好、用得住”。</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3" w:name="_Toc16948138"/>
      <w:r>
        <w:rPr>
          <w:rFonts w:hint="default" w:ascii="Times New Roman" w:hAnsi="Times New Roman" w:eastAsia="楷体_GB2312" w:cs="Times New Roman"/>
          <w:sz w:val="32"/>
          <w:szCs w:val="32"/>
        </w:rPr>
        <w:t>（三）编制依据</w:t>
      </w:r>
      <w:bookmarkEnd w:id="3"/>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1.《中华人民共和国水污染防治法》（2015年修订）</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2.《农村生活污水处理项目建设与投资指南》（环发〔2013〕130号）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3.《农村生活污水处理设施水污染物排放控制规范编制工作指南（试行）》（环办土壤函〔2019〕403号）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4.《村庄整治技术规范》（GB 50445-2008）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5.《农村生活污水处理工程技术标准》（GB/T 51347-2019）</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6.《地表水环境质量标准》（GB 3838-2002）</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7.《农田灌溉水质标准》（GB 5084-2005）</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8.《城镇污水处理厂污染物排放标准》（GB 18918-2002）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9.《农村户厕卫生规范》（GB 19379-2012）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10.《村庄污水处理设施技术规程》（CJJT 163-2011）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11.《农村生活污水处理处置设施水污染物排放标准》（DB 37）</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12.《农村人居环境整治三年行动方案》（中办发〔2015〕31号）</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13.《农业农村污染治理攻坚战行动计划》（环土壤〔2018〕143号 ）</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14.《中央农村工作领导小组办公室 农业农村部 生态环境部 住房城乡建设部 水利部 科技部 国家发展改革委 财政部 银保监会关于推进农村生活污水治理的指导意见》（中农发〔2019〕14号）</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15.《山东省打好农业农村污染治理攻坚战作战方案（2018-2020年）》（鲁政办字〔2018〕247号）</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16.《山东省人民政府关于印发山东省落实&lt;水污染防治行动计划&gt;实施方案的通知》（鲁政发〔2015〕31号）</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17.《山东省农村生活污水治理行动方案》（鲁环发〔2019〕131号）</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bookmarkStart w:id="4" w:name="_Toc16948140"/>
      <w:r>
        <w:rPr>
          <w:rFonts w:hint="default" w:ascii="Times New Roman" w:hAnsi="Times New Roman" w:eastAsia="黑体" w:cs="Times New Roman"/>
          <w:bCs/>
          <w:color w:val="000000"/>
          <w:sz w:val="32"/>
          <w:szCs w:val="32"/>
        </w:rPr>
        <w:t>三、范围、期限与目标</w:t>
      </w:r>
      <w:bookmarkEnd w:id="4"/>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5" w:name="_Toc16948141"/>
      <w:r>
        <w:rPr>
          <w:rFonts w:hint="default" w:ascii="Times New Roman" w:hAnsi="Times New Roman" w:eastAsia="楷体_GB2312" w:cs="Times New Roman"/>
          <w:sz w:val="32"/>
          <w:szCs w:val="32"/>
        </w:rPr>
        <w:t>（一）范围</w:t>
      </w:r>
      <w:bookmarkEnd w:id="5"/>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 w:cs="Times New Roman"/>
          <w:bCs/>
          <w:color w:val="000000"/>
          <w:sz w:val="32"/>
          <w:szCs w:val="32"/>
        </w:rPr>
      </w:pPr>
      <w:r>
        <w:rPr>
          <w:rFonts w:hint="default" w:ascii="Times New Roman" w:hAnsi="Times New Roman" w:eastAsia="仿宋_GB2312" w:cs="Times New Roman"/>
          <w:color w:val="000000"/>
          <w:sz w:val="32"/>
          <w:szCs w:val="32"/>
        </w:rPr>
        <w:t>环翠区所辖范围内目前尚未建设农村污水处理设施的行政村。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6" w:name="_Toc16948142"/>
      <w:r>
        <w:rPr>
          <w:rFonts w:hint="default" w:ascii="Times New Roman" w:hAnsi="Times New Roman" w:eastAsia="楷体_GB2312" w:cs="Times New Roman"/>
          <w:sz w:val="32"/>
          <w:szCs w:val="32"/>
        </w:rPr>
        <w:t>（二）期限</w:t>
      </w:r>
      <w:bookmarkEnd w:id="6"/>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 w:cs="Times New Roman"/>
          <w:bCs/>
          <w:color w:val="000000"/>
          <w:sz w:val="32"/>
          <w:szCs w:val="32"/>
        </w:rPr>
      </w:pPr>
      <w:r>
        <w:rPr>
          <w:rFonts w:hint="default" w:ascii="Times New Roman" w:hAnsi="Times New Roman" w:eastAsia="仿宋_GB2312" w:cs="Times New Roman"/>
          <w:color w:val="000000"/>
          <w:sz w:val="32"/>
          <w:szCs w:val="32"/>
        </w:rPr>
        <w:t>2021年至2025年。</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7" w:name="_Toc16948143"/>
      <w:r>
        <w:rPr>
          <w:rFonts w:hint="default" w:ascii="Times New Roman" w:hAnsi="Times New Roman" w:eastAsia="楷体_GB2312" w:cs="Times New Roman"/>
          <w:sz w:val="32"/>
          <w:szCs w:val="32"/>
        </w:rPr>
        <w:t>（三）工作目标</w:t>
      </w:r>
      <w:bookmarkEnd w:id="7"/>
      <w:r>
        <w:rPr>
          <w:rFonts w:hint="default" w:ascii="Times New Roman" w:hAnsi="Times New Roman" w:eastAsia="楷体_GB2312" w:cs="Times New Roman"/>
          <w:sz w:val="32"/>
          <w:szCs w:val="32"/>
        </w:rPr>
        <w:t>及计划</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2021年新增完成12个行政村污水治理任务，全区57.41%的行政村完成生活污水治理任务。</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r>
        <w:rPr>
          <w:rFonts w:hint="default" w:ascii="Times New Roman" w:hAnsi="Times New Roman" w:eastAsia="文星简小标宋" w:cs="Times New Roman"/>
          <w:bCs/>
          <w:sz w:val="32"/>
          <w:szCs w:val="32"/>
        </w:rPr>
        <w:t>表1   环翠区2021年农村生活污水治理完成情况</w:t>
      </w:r>
    </w:p>
    <w:tbl>
      <w:tblPr>
        <w:tblStyle w:val="18"/>
        <w:tblW w:w="88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193"/>
        <w:gridCol w:w="1830"/>
        <w:gridCol w:w="900"/>
        <w:gridCol w:w="1196"/>
        <w:gridCol w:w="1699"/>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序号</w:t>
            </w:r>
          </w:p>
        </w:tc>
        <w:tc>
          <w:tcPr>
            <w:tcW w:w="119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kern w:val="0"/>
                <w:sz w:val="22"/>
                <w:szCs w:val="21"/>
              </w:rPr>
              <w:t>乡（镇、街道）</w:t>
            </w:r>
          </w:p>
        </w:tc>
        <w:tc>
          <w:tcPr>
            <w:tcW w:w="183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完成生活污水治理任务的行政村数量</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受益人口数</w:t>
            </w:r>
          </w:p>
        </w:tc>
        <w:tc>
          <w:tcPr>
            <w:tcW w:w="119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受益户数</w:t>
            </w:r>
          </w:p>
        </w:tc>
        <w:tc>
          <w:tcPr>
            <w:tcW w:w="1699"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污水处理计划</w:t>
            </w:r>
          </w:p>
        </w:tc>
        <w:tc>
          <w:tcPr>
            <w:tcW w:w="141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目标完成率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119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羊亭镇</w:t>
            </w:r>
          </w:p>
        </w:tc>
        <w:tc>
          <w:tcPr>
            <w:tcW w:w="183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3663</w:t>
            </w:r>
          </w:p>
        </w:tc>
        <w:tc>
          <w:tcPr>
            <w:tcW w:w="119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1514</w:t>
            </w:r>
          </w:p>
        </w:tc>
        <w:tc>
          <w:tcPr>
            <w:tcW w:w="1699"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采用建设农村生活污水处理站、纳入市政污水管网的方式，对生活污水进行收集处理</w:t>
            </w:r>
          </w:p>
        </w:tc>
        <w:tc>
          <w:tcPr>
            <w:tcW w:w="1417"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57.41%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w:t>
            </w:r>
          </w:p>
        </w:tc>
        <w:tc>
          <w:tcPr>
            <w:tcW w:w="119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桥头镇</w:t>
            </w:r>
          </w:p>
        </w:tc>
        <w:tc>
          <w:tcPr>
            <w:tcW w:w="183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8</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2682</w:t>
            </w:r>
          </w:p>
        </w:tc>
        <w:tc>
          <w:tcPr>
            <w:tcW w:w="119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1168</w:t>
            </w:r>
          </w:p>
        </w:tc>
        <w:tc>
          <w:tcPr>
            <w:tcW w:w="1699"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采用集中拉运模式，对村内生活污水进行收集处理</w:t>
            </w:r>
          </w:p>
        </w:tc>
        <w:tc>
          <w:tcPr>
            <w:tcW w:w="1417"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19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183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12</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6345</w:t>
            </w:r>
          </w:p>
        </w:tc>
        <w:tc>
          <w:tcPr>
            <w:tcW w:w="119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2682</w:t>
            </w:r>
          </w:p>
        </w:tc>
        <w:tc>
          <w:tcPr>
            <w:tcW w:w="1699"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bl>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2022年新增完成9个行政村污水治理任务，全区65.74%的行政村完成生活污水治理任务。</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r>
        <w:rPr>
          <w:rFonts w:hint="default" w:ascii="Times New Roman" w:hAnsi="Times New Roman" w:eastAsia="文星简小标宋" w:cs="Times New Roman"/>
          <w:bCs/>
          <w:sz w:val="32"/>
          <w:szCs w:val="32"/>
        </w:rPr>
        <w:t>表2   环翠区2022年农村生活污水治理目标</w:t>
      </w: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tbl>
      <w:tblPr>
        <w:tblStyle w:val="18"/>
        <w:tblW w:w="8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
        <w:gridCol w:w="1155"/>
        <w:gridCol w:w="1800"/>
        <w:gridCol w:w="900"/>
        <w:gridCol w:w="1357"/>
        <w:gridCol w:w="1598"/>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1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序号</w:t>
            </w:r>
          </w:p>
        </w:tc>
        <w:tc>
          <w:tcPr>
            <w:tcW w:w="115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kern w:val="0"/>
                <w:sz w:val="22"/>
                <w:szCs w:val="21"/>
              </w:rPr>
              <w:t>乡（镇、街道）</w:t>
            </w:r>
          </w:p>
        </w:tc>
        <w:tc>
          <w:tcPr>
            <w:tcW w:w="18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完成生活污水治理任务的行政村数量</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受益人口数</w:t>
            </w:r>
          </w:p>
        </w:tc>
        <w:tc>
          <w:tcPr>
            <w:tcW w:w="135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受益户数</w:t>
            </w:r>
          </w:p>
        </w:tc>
        <w:tc>
          <w:tcPr>
            <w:tcW w:w="159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污水处理计划</w:t>
            </w:r>
          </w:p>
        </w:tc>
        <w:tc>
          <w:tcPr>
            <w:tcW w:w="136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目标完成率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61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115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嵩山街道</w:t>
            </w:r>
          </w:p>
        </w:tc>
        <w:tc>
          <w:tcPr>
            <w:tcW w:w="18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394</w:t>
            </w:r>
          </w:p>
        </w:tc>
        <w:tc>
          <w:tcPr>
            <w:tcW w:w="135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177</w:t>
            </w:r>
          </w:p>
        </w:tc>
        <w:tc>
          <w:tcPr>
            <w:tcW w:w="1598"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旧村改造，污水并入市政污水管网</w:t>
            </w:r>
          </w:p>
        </w:tc>
        <w:tc>
          <w:tcPr>
            <w:tcW w:w="1365"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65.74%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1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w:t>
            </w:r>
          </w:p>
        </w:tc>
        <w:tc>
          <w:tcPr>
            <w:tcW w:w="115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桥头镇</w:t>
            </w:r>
          </w:p>
        </w:tc>
        <w:tc>
          <w:tcPr>
            <w:tcW w:w="18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8</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1795</w:t>
            </w:r>
          </w:p>
        </w:tc>
        <w:tc>
          <w:tcPr>
            <w:tcW w:w="135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963</w:t>
            </w:r>
          </w:p>
        </w:tc>
        <w:tc>
          <w:tcPr>
            <w:tcW w:w="1598"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采用集中拉运模式，对村内生活污水进行收集处理</w:t>
            </w:r>
          </w:p>
        </w:tc>
        <w:tc>
          <w:tcPr>
            <w:tcW w:w="1365"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1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15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18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w:t>
            </w:r>
          </w:p>
        </w:tc>
        <w:tc>
          <w:tcPr>
            <w:tcW w:w="90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2189</w:t>
            </w:r>
          </w:p>
        </w:tc>
        <w:tc>
          <w:tcPr>
            <w:tcW w:w="135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1140</w:t>
            </w:r>
          </w:p>
        </w:tc>
        <w:tc>
          <w:tcPr>
            <w:tcW w:w="159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36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bl>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 w:cs="Times New Roman"/>
          <w:b/>
          <w:color w:val="000000"/>
          <w:szCs w:val="21"/>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2023年新增完成13个行政村污水治理任务，全区77.77%的行政村完成生活污水治理任务。</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r>
        <w:rPr>
          <w:rFonts w:hint="default" w:ascii="Times New Roman" w:hAnsi="Times New Roman" w:eastAsia="文星简小标宋" w:cs="Times New Roman"/>
          <w:bCs/>
          <w:sz w:val="32"/>
          <w:szCs w:val="32"/>
        </w:rPr>
        <w:t>表3   环翠区2023年农村生活污水治理目标</w:t>
      </w: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tbl>
      <w:tblPr>
        <w:tblStyle w:val="18"/>
        <w:tblW w:w="88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232"/>
        <w:gridCol w:w="1573"/>
        <w:gridCol w:w="945"/>
        <w:gridCol w:w="1305"/>
        <w:gridCol w:w="1815"/>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序号</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kern w:val="0"/>
                <w:sz w:val="22"/>
                <w:szCs w:val="21"/>
              </w:rPr>
              <w:t>乡（镇、街道）</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完成生活污水治理任务的行政村数量</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受益人口数</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受益户数</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污水处理计划</w:t>
            </w: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目标完成率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桥头镇</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13</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7061</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3185</w:t>
            </w:r>
          </w:p>
        </w:tc>
        <w:tc>
          <w:tcPr>
            <w:tcW w:w="1815"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采用集中拉运模式，对村内生活污水进行收集处理</w:t>
            </w: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77.77%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13</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7061</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3185</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bl>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
          <w:color w:val="000000"/>
          <w:szCs w:val="21"/>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2024年新增完成14个行政村污水治理任务，全区90.74%的行政村完成生活污水治理任务。</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r>
        <w:rPr>
          <w:rFonts w:hint="default" w:ascii="Times New Roman" w:hAnsi="Times New Roman" w:eastAsia="文星简小标宋" w:cs="Times New Roman"/>
          <w:bCs/>
          <w:sz w:val="32"/>
          <w:szCs w:val="32"/>
        </w:rPr>
        <w:t>表4   环翠区2024年农村生活污水治理目标</w:t>
      </w: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tbl>
      <w:tblPr>
        <w:tblStyle w:val="18"/>
        <w:tblW w:w="88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232"/>
        <w:gridCol w:w="1573"/>
        <w:gridCol w:w="945"/>
        <w:gridCol w:w="1305"/>
        <w:gridCol w:w="1815"/>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序号</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kern w:val="0"/>
                <w:sz w:val="22"/>
                <w:szCs w:val="21"/>
              </w:rPr>
              <w:t>乡（镇、街道）</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完成生活污水治理任务的行政村数量</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受益人口数</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受益户数</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污水处理计划</w:t>
            </w: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目标完成率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桥头镇</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3157</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6581</w:t>
            </w:r>
          </w:p>
        </w:tc>
        <w:tc>
          <w:tcPr>
            <w:tcW w:w="1815"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采用集中拉运模式，对村内生活污水进行收集处理</w:t>
            </w: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90.74%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3157</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6581</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bl>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
          <w:color w:val="000000"/>
          <w:szCs w:val="21"/>
        </w:rPr>
      </w:pP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2025年新增完成8个行政村污水治理任务，全区98.14%的行政村完成生活污水治理任务。</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32"/>
          <w:szCs w:val="32"/>
        </w:rPr>
      </w:pPr>
      <w:r>
        <w:rPr>
          <w:rFonts w:hint="default" w:ascii="Times New Roman" w:hAnsi="Times New Roman" w:eastAsia="文星简小标宋" w:cs="Times New Roman"/>
          <w:bCs/>
          <w:sz w:val="32"/>
          <w:szCs w:val="32"/>
        </w:rPr>
        <w:t>表5   环翠区2025年农村生活污水治理目标</w:t>
      </w: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tbl>
      <w:tblPr>
        <w:tblStyle w:val="18"/>
        <w:tblW w:w="88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232"/>
        <w:gridCol w:w="1573"/>
        <w:gridCol w:w="945"/>
        <w:gridCol w:w="1305"/>
        <w:gridCol w:w="1815"/>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序号</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kern w:val="0"/>
                <w:sz w:val="22"/>
                <w:szCs w:val="21"/>
              </w:rPr>
              <w:t>乡（镇、街道）</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完成生活污水治理任务的行政村数量</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受益人口数</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受益户数</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污水处理计划</w:t>
            </w: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color w:val="000000"/>
                <w:sz w:val="22"/>
                <w:szCs w:val="21"/>
              </w:rPr>
            </w:pPr>
            <w:r>
              <w:rPr>
                <w:rFonts w:hint="default" w:ascii="Times New Roman" w:hAnsi="Times New Roman" w:eastAsia="黑体" w:cs="Times New Roman"/>
                <w:color w:val="000000"/>
                <w:sz w:val="22"/>
                <w:szCs w:val="21"/>
              </w:rPr>
              <w:t>目标完成率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嵩山街道</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1403</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586</w:t>
            </w:r>
          </w:p>
        </w:tc>
        <w:tc>
          <w:tcPr>
            <w:tcW w:w="1815"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旧村改造，污水并入市政污水管网</w:t>
            </w:r>
          </w:p>
        </w:tc>
        <w:tc>
          <w:tcPr>
            <w:tcW w:w="1421"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98.14%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w:t>
            </w: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羊亭镇</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4800</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2000</w:t>
            </w:r>
          </w:p>
        </w:tc>
        <w:tc>
          <w:tcPr>
            <w:tcW w:w="1815" w:type="dxa"/>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旧村改造，污水并入市政污水管网</w:t>
            </w:r>
          </w:p>
        </w:tc>
        <w:tc>
          <w:tcPr>
            <w:tcW w:w="1421"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08"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232"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1573"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8</w:t>
            </w:r>
          </w:p>
        </w:tc>
        <w:tc>
          <w:tcPr>
            <w:tcW w:w="94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6203</w:t>
            </w:r>
          </w:p>
        </w:tc>
        <w:tc>
          <w:tcPr>
            <w:tcW w:w="130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2586</w:t>
            </w:r>
          </w:p>
        </w:tc>
        <w:tc>
          <w:tcPr>
            <w:tcW w:w="181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2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bl>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
          <w:color w:val="000000"/>
          <w:szCs w:val="21"/>
        </w:rPr>
      </w:pP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1.2021年完成情况</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2021年环翠区共完成12个村（羊亭镇4个、桥头镇8个）生活污水治理，分别为羊亭镇北小城村、孙家滩村、鲁东村、埠前村；桥头镇西龙山村、新建村、东龙山村、后宅库村、埠上村、教里村、前宅库村、孟家庄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2.2022年工作计划</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2022年环翠区计划完成9个村生活污水治理，分别为嵩山街道闫家庄村、桥头镇东于家、西于家、中于家、后于家、北子城、大院、董家夼、方吉村。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3.2023年工作计划</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2023年环翠区计划完成13个村生活污水治理，分别为桥头镇雅格庄、福禄庄、姚家圈、盘川夼、观里东、观里西、南台、所前泊、刘家泊、西贞、徐家庄、大贞、桥头村。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3.2024年工作计划</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2024年环翠区计划完成14个村生活污水治理，分别为桥头镇报信、碑鲁、邓家店、马井泊、北墩前、西山后、黑石、柴里、江家口、产里、河西庄、宋家店、东洛后、西洛后、洛西村。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3.2025年工作计划</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bookmarkStart w:id="8" w:name="_Toc16948144"/>
      <w:r>
        <w:rPr>
          <w:rFonts w:hint="default" w:ascii="Times New Roman" w:hAnsi="Times New Roman" w:eastAsia="仿宋_GB2312" w:cs="Times New Roman"/>
          <w:sz w:val="32"/>
          <w:szCs w:val="32"/>
        </w:rPr>
        <w:t>2025年环翠区计划完成8个村生活污水治理，分别为嵩山街道竹园、牛角沟、北七夼、西山口村； 羊亭镇羊亭、鹿道口、大西庄、港头村。</w:t>
      </w:r>
    </w:p>
    <w:p>
      <w:pPr>
        <w:keepNext w:val="0"/>
        <w:keepLines w:val="0"/>
        <w:pageBreakBefore w:val="0"/>
        <w:kinsoku/>
        <w:wordWrap/>
        <w:overflowPunct/>
        <w:topLinePunct w:val="0"/>
        <w:bidi w:val="0"/>
        <w:snapToGrid/>
        <w:spacing w:line="600" w:lineRule="exact"/>
        <w:ind w:left="0" w:leftChars="0"/>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四、现状分析</w:t>
      </w:r>
      <w:bookmarkEnd w:id="8"/>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9" w:name="_Toc16948145"/>
      <w:r>
        <w:rPr>
          <w:rFonts w:hint="default" w:ascii="Times New Roman" w:hAnsi="Times New Roman" w:eastAsia="楷体_GB2312" w:cs="Times New Roman"/>
          <w:sz w:val="32"/>
          <w:szCs w:val="32"/>
        </w:rPr>
        <w:t>（一）</w:t>
      </w:r>
      <w:bookmarkEnd w:id="9"/>
      <w:r>
        <w:rPr>
          <w:rFonts w:hint="default" w:ascii="Times New Roman" w:hAnsi="Times New Roman" w:eastAsia="楷体_GB2312" w:cs="Times New Roman"/>
          <w:sz w:val="32"/>
          <w:szCs w:val="32"/>
        </w:rPr>
        <w:t>农村生活污水治理现状</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2018年以前，环翠区共完成44个村的农村生活污水治理工作； 2019年，将仅治理了黑水、未进行灰水治理的33个村纳入2020年灰水治理计划； 2020年，全区新建3个农村生活污水治理项目（2个新建污水设施、1个并入市政污水管网），并计划对33个村开展灰水治理；桥头镇划归环翠区前已完成8个村农村生活污水治理；2021年完成农村生活污水治理的行政村12个，已全部完成县级及市级验收。</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截至2021年底，环翠区共108个行政村， 62个村已完成农村生活污水治理，完成比例达57.41%，未治理的村共46个，36个村庄分布在桥头镇，2个村（羊亭镇1个、温泉镇1个）因地质硬暂时无法治理、8个村计划拆迁。桥头镇行政村实施污水治理后，环翠区污水可实现全域治理。</w:t>
      </w:r>
    </w:p>
    <w:p>
      <w:pPr>
        <w:keepNext w:val="0"/>
        <w:keepLines w:val="0"/>
        <w:pageBreakBefore w:val="0"/>
        <w:widowControl/>
        <w:kinsoku/>
        <w:wordWrap/>
        <w:overflowPunct/>
        <w:topLinePunct w:val="0"/>
        <w:bidi w:val="0"/>
        <w:snapToGrid/>
        <w:spacing w:line="600" w:lineRule="exact"/>
        <w:ind w:left="0" w:leftChars="0"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我区农村生活污水治理工作所采用的治理模式主要分为以下三种：</w:t>
      </w:r>
    </w:p>
    <w:p>
      <w:pPr>
        <w:keepNext w:val="0"/>
        <w:keepLines w:val="0"/>
        <w:pageBreakBefore w:val="0"/>
        <w:widowControl/>
        <w:kinsoku/>
        <w:wordWrap/>
        <w:overflowPunct/>
        <w:topLinePunct w:val="0"/>
        <w:bidi w:val="0"/>
        <w:snapToGrid/>
        <w:spacing w:line="600" w:lineRule="exact"/>
        <w:ind w:left="0" w:leftChars="0" w:firstLine="640" w:firstLineChars="200"/>
        <w:jc w:val="lef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 纳入市政污水管网。将集中收集的生活污水纳入城镇污水管网，由城镇污水处理站进行处理；</w:t>
      </w:r>
    </w:p>
    <w:p>
      <w:pPr>
        <w:keepNext w:val="0"/>
        <w:keepLines w:val="0"/>
        <w:pageBreakBefore w:val="0"/>
        <w:widowControl/>
        <w:kinsoku/>
        <w:wordWrap/>
        <w:overflowPunct/>
        <w:topLinePunct w:val="0"/>
        <w:bidi w:val="0"/>
        <w:snapToGrid/>
        <w:spacing w:line="600" w:lineRule="exact"/>
        <w:ind w:left="0" w:leftChars="0"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rPr>
        <w:t>2. 建设农村生活污水处理站。将收集的生活污水进行集中处理，符合相关排放标准后，用于农田灌溉、城市绿化。我区建设的污水处理设施采用MBR膜工艺，生活污水经集中收集汇总到调节池，通过水位自动化控制系统，到MBR一体化污水处理设备中处理，达标后排放。已建有污水处理设施的里口山管理服</w:t>
      </w:r>
      <w:r>
        <w:rPr>
          <w:rFonts w:hint="default" w:ascii="Times New Roman" w:hAnsi="Times New Roman" w:eastAsia="仿宋_GB2312" w:cs="Times New Roman"/>
          <w:sz w:val="32"/>
          <w:szCs w:val="32"/>
        </w:rPr>
        <w:t>务中心4个村、羊亭镇11个村的污水经处理达标后，直接排入外环境；温泉镇16个村的污水经处理达标后用于浇灌绿化带；桥头镇2个村的污水经污水处理站处理达标后排入农田予以灌溉。</w:t>
      </w:r>
    </w:p>
    <w:p>
      <w:pPr>
        <w:keepNext w:val="0"/>
        <w:keepLines w:val="0"/>
        <w:pageBreakBefore w:val="0"/>
        <w:widowControl/>
        <w:kinsoku/>
        <w:wordWrap/>
        <w:overflowPunct/>
        <w:topLinePunct w:val="0"/>
        <w:bidi w:val="0"/>
        <w:snapToGrid/>
        <w:spacing w:line="600" w:lineRule="exact"/>
        <w:ind w:left="0" w:leftChars="0" w:firstLine="640" w:firstLineChars="200"/>
        <w:jc w:val="lef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 建设集中收集池，依托拉运车辆将生活污水拉运至城镇污水管网或农村生活污水处理站进行处理。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10" w:name="_Toc16948149"/>
      <w:r>
        <w:rPr>
          <w:rFonts w:hint="default" w:ascii="Times New Roman" w:hAnsi="Times New Roman" w:eastAsia="楷体_GB2312" w:cs="Times New Roman"/>
          <w:sz w:val="32"/>
          <w:szCs w:val="32"/>
        </w:rPr>
        <w:t>（二）农村生活污水治理存在的主要问题</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1.宣传引导不到位。部分群众对农村生活污水治理的意义认识不足，积极性和创造性不高。</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2.运维资金相对匮乏。由于资金紧张，农村生活污水运行维护主要由镇街负责，缺乏专门的管理队伍，不能有效保障设备正常运行。</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五、治理任务及模式</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（一）治理任务验收标准要求</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各行政村农村生活污水治理任务验收标准为农户覆盖率达到80%以上，处理设施正常运行、出水水质达标。</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11" w:name="_Toc16948151"/>
      <w:r>
        <w:rPr>
          <w:rFonts w:hint="default" w:ascii="Times New Roman" w:hAnsi="Times New Roman" w:eastAsia="楷体_GB2312" w:cs="Times New Roman"/>
          <w:sz w:val="32"/>
          <w:szCs w:val="32"/>
        </w:rPr>
        <w:t>（二）治理工作分步推进要求</w:t>
      </w:r>
      <w:bookmarkEnd w:id="11"/>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我区农村生活污水治理工作按照分步推进策略开展。分步推进应遵循以下原则：</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1.坚持突出重点。按照示范带动、分步实施的原则，优先对饮用水水源地准保护区内的行政村开展生活污水治理。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2.结合旧村改造。对列入旧村改造计划的村庄，在旧村改造过程中，同步开展生活污水收集处理，并入市政污水管网。</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bookmarkStart w:id="12" w:name="_Toc16948152"/>
      <w:r>
        <w:rPr>
          <w:rFonts w:hint="default" w:ascii="Times New Roman" w:hAnsi="Times New Roman" w:eastAsia="楷体_GB2312" w:cs="Times New Roman"/>
          <w:sz w:val="32"/>
          <w:szCs w:val="32"/>
        </w:rPr>
        <w:t>（三）治理模式选择要求</w:t>
      </w:r>
      <w:bookmarkEnd w:id="12"/>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考虑到村庄周边自然条件、农村住户聚集程度、生活污水产生量等因素，我区拟采用集中治理、分散治理与资源利用相结合的方式，充分发挥本地环境消纳能力，科学合理选择收集和治理方式。治理模式主要参考以下模式：</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1.市政纳管处理模式：位于城镇周边的行政村，综合考虑建设投资、管网建设难度等因素，对列入旧村改造计划的村庄，优先考虑将农村生活污水纳入市政管网，由城镇污水处理厂统一处理。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2.建设污水处理站模式：对居住集中、人口多，能够形成径流，管网建设难度适中的村庄，建设生活污水集中处理设施，对农村生活污水统一收集、统一处理。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3.集中拉运模式：依托拉运车辆将生活污水拉运至城镇污水管网或农村生活污水处理站进行处理。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六、工作要求</w:t>
      </w:r>
      <w:bookmarkEnd w:id="10"/>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（一）统筹规划，有序实施。</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在对全区各自然村调查摸底的基础上，根据农村人口分布密度、自然环境和经济条件，坚持近期和远期相结合，将农村生活污水治理专项规划编制工作纳入全区总体规划当中，通盘谋划，因地制宜制定年度实施计划，落实“一村一策”，统筹全区农村生活污水治理工作。</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（二）政府推动，多元投入。</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政府主导，加强部门资源整合，形成工作合力；坚持农民为主体，充分调动村集体、农民群众的主动性、积极性和创造性；积极引导社会各界参与，探索运用市场化手段，优选资信好、投融资能力强且有从事城乡水环境治理专业能力的企业，实施村庄生活污水治理工程投资建设运营，发挥企业在村庄生活污水治理规模化建设和专业化运行维护等方面的关键作用；多渠道筹集资金，整合和利用现有各类涉农专项资金，采取以奖代补等方式，支持村庄生活污水治理工作。</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（三）因地制宜，经济实用。</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优化全区水环境为导向，在认真分析各自然村人口数量、居住状况、居民生活规律等基础上，结合不同村庄的地形地貌、排水方式及去向等特点，因地制宜选择适宜的治理模式和处理技术，明确治理目标、序时、措施等。</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（四）示范带动，全面推进。</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以饮用水源和水生态环境保护为重点，按照“典型示范、以点带面，先易后难、全面覆盖”的原则，扎实推进农村生活污水处理设施建设。坚持建设与管理并重，加强日常维护运行，确保治污设施发挥效用。</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（五）加强监管，确保质量。</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加强项目监督管理，确保按计划、高质量顺利推进工程建设，切实达到农村生活污水治理工程质量效果。认真履行工程基本建设程序，严格实行监理责任制，积极开展工程交竣工验收，保障项目依法依规进行</w:t>
      </w:r>
      <w:bookmarkStart w:id="13" w:name="_Toc16948174"/>
      <w:r>
        <w:rPr>
          <w:rFonts w:hint="default" w:ascii="Times New Roman" w:hAnsi="Times New Roman" w:eastAsia="仿宋_GB2312" w:cs="Times New Roman"/>
          <w:color w:val="000000"/>
          <w:sz w:val="32"/>
          <w:szCs w:val="32"/>
        </w:rPr>
        <w:t>。</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黑体" w:cs="Times New Roman"/>
          <w:bCs/>
          <w:color w:val="000000"/>
          <w:sz w:val="32"/>
          <w:szCs w:val="32"/>
        </w:rPr>
      </w:pPr>
      <w:r>
        <w:rPr>
          <w:rFonts w:hint="default" w:ascii="Times New Roman" w:hAnsi="Times New Roman" w:eastAsia="黑体" w:cs="Times New Roman"/>
          <w:bCs/>
          <w:color w:val="000000"/>
          <w:sz w:val="32"/>
          <w:szCs w:val="32"/>
        </w:rPr>
        <w:t>七、保障措施</w:t>
      </w:r>
      <w:bookmarkEnd w:id="13"/>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（一）加强组织领导。</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把农村生活污水治理纳入乡村振兴战略重点任务，依托环翠区乡村生态振兴专班，组织相关成员单位相互配合、积极沟通，统筹推进农村生活污水治理工作，确保任务顺利完成。</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（二）加大资金支持力度。</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各主管部门要会同财政部门，积极争取上级乡村振兴专项资金支持，为农村生活污水治理工作做好资金保障。</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（三）加强设施运行管理。</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按照治污设施常态化运行的要求，一是集中处理方面，实行市场化运作，公开向社会招标，以企业投资管理、政府补助形式开展；二是分散处理方面，由属地镇街负责日常管理，借鉴农村环境卫生综合整治模式，通过“政府补贴一些、村民自筹一些”的方式，每个行政村聘请一名农村生活污水设施管护员，负责加强日常管护，清理杂物、悬浮物和沉积物，确保治污设施的正常运行。部门联动，建立农村生活污水处理设施不定期抽查制度，开展出水水质检测，建立档案。</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（四）完善基础设施建设。</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通过政府主导、村民参与的方式，加快农村基础设施建设，重点加强农村生活污水收集管网（沟、渠、道）的建设，切实改善农村基础设施。</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（五）加大宣传引导力度。</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采取多种宣传方式，大力宣传村庄生活污水治理的重要意义、政策措施，动员广大村民和社会各界积极参与村庄生活污水治理，努力形成全社会关心、支持和参与村庄生活污水治理的良好氛围。</w:t>
      </w: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p>
    <w:p>
      <w:pPr>
        <w:keepNext w:val="0"/>
        <w:keepLines w:val="0"/>
        <w:pageBreakBefore w:val="0"/>
        <w:kinsoku/>
        <w:wordWrap/>
        <w:overflowPunct/>
        <w:topLinePunct w:val="0"/>
        <w:bidi w:val="0"/>
        <w:snapToGrid/>
        <w:spacing w:line="600" w:lineRule="exact"/>
        <w:ind w:left="0" w:leftChars="0"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附件：1.环翠区农村生活污水治理分年度目标表</w:t>
      </w:r>
    </w:p>
    <w:p>
      <w:pPr>
        <w:keepNext w:val="0"/>
        <w:keepLines w:val="0"/>
        <w:pageBreakBefore w:val="0"/>
        <w:kinsoku/>
        <w:wordWrap/>
        <w:overflowPunct/>
        <w:topLinePunct w:val="0"/>
        <w:bidi w:val="0"/>
        <w:snapToGrid/>
        <w:spacing w:line="600" w:lineRule="exact"/>
        <w:ind w:left="0" w:leftChars="0" w:firstLine="1600" w:firstLineChars="5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2.环翠区农村生活污水治理实施计划详表</w:t>
      </w:r>
    </w:p>
    <w:p>
      <w:pPr>
        <w:keepNext w:val="0"/>
        <w:keepLines w:val="0"/>
        <w:pageBreakBefore w:val="0"/>
        <w:kinsoku/>
        <w:wordWrap/>
        <w:overflowPunct/>
        <w:topLinePunct w:val="0"/>
        <w:bidi w:val="0"/>
        <w:snapToGrid/>
        <w:spacing w:line="600" w:lineRule="exact"/>
        <w:ind w:left="0" w:leftChars="0" w:firstLine="1600" w:firstLineChars="500"/>
        <w:rPr>
          <w:rFonts w:hint="default" w:ascii="Times New Roman" w:hAnsi="Times New Roman" w:eastAsia="仿宋" w:cs="Times New Roman"/>
          <w:bCs/>
          <w:sz w:val="32"/>
          <w:szCs w:val="32"/>
        </w:rPr>
      </w:pPr>
      <w:r>
        <w:rPr>
          <w:rFonts w:hint="default" w:ascii="Times New Roman" w:hAnsi="Times New Roman" w:eastAsia="仿宋_GB2312" w:cs="Times New Roman"/>
          <w:color w:val="000000"/>
          <w:sz w:val="32"/>
          <w:szCs w:val="32"/>
        </w:rPr>
        <w:t>3.环翠区农村生活污水治理工作进度汇总表</w:t>
      </w:r>
    </w:p>
    <w:p>
      <w:pPr>
        <w:keepNext w:val="0"/>
        <w:keepLines w:val="0"/>
        <w:pageBreakBefore w:val="0"/>
        <w:kinsoku/>
        <w:wordWrap/>
        <w:overflowPunct/>
        <w:topLinePunct w:val="0"/>
        <w:bidi w:val="0"/>
        <w:snapToGrid/>
        <w:spacing w:line="600" w:lineRule="exact"/>
        <w:ind w:left="0" w:leftChars="0"/>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rPr>
        <w:t>附件1：</w:t>
      </w:r>
    </w:p>
    <w:p>
      <w:pPr>
        <w:keepNext w:val="0"/>
        <w:keepLines w:val="0"/>
        <w:pageBreakBefore w:val="0"/>
        <w:kinsoku/>
        <w:wordWrap/>
        <w:overflowPunct/>
        <w:topLinePunct w:val="0"/>
        <w:bidi w:val="0"/>
        <w:snapToGrid/>
        <w:spacing w:line="600" w:lineRule="exact"/>
        <w:ind w:left="0" w:leftChars="0"/>
        <w:rPr>
          <w:rFonts w:hint="default" w:ascii="Times New Roman" w:hAnsi="Times New Roman" w:eastAsia="文星简小标宋" w:cs="Times New Roman"/>
          <w:bCs/>
          <w:kern w:val="0"/>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kern w:val="0"/>
          <w:sz w:val="44"/>
          <w:szCs w:val="44"/>
        </w:rPr>
      </w:pPr>
      <w:r>
        <w:rPr>
          <w:rFonts w:hint="default" w:ascii="Times New Roman" w:hAnsi="Times New Roman" w:eastAsia="文星简小标宋" w:cs="Times New Roman"/>
          <w:bCs/>
          <w:kern w:val="0"/>
          <w:sz w:val="44"/>
          <w:szCs w:val="44"/>
        </w:rPr>
        <w:t>环翠区农村生活污水治理分年度目标表</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方正小标宋简体" w:cs="Times New Roman"/>
          <w:b/>
          <w:kern w:val="0"/>
          <w:sz w:val="44"/>
          <w:szCs w:val="44"/>
        </w:rPr>
      </w:pPr>
    </w:p>
    <w:tbl>
      <w:tblPr>
        <w:tblStyle w:val="18"/>
        <w:tblW w:w="10773" w:type="dxa"/>
        <w:tblInd w:w="-45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425"/>
        <w:gridCol w:w="709"/>
        <w:gridCol w:w="567"/>
        <w:gridCol w:w="567"/>
        <w:gridCol w:w="851"/>
        <w:gridCol w:w="567"/>
        <w:gridCol w:w="425"/>
        <w:gridCol w:w="851"/>
        <w:gridCol w:w="567"/>
        <w:gridCol w:w="567"/>
        <w:gridCol w:w="850"/>
        <w:gridCol w:w="567"/>
        <w:gridCol w:w="567"/>
        <w:gridCol w:w="851"/>
        <w:gridCol w:w="567"/>
        <w:gridCol w:w="425"/>
        <w:gridCol w:w="8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74" w:hRule="atLeast"/>
        </w:trPr>
        <w:tc>
          <w:tcPr>
            <w:tcW w:w="425"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辖区</w:t>
            </w:r>
          </w:p>
        </w:tc>
        <w:tc>
          <w:tcPr>
            <w:tcW w:w="709" w:type="dxa"/>
            <w:vMerge w:val="restart"/>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黑体" w:cs="Times New Roman"/>
                <w:sz w:val="22"/>
              </w:rPr>
            </w:pPr>
            <w:r>
              <w:rPr>
                <w:rFonts w:hint="default" w:ascii="Times New Roman" w:hAnsi="Times New Roman" w:eastAsia="黑体" w:cs="Times New Roman"/>
                <w:sz w:val="22"/>
              </w:rPr>
              <w:t>农村生活污水治理行政村总数</w:t>
            </w:r>
          </w:p>
        </w:tc>
        <w:tc>
          <w:tcPr>
            <w:tcW w:w="1985" w:type="dxa"/>
            <w:gridSpan w:val="3"/>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2021年目标</w:t>
            </w:r>
          </w:p>
        </w:tc>
        <w:tc>
          <w:tcPr>
            <w:tcW w:w="1843" w:type="dxa"/>
            <w:gridSpan w:val="3"/>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2022年目标</w:t>
            </w:r>
          </w:p>
        </w:tc>
        <w:tc>
          <w:tcPr>
            <w:tcW w:w="1984" w:type="dxa"/>
            <w:gridSpan w:val="3"/>
            <w:tcBorders>
              <w:right w:val="single" w:color="auto" w:sz="4" w:space="0"/>
            </w:tcBorders>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2023年目标</w:t>
            </w:r>
          </w:p>
        </w:tc>
        <w:tc>
          <w:tcPr>
            <w:tcW w:w="1985" w:type="dxa"/>
            <w:gridSpan w:val="3"/>
            <w:tcBorders>
              <w:top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2024年目标</w:t>
            </w:r>
          </w:p>
        </w:tc>
        <w:tc>
          <w:tcPr>
            <w:tcW w:w="184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2025年目标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7" w:hRule="atLeast"/>
        </w:trPr>
        <w:tc>
          <w:tcPr>
            <w:tcW w:w="425" w:type="dxa"/>
            <w:vMerge w:val="continue"/>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p>
        </w:tc>
        <w:tc>
          <w:tcPr>
            <w:tcW w:w="709" w:type="dxa"/>
            <w:vMerge w:val="continue"/>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完成污水治理的行政村总数</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年度目标数</w:t>
            </w:r>
          </w:p>
        </w:tc>
        <w:tc>
          <w:tcPr>
            <w:tcW w:w="85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目标值</w:t>
            </w:r>
          </w:p>
          <w:p>
            <w:pPr>
              <w:pStyle w:val="26"/>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r>
              <w:rPr>
                <w:rFonts w:hint="default" w:ascii="Times New Roman" w:hAnsi="Times New Roman" w:cs="Times New Roman"/>
              </w:rPr>
              <w:t>（%）</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完成污水治理的行政村总数</w:t>
            </w:r>
          </w:p>
        </w:tc>
        <w:tc>
          <w:tcPr>
            <w:tcW w:w="42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年度目标数</w:t>
            </w:r>
          </w:p>
        </w:tc>
        <w:tc>
          <w:tcPr>
            <w:tcW w:w="85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目标值</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cs="Times New Roman"/>
              </w:rPr>
              <w:t>（%）</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完成污水治理的行政村总数</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年度目标数</w:t>
            </w:r>
          </w:p>
        </w:tc>
        <w:tc>
          <w:tcPr>
            <w:tcW w:w="85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目标值</w:t>
            </w:r>
            <w:r>
              <w:rPr>
                <w:rFonts w:hint="default" w:ascii="Times New Roman" w:hAnsi="Times New Roman" w:cs="Times New Roman"/>
              </w:rPr>
              <w:t>（%）</w:t>
            </w:r>
          </w:p>
        </w:tc>
        <w:tc>
          <w:tcPr>
            <w:tcW w:w="567"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完成污水治理的行政村总数</w:t>
            </w:r>
          </w:p>
        </w:tc>
        <w:tc>
          <w:tcPr>
            <w:tcW w:w="567"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年度目标数</w:t>
            </w:r>
          </w:p>
        </w:tc>
        <w:tc>
          <w:tcPr>
            <w:tcW w:w="851"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目标值</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完成污水治理的行政村总数</w:t>
            </w:r>
          </w:p>
        </w:tc>
        <w:tc>
          <w:tcPr>
            <w:tcW w:w="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年度目标数</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eastAsia="黑体" w:cs="Times New Roman"/>
                <w:sz w:val="22"/>
              </w:rPr>
              <w:t>目标值</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22"/>
              </w:rPr>
            </w:pPr>
            <w:r>
              <w:rPr>
                <w:rFonts w:hint="default" w:ascii="Times New Roman" w:hAnsi="Times New Roman" w:cs="Times New Roman"/>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7" w:hRule="atLeast"/>
        </w:trPr>
        <w:tc>
          <w:tcPr>
            <w:tcW w:w="42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_GB2312" w:cs="Times New Roman"/>
                <w:bCs/>
                <w:sz w:val="22"/>
              </w:rPr>
              <w:t>环翠区</w:t>
            </w:r>
          </w:p>
        </w:tc>
        <w:tc>
          <w:tcPr>
            <w:tcW w:w="709"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108</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62</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12</w:t>
            </w:r>
          </w:p>
        </w:tc>
        <w:tc>
          <w:tcPr>
            <w:tcW w:w="85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57.41</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71</w:t>
            </w:r>
          </w:p>
        </w:tc>
        <w:tc>
          <w:tcPr>
            <w:tcW w:w="425"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9</w:t>
            </w:r>
          </w:p>
        </w:tc>
        <w:tc>
          <w:tcPr>
            <w:tcW w:w="851"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65.74</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84</w:t>
            </w:r>
          </w:p>
        </w:tc>
        <w:tc>
          <w:tcPr>
            <w:tcW w:w="567"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13</w:t>
            </w:r>
          </w:p>
        </w:tc>
        <w:tc>
          <w:tcPr>
            <w:tcW w:w="85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77.77</w:t>
            </w:r>
          </w:p>
        </w:tc>
        <w:tc>
          <w:tcPr>
            <w:tcW w:w="567"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98</w:t>
            </w:r>
          </w:p>
        </w:tc>
        <w:tc>
          <w:tcPr>
            <w:tcW w:w="567"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14</w:t>
            </w:r>
          </w:p>
        </w:tc>
        <w:tc>
          <w:tcPr>
            <w:tcW w:w="851" w:type="dxa"/>
            <w:tcBorders>
              <w:top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90.74</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106</w:t>
            </w:r>
          </w:p>
        </w:tc>
        <w:tc>
          <w:tcPr>
            <w:tcW w:w="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8</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eastAsia="仿宋" w:cs="Times New Roman"/>
                <w:bCs/>
                <w:sz w:val="22"/>
              </w:rPr>
            </w:pPr>
            <w:r>
              <w:rPr>
                <w:rFonts w:hint="default" w:ascii="Times New Roman" w:hAnsi="Times New Roman" w:eastAsia="仿宋" w:cs="Times New Roman"/>
                <w:bCs/>
                <w:sz w:val="22"/>
              </w:rPr>
              <w:t>98.14</w:t>
            </w:r>
          </w:p>
        </w:tc>
      </w:tr>
    </w:tbl>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附件2：</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sz w:val="44"/>
          <w:szCs w:val="44"/>
        </w:rPr>
      </w:pPr>
      <w:r>
        <w:rPr>
          <w:rFonts w:hint="default" w:ascii="Times New Roman" w:hAnsi="Times New Roman" w:eastAsia="文星简小标宋" w:cs="Times New Roman"/>
          <w:bCs/>
          <w:sz w:val="44"/>
          <w:szCs w:val="44"/>
        </w:rPr>
        <w:t>环翠区农村生活污水治理实施计划详表</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方正小标宋简体" w:cs="Times New Roman"/>
          <w:b/>
          <w:sz w:val="44"/>
          <w:szCs w:val="44"/>
        </w:rPr>
      </w:pPr>
    </w:p>
    <w:tbl>
      <w:tblPr>
        <w:tblStyle w:val="18"/>
        <w:tblW w:w="8610" w:type="dxa"/>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fixed"/>
        <w:tblCellMar>
          <w:top w:w="0" w:type="dxa"/>
          <w:left w:w="0" w:type="dxa"/>
          <w:bottom w:w="0" w:type="dxa"/>
          <w:right w:w="0" w:type="dxa"/>
        </w:tblCellMar>
      </w:tblPr>
      <w:tblGrid>
        <w:gridCol w:w="1161"/>
        <w:gridCol w:w="1042"/>
        <w:gridCol w:w="1043"/>
        <w:gridCol w:w="1043"/>
        <w:gridCol w:w="1471"/>
        <w:gridCol w:w="1035"/>
        <w:gridCol w:w="930"/>
        <w:gridCol w:w="885"/>
      </w:tblGrid>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tcBorders>
              <w:top w:val="single" w:color="000000" w:sz="6" w:space="0"/>
              <w:left w:val="single" w:color="000000" w:sz="8"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sz w:val="22"/>
              </w:rPr>
              <w:t>年度</w:t>
            </w:r>
          </w:p>
        </w:tc>
        <w:tc>
          <w:tcPr>
            <w:tcW w:w="1042"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镇</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村居</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户数</w:t>
            </w:r>
          </w:p>
        </w:tc>
        <w:tc>
          <w:tcPr>
            <w:tcW w:w="1471"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污水处理计划</w:t>
            </w:r>
          </w:p>
        </w:tc>
        <w:tc>
          <w:tcPr>
            <w:tcW w:w="1035"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规模（t/d）</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 w:val="22"/>
              </w:rPr>
            </w:pPr>
            <w:r>
              <w:rPr>
                <w:rFonts w:hint="default" w:ascii="Times New Roman" w:hAnsi="Times New Roman" w:eastAsia="黑体" w:cs="Times New Roman"/>
                <w:kern w:val="0"/>
                <w:sz w:val="22"/>
              </w:rPr>
              <w:t>受益人口</w:t>
            </w:r>
          </w:p>
        </w:tc>
        <w:tc>
          <w:tcPr>
            <w:tcW w:w="885" w:type="dxa"/>
            <w:tcBorders>
              <w:top w:val="single" w:color="000000" w:sz="6" w:space="0"/>
              <w:left w:val="single" w:color="000000" w:sz="6" w:space="0"/>
              <w:bottom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目标完成率</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1906" w:hRule="atLeast"/>
          <w:jc w:val="center"/>
        </w:trPr>
        <w:tc>
          <w:tcPr>
            <w:tcW w:w="1161" w:type="dxa"/>
            <w:vMerge w:val="restart"/>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2021年</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（3个）</w:t>
            </w:r>
          </w:p>
        </w:tc>
        <w:tc>
          <w:tcPr>
            <w:tcW w:w="1042" w:type="dxa"/>
            <w:vMerge w:val="restart"/>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羊亭镇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（4个）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埠前</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214</w:t>
            </w:r>
          </w:p>
        </w:tc>
        <w:tc>
          <w:tcPr>
            <w:tcW w:w="1471"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采用建设农村生活污水处理站方式，对生活污水进行收集处理</w:t>
            </w:r>
          </w:p>
        </w:tc>
        <w:tc>
          <w:tcPr>
            <w:tcW w:w="1035"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建设70t小型污水处理设施</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470</w:t>
            </w:r>
          </w:p>
        </w:tc>
        <w:tc>
          <w:tcPr>
            <w:tcW w:w="885" w:type="dxa"/>
            <w:vMerge w:val="restart"/>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57.41%</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1382"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鲁东</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290</w:t>
            </w:r>
          </w:p>
        </w:tc>
        <w:tc>
          <w:tcPr>
            <w:tcW w:w="1471"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 w:val="22"/>
              </w:rPr>
              <w:t>旧村改造，污水并入市政污水管网</w:t>
            </w:r>
          </w:p>
        </w:tc>
        <w:tc>
          <w:tcPr>
            <w:tcW w:w="1035"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800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孙家滩</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615</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采用纳入市政污水管网的方式，对生活污水进行收集处理</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1893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934"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北小城</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395</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500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restart"/>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桥头镇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sz w:val="22"/>
              </w:rPr>
              <w:t>（8个）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西龙山</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102</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szCs w:val="21"/>
              </w:rPr>
              <w:t>采用集中拉运模式，对村内生活污水进行收集处理</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278</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新建</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56</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东龙山</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45</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135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后宅库</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75</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148</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埠上</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180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408</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教里</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180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421</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前宅库</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211</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孟家庄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480</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1025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restart"/>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2022年</w:t>
            </w:r>
          </w:p>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kern w:val="0"/>
                <w:sz w:val="22"/>
              </w:rPr>
              <w:t>（9个）</w:t>
            </w:r>
          </w:p>
        </w:tc>
        <w:tc>
          <w:tcPr>
            <w:tcW w:w="1042" w:type="dxa"/>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嵩山街道</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sz w:val="22"/>
              </w:rPr>
              <w:t>（1个）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闫家庄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177</w:t>
            </w:r>
          </w:p>
        </w:tc>
        <w:tc>
          <w:tcPr>
            <w:tcW w:w="1471"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 w:val="22"/>
              </w:rPr>
              <w:t>旧村改造，污水并入市政污水管网</w:t>
            </w:r>
          </w:p>
        </w:tc>
        <w:tc>
          <w:tcPr>
            <w:tcW w:w="1035"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394</w:t>
            </w:r>
          </w:p>
        </w:tc>
        <w:tc>
          <w:tcPr>
            <w:tcW w:w="885" w:type="dxa"/>
            <w:vMerge w:val="restart"/>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color w:val="FF0000"/>
                <w:kern w:val="0"/>
                <w:szCs w:val="21"/>
              </w:rPr>
            </w:pPr>
            <w:r>
              <w:rPr>
                <w:rFonts w:hint="default" w:ascii="Times New Roman" w:hAnsi="Times New Roman" w:eastAsia="仿宋_GB2312" w:cs="Times New Roman"/>
                <w:kern w:val="0"/>
                <w:szCs w:val="21"/>
              </w:rPr>
              <w:t>65.74%</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98"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restart"/>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桥头镇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sz w:val="22"/>
              </w:rPr>
              <w:t>（8个）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东于家</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205</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Cs w:val="21"/>
              </w:rPr>
              <w:t>采用集中拉运模式，对村内生活污水进行收集处理</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407</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78"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西于家</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215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中于家</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90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180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51"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后于家</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83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31"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北子城</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220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282</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大院</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53</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19"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董家夼</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115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5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方吉</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197</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410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restart"/>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2023年</w:t>
            </w:r>
          </w:p>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kern w:val="0"/>
                <w:sz w:val="22"/>
              </w:rPr>
              <w:t>（13个）</w:t>
            </w:r>
          </w:p>
        </w:tc>
        <w:tc>
          <w:tcPr>
            <w:tcW w:w="1042" w:type="dxa"/>
            <w:vMerge w:val="restart"/>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桥头镇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sz w:val="22"/>
              </w:rPr>
              <w:t>（13个）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雅格庄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287</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Cs w:val="21"/>
              </w:rPr>
              <w:t>采用集中拉运模式，对村内生活污水进行收集处理</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702</w:t>
            </w:r>
          </w:p>
        </w:tc>
        <w:tc>
          <w:tcPr>
            <w:tcW w:w="885" w:type="dxa"/>
            <w:vMerge w:val="restart"/>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color w:val="FF0000"/>
                <w:kern w:val="0"/>
                <w:szCs w:val="21"/>
              </w:rPr>
            </w:pPr>
            <w:r>
              <w:rPr>
                <w:rFonts w:hint="default" w:ascii="Times New Roman" w:hAnsi="Times New Roman" w:eastAsia="仿宋_GB2312" w:cs="Times New Roman"/>
                <w:kern w:val="0"/>
                <w:szCs w:val="21"/>
              </w:rPr>
              <w:t>77.77%</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福禄庄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149</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344</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姚家圈</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73</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141</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盘川夼</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177</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350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观里东</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208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455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观里西</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235</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566</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南台</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220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536</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所前泊</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445</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1001</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刘家泊</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131</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308</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西贞</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141</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403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徐家庄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72</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大贞</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310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615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桥头</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737</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1495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restart"/>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2024年</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（14个）</w:t>
            </w:r>
          </w:p>
        </w:tc>
        <w:tc>
          <w:tcPr>
            <w:tcW w:w="1042"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桥头镇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（14个）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报信</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410 </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Cs w:val="21"/>
              </w:rPr>
              <w:t>采用集中拉运模式，对村内生活污水进行收集处理</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758 </w:t>
            </w:r>
          </w:p>
        </w:tc>
        <w:tc>
          <w:tcPr>
            <w:tcW w:w="885" w:type="dxa"/>
            <w:vMerge w:val="restart"/>
            <w:tcBorders>
              <w:left w:val="single" w:color="000000" w:sz="6" w:space="0"/>
              <w:right w:val="single" w:color="000000" w:sz="8" w:space="0"/>
            </w:tcBorders>
            <w:tcMar>
              <w:top w:w="15" w:type="dxa"/>
              <w:left w:w="15" w:type="dxa"/>
              <w:right w:w="15" w:type="dxa"/>
            </w:tcMar>
            <w:vAlign w:val="center"/>
          </w:tcPr>
          <w:p>
            <w:pPr>
              <w:keepNext w:val="0"/>
              <w:keepLines w:val="0"/>
              <w:pageBreakBefore w:val="0"/>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90.74%</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碑鲁</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417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825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邓家店</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cs="Times New Roman"/>
                <w:kern w:val="0"/>
                <w:szCs w:val="21"/>
              </w:rPr>
              <w:t>38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85</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马井泊</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96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205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西山后</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83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144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黑石</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253</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503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柴里</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252</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529</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江家口</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264</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652</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产里</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175</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360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85"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河西庄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347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805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93"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宋家店</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225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508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45"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东洛后</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225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403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39"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西洛后</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45 </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72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91"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洛西村</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327 </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kinsoku/>
              <w:wordWrap/>
              <w:overflowPunct/>
              <w:topLinePunct w:val="0"/>
              <w:bidi w:val="0"/>
              <w:snapToGrid/>
              <w:spacing w:line="600" w:lineRule="exact"/>
              <w:ind w:left="0" w:leftChars="0"/>
              <w:jc w:val="center"/>
              <w:rPr>
                <w:rFonts w:hint="default" w:ascii="Times New Roman" w:hAnsi="Times New Roman" w:cs="Times New Roman"/>
                <w:kern w:val="0"/>
                <w:szCs w:val="21"/>
              </w:rPr>
            </w:pPr>
            <w:r>
              <w:rPr>
                <w:rFonts w:hint="default" w:ascii="Times New Roman" w:hAnsi="Times New Roman" w:cs="Times New Roman"/>
                <w:kern w:val="0"/>
                <w:szCs w:val="21"/>
              </w:rPr>
              <w:t xml:space="preserve">732 </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57" w:hRule="atLeast"/>
          <w:jc w:val="center"/>
        </w:trPr>
        <w:tc>
          <w:tcPr>
            <w:tcW w:w="1161" w:type="dxa"/>
            <w:vMerge w:val="restart"/>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2025年</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r>
              <w:rPr>
                <w:rFonts w:hint="default" w:ascii="Times New Roman" w:hAnsi="Times New Roman" w:eastAsia="仿宋_GB2312" w:cs="Times New Roman"/>
                <w:kern w:val="0"/>
                <w:sz w:val="22"/>
              </w:rPr>
              <w:t>（8个）</w:t>
            </w:r>
          </w:p>
        </w:tc>
        <w:tc>
          <w:tcPr>
            <w:tcW w:w="1042"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嵩山街道</w:t>
            </w:r>
            <w:r>
              <w:rPr>
                <w:rFonts w:hint="default" w:ascii="Times New Roman" w:hAnsi="Times New Roman" w:eastAsia="仿宋_GB2312" w:cs="Times New Roman"/>
                <w:sz w:val="22"/>
              </w:rPr>
              <w:br w:type="textWrapping"/>
            </w:r>
            <w:r>
              <w:rPr>
                <w:rFonts w:hint="default" w:ascii="Times New Roman" w:hAnsi="Times New Roman" w:eastAsia="仿宋_GB2312" w:cs="Times New Roman"/>
                <w:sz w:val="22"/>
              </w:rPr>
              <w:t>（4个）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竹园</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117</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 w:val="22"/>
              </w:rPr>
              <w:t>旧村改造，污水并入市政污水管网</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417</w:t>
            </w:r>
          </w:p>
        </w:tc>
        <w:tc>
          <w:tcPr>
            <w:tcW w:w="885" w:type="dxa"/>
            <w:vMerge w:val="restart"/>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98.14%</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79"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牛角沟</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126</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430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45"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西山口</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68</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119</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411"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北七夼</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275</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443</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4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羊亭镇</w:t>
            </w:r>
          </w:p>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（3个）</w:t>
            </w: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羊亭</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987</w:t>
            </w:r>
          </w:p>
        </w:tc>
        <w:tc>
          <w:tcPr>
            <w:tcW w:w="1471"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r>
              <w:rPr>
                <w:rFonts w:hint="default" w:ascii="Times New Roman" w:hAnsi="Times New Roman" w:eastAsia="仿宋_GB2312" w:cs="Times New Roman"/>
                <w:sz w:val="22"/>
              </w:rPr>
              <w:t>旧村改造，污水并入市政污水管网</w:t>
            </w:r>
          </w:p>
        </w:tc>
        <w:tc>
          <w:tcPr>
            <w:tcW w:w="1035" w:type="dxa"/>
            <w:vMerge w:val="restart"/>
            <w:tcBorders>
              <w:top w:val="single" w:color="000000" w:sz="6" w:space="0"/>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w:t>
            </w: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2692</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355"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鹿道口</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290</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20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大西庄</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380</w:t>
            </w:r>
          </w:p>
        </w:tc>
        <w:tc>
          <w:tcPr>
            <w:tcW w:w="1471"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1068</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1161" w:type="dxa"/>
            <w:vMerge w:val="continue"/>
            <w:tcBorders>
              <w:left w:val="single" w:color="000000" w:sz="8"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kern w:val="0"/>
                <w:sz w:val="22"/>
              </w:rPr>
            </w:pPr>
          </w:p>
        </w:tc>
        <w:tc>
          <w:tcPr>
            <w:tcW w:w="1042" w:type="dxa"/>
            <w:vMerge w:val="continue"/>
            <w:tcBorders>
              <w:left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1043" w:type="dxa"/>
            <w:tcBorders>
              <w:top w:val="single" w:color="000000" w:sz="6" w:space="0"/>
              <w:left w:val="single" w:color="000000" w:sz="6" w:space="0"/>
              <w:bottom w:val="single" w:color="000000" w:sz="6" w:space="0"/>
              <w:right w:val="single" w:color="000000" w:sz="6" w:space="0"/>
            </w:tcBorders>
            <w:noWrap/>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港头</w:t>
            </w:r>
          </w:p>
        </w:tc>
        <w:tc>
          <w:tcPr>
            <w:tcW w:w="1043"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528</w:t>
            </w:r>
          </w:p>
        </w:tc>
        <w:tc>
          <w:tcPr>
            <w:tcW w:w="1471"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sz w:val="22"/>
              </w:rPr>
            </w:pPr>
          </w:p>
        </w:tc>
        <w:tc>
          <w:tcPr>
            <w:tcW w:w="1035" w:type="dxa"/>
            <w:vMerge w:val="continue"/>
            <w:tcBorders>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p>
        </w:tc>
        <w:tc>
          <w:tcPr>
            <w:tcW w:w="930" w:type="dxa"/>
            <w:tcBorders>
              <w:top w:val="single" w:color="000000" w:sz="6" w:space="0"/>
              <w:left w:val="single" w:color="000000" w:sz="6" w:space="0"/>
              <w:bottom w:val="single" w:color="000000" w:sz="6" w:space="0"/>
              <w:right w:val="single" w:color="000000" w:sz="6"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 w:val="22"/>
              </w:rPr>
            </w:pPr>
            <w:r>
              <w:rPr>
                <w:rFonts w:hint="default" w:ascii="Times New Roman" w:hAnsi="Times New Roman" w:eastAsia="仿宋_GB2312" w:cs="Times New Roman"/>
                <w:sz w:val="22"/>
              </w:rPr>
              <w:t>1584</w:t>
            </w:r>
          </w:p>
        </w:tc>
        <w:tc>
          <w:tcPr>
            <w:tcW w:w="885" w:type="dxa"/>
            <w:vMerge w:val="continue"/>
            <w:tcBorders>
              <w:left w:val="single" w:color="000000" w:sz="6" w:space="0"/>
              <w:right w:val="single" w:color="000000" w:sz="8" w:space="0"/>
            </w:tcBorders>
            <w:tcMar>
              <w:top w:w="15" w:type="dxa"/>
              <w:left w:w="15" w:type="dxa"/>
              <w:right w:w="15" w:type="dxa"/>
            </w:tcMar>
            <w:vAlign w:val="center"/>
          </w:tcPr>
          <w:p>
            <w:pPr>
              <w:keepNext w:val="0"/>
              <w:keepLines w:val="0"/>
              <w:pageBreakBefore w:val="0"/>
              <w:widowControl/>
              <w:tabs>
                <w:tab w:val="left" w:pos="2844"/>
              </w:tabs>
              <w:kinsoku/>
              <w:wordWrap/>
              <w:overflowPunct/>
              <w:topLinePunct w:val="0"/>
              <w:bidi w:val="0"/>
              <w:snapToGrid/>
              <w:spacing w:line="600" w:lineRule="exact"/>
              <w:ind w:left="0" w:leftChars="0"/>
              <w:jc w:val="center"/>
              <w:textAlignment w:val="center"/>
              <w:rPr>
                <w:rFonts w:hint="default" w:ascii="Times New Roman" w:hAnsi="Times New Roman" w:eastAsia="仿宋_GB2312" w:cs="Times New Roman"/>
                <w:szCs w:val="21"/>
              </w:rPr>
            </w:pPr>
          </w:p>
        </w:tc>
      </w:tr>
    </w:tbl>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bCs/>
          <w:color w:val="000000"/>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附件3：</w:t>
      </w:r>
    </w:p>
    <w:p>
      <w:pPr>
        <w:keepNext w:val="0"/>
        <w:keepLines w:val="0"/>
        <w:pageBreakBefore w:val="0"/>
        <w:kinsoku/>
        <w:wordWrap/>
        <w:overflowPunct/>
        <w:topLinePunct w:val="0"/>
        <w:bidi w:val="0"/>
        <w:snapToGrid/>
        <w:spacing w:line="600" w:lineRule="exact"/>
        <w:ind w:left="0" w:leftChars="0"/>
        <w:jc w:val="left"/>
        <w:rPr>
          <w:rFonts w:hint="default" w:ascii="Times New Roman" w:hAnsi="Times New Roman" w:eastAsia="文星简小标宋" w:cs="Times New Roman"/>
          <w:sz w:val="32"/>
          <w:szCs w:val="32"/>
        </w:rPr>
      </w:pP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kern w:val="0"/>
          <w:sz w:val="44"/>
          <w:szCs w:val="44"/>
        </w:rPr>
      </w:pPr>
      <w:r>
        <w:rPr>
          <w:rFonts w:hint="default" w:ascii="Times New Roman" w:hAnsi="Times New Roman" w:eastAsia="文星简小标宋" w:cs="Times New Roman"/>
          <w:bCs/>
          <w:kern w:val="0"/>
          <w:sz w:val="44"/>
          <w:szCs w:val="44"/>
        </w:rPr>
        <w:t>环翠区农村生活污水治理工作进度汇总表</w:t>
      </w:r>
    </w:p>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文星简小标宋" w:cs="Times New Roman"/>
          <w:bCs/>
          <w:kern w:val="0"/>
          <w:sz w:val="44"/>
          <w:szCs w:val="44"/>
        </w:rPr>
      </w:pP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46"/>
        <w:gridCol w:w="1410"/>
        <w:gridCol w:w="2280"/>
        <w:gridCol w:w="2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274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bCs/>
                <w:color w:val="000000"/>
                <w:sz w:val="22"/>
                <w:szCs w:val="21"/>
              </w:rPr>
            </w:pPr>
            <w:r>
              <w:rPr>
                <w:rFonts w:hint="default" w:ascii="Times New Roman" w:hAnsi="Times New Roman" w:eastAsia="黑体" w:cs="Times New Roman"/>
                <w:bCs/>
                <w:color w:val="000000"/>
                <w:sz w:val="22"/>
                <w:szCs w:val="21"/>
              </w:rPr>
              <w:t>村庄类别</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bCs/>
                <w:color w:val="000000"/>
                <w:sz w:val="22"/>
                <w:szCs w:val="21"/>
              </w:rPr>
            </w:pPr>
            <w:r>
              <w:rPr>
                <w:rFonts w:hint="default" w:ascii="Times New Roman" w:hAnsi="Times New Roman" w:eastAsia="黑体" w:cs="Times New Roman"/>
                <w:bCs/>
                <w:color w:val="000000"/>
                <w:sz w:val="22"/>
                <w:szCs w:val="21"/>
              </w:rPr>
              <w:t>年度</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bCs/>
                <w:color w:val="000000"/>
                <w:sz w:val="22"/>
                <w:szCs w:val="21"/>
              </w:rPr>
            </w:pPr>
            <w:r>
              <w:rPr>
                <w:rFonts w:hint="default" w:ascii="Times New Roman" w:hAnsi="Times New Roman" w:eastAsia="黑体" w:cs="Times New Roman"/>
                <w:bCs/>
                <w:color w:val="000000"/>
                <w:sz w:val="22"/>
                <w:szCs w:val="21"/>
              </w:rPr>
              <w:t>对生活污水进行处理的行政村数量</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黑体" w:cs="Times New Roman"/>
                <w:bCs/>
                <w:color w:val="000000"/>
                <w:sz w:val="22"/>
                <w:szCs w:val="21"/>
              </w:rPr>
            </w:pPr>
            <w:r>
              <w:rPr>
                <w:rFonts w:hint="default" w:ascii="Times New Roman" w:hAnsi="Times New Roman" w:eastAsia="黑体" w:cs="Times New Roman"/>
                <w:bCs/>
                <w:color w:val="000000"/>
                <w:sz w:val="22"/>
                <w:szCs w:val="21"/>
              </w:rPr>
              <w:t>对生活污水进行处理的行政村占本类别村庄的比例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restart"/>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生态敏感区范围内（南水北调东线核心保护区、重点保护区和一般保护区，饮用水水源地一、二级保护区和准保护区）（无）</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2021年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2022年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2023年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2024年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2025年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重点关注区范围内（环渤海区域）（无）</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2021年</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2022年</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2023年</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2024年</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2025年</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2280"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restart"/>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试点示范区范围内（乡村振兴“十百千”工程、美丽乡村、农村生活污水连片治理示范区、美丽村居建设省级试点、旅游特色村等）</w:t>
            </w:r>
          </w:p>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（4个）</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2021年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2022年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2023年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2024年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2025年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4</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11.42%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4</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rPr>
            </w:pPr>
            <w:r>
              <w:rPr>
                <w:rFonts w:hint="default" w:ascii="Times New Roman" w:hAnsi="Times New Roman" w:eastAsia="仿宋_GB2312" w:cs="Times New Roman"/>
                <w:color w:val="000000"/>
                <w:sz w:val="22"/>
                <w:szCs w:val="21"/>
              </w:rPr>
              <w:t>11.42%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restart"/>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其他村庄（52个）</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2021年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12</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23.07%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2022年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17.31%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2023年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13</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2024年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26.92%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2025年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4</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52</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restart"/>
            <w:vAlign w:val="center"/>
          </w:tcPr>
          <w:p>
            <w:pPr>
              <w:keepNext w:val="0"/>
              <w:keepLines w:val="0"/>
              <w:pageBreakBefore w:val="0"/>
              <w:kinsoku/>
              <w:wordWrap/>
              <w:overflowPunct/>
              <w:topLinePunct w:val="0"/>
              <w:bidi w:val="0"/>
              <w:snapToGrid/>
              <w:spacing w:line="600" w:lineRule="exact"/>
              <w:ind w:left="0" w:leftChars="0"/>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汇总（全区2025年前纳入处理的村庄共计56个）</w:t>
            </w: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2021年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12</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2022年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9</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16.07%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2023年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13</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2024年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2025年</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8</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14.29%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2746" w:type="dxa"/>
            <w:vMerge w:val="continue"/>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p>
        </w:tc>
        <w:tc>
          <w:tcPr>
            <w:tcW w:w="141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合计</w:t>
            </w:r>
          </w:p>
        </w:tc>
        <w:tc>
          <w:tcPr>
            <w:tcW w:w="2280"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56</w:t>
            </w:r>
          </w:p>
        </w:tc>
        <w:tc>
          <w:tcPr>
            <w:tcW w:w="2086" w:type="dxa"/>
            <w:vAlign w:val="center"/>
          </w:tcPr>
          <w:p>
            <w:pPr>
              <w:keepNext w:val="0"/>
              <w:keepLines w:val="0"/>
              <w:pageBreakBefore w:val="0"/>
              <w:kinsoku/>
              <w:wordWrap/>
              <w:overflowPunct/>
              <w:topLinePunct w:val="0"/>
              <w:bidi w:val="0"/>
              <w:snapToGrid/>
              <w:spacing w:line="600" w:lineRule="exact"/>
              <w:ind w:left="0" w:leftChars="0"/>
              <w:jc w:val="center"/>
              <w:rPr>
                <w:rFonts w:hint="default" w:ascii="Times New Roman" w:hAnsi="Times New Roman" w:eastAsia="仿宋_GB2312" w:cs="Times New Roman"/>
                <w:color w:val="000000"/>
                <w:sz w:val="22"/>
                <w:szCs w:val="21"/>
              </w:rPr>
            </w:pPr>
            <w:r>
              <w:rPr>
                <w:rFonts w:hint="default" w:ascii="Times New Roman" w:hAnsi="Times New Roman" w:eastAsia="仿宋_GB2312" w:cs="Times New Roman"/>
                <w:color w:val="000000"/>
                <w:sz w:val="22"/>
                <w:szCs w:val="21"/>
              </w:rPr>
              <w:t>100%</w:t>
            </w:r>
          </w:p>
        </w:tc>
      </w:tr>
    </w:tbl>
    <w:p>
      <w:pPr>
        <w:keepNext w:val="0"/>
        <w:keepLines w:val="0"/>
        <w:pageBreakBefore w:val="0"/>
        <w:kinsoku/>
        <w:wordWrap/>
        <w:overflowPunct/>
        <w:topLinePunct w:val="0"/>
        <w:bidi w:val="0"/>
        <w:snapToGrid/>
        <w:spacing w:line="600" w:lineRule="exact"/>
        <w:ind w:left="0" w:leftChars="0"/>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80" w:lineRule="exact"/>
        <w:ind w:right="-2"/>
        <w:jc w:val="left"/>
        <w:textAlignment w:val="auto"/>
        <w:rPr>
          <w:rFonts w:hint="default" w:ascii="Times New Roman" w:hAnsi="Times New Roman" w:cs="Times New Roman"/>
        </w:rPr>
      </w:pPr>
    </w:p>
    <w:sectPr>
      <w:headerReference r:id="rId3" w:type="default"/>
      <w:footerReference r:id="rId4" w:type="default"/>
      <w:pgSz w:w="11906" w:h="16838"/>
      <w:pgMar w:top="1701" w:right="1417" w:bottom="1701" w:left="1417" w:header="851" w:footer="1474"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Calibri Light">
    <w:altName w:val="DejaVu Sans"/>
    <w:panose1 w:val="020F0302020204030204"/>
    <w:charset w:val="00"/>
    <w:family w:val="swiss"/>
    <w:pitch w:val="default"/>
    <w:sig w:usb0="00000000" w:usb1="00000000" w:usb2="00000000" w:usb3="00000000" w:csb0="2000019F" w:csb1="00000000"/>
  </w:font>
  <w:font w:name="文星简小标宋">
    <w:altName w:val="方正小标宋_GBK"/>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Microsoft Yahei">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6A6"/>
    <w:rsid w:val="00002FD3"/>
    <w:rsid w:val="000616A6"/>
    <w:rsid w:val="00065B83"/>
    <w:rsid w:val="001772D1"/>
    <w:rsid w:val="001D5FFA"/>
    <w:rsid w:val="00216473"/>
    <w:rsid w:val="00233B29"/>
    <w:rsid w:val="0031700B"/>
    <w:rsid w:val="00345EEA"/>
    <w:rsid w:val="003C07EC"/>
    <w:rsid w:val="00445809"/>
    <w:rsid w:val="004903B2"/>
    <w:rsid w:val="006454B6"/>
    <w:rsid w:val="00660979"/>
    <w:rsid w:val="0067263E"/>
    <w:rsid w:val="006B0A10"/>
    <w:rsid w:val="00725B04"/>
    <w:rsid w:val="0077288B"/>
    <w:rsid w:val="00796024"/>
    <w:rsid w:val="007A16A0"/>
    <w:rsid w:val="00846796"/>
    <w:rsid w:val="008A4F21"/>
    <w:rsid w:val="008A62E2"/>
    <w:rsid w:val="008C4B79"/>
    <w:rsid w:val="00923FCB"/>
    <w:rsid w:val="00955FE4"/>
    <w:rsid w:val="00956046"/>
    <w:rsid w:val="009F6744"/>
    <w:rsid w:val="00B07B1F"/>
    <w:rsid w:val="00B4017A"/>
    <w:rsid w:val="00B87BEC"/>
    <w:rsid w:val="00BC03A8"/>
    <w:rsid w:val="00BD3EA3"/>
    <w:rsid w:val="00C267F9"/>
    <w:rsid w:val="00CD6888"/>
    <w:rsid w:val="00D45B05"/>
    <w:rsid w:val="00D524E3"/>
    <w:rsid w:val="00D739BB"/>
    <w:rsid w:val="00D76A2F"/>
    <w:rsid w:val="00E05EF4"/>
    <w:rsid w:val="00E4439E"/>
    <w:rsid w:val="00E55D71"/>
    <w:rsid w:val="00EA0957"/>
    <w:rsid w:val="00F807B2"/>
    <w:rsid w:val="0DFFA191"/>
    <w:rsid w:val="2D0111DE"/>
    <w:rsid w:val="3D8E2FEB"/>
    <w:rsid w:val="561E2348"/>
    <w:rsid w:val="67774796"/>
    <w:rsid w:val="7ECF8639"/>
    <w:rsid w:val="7FB861E9"/>
    <w:rsid w:val="C6BCDE25"/>
    <w:rsid w:val="E7DBF735"/>
    <w:rsid w:val="F746958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6">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7">
    <w:name w:val="heading 3"/>
    <w:basedOn w:val="1"/>
    <w:next w:val="1"/>
    <w:link w:val="28"/>
    <w:qFormat/>
    <w:uiPriority w:val="0"/>
    <w:pPr>
      <w:keepNext/>
      <w:keepLines/>
      <w:widowControl/>
      <w:adjustRightInd w:val="0"/>
      <w:snapToGrid w:val="0"/>
      <w:spacing w:beforeLines="50" w:afterLines="50" w:line="360" w:lineRule="auto"/>
      <w:jc w:val="left"/>
      <w:outlineLvl w:val="2"/>
    </w:pPr>
    <w:rPr>
      <w:b/>
      <w:bCs/>
      <w:kern w:val="0"/>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40"/>
    <w:unhideWhenUsed/>
    <w:qFormat/>
    <w:uiPriority w:val="99"/>
    <w:pPr>
      <w:pBdr>
        <w:bottom w:val="single" w:color="auto" w:sz="6" w:space="1"/>
      </w:pBdr>
      <w:tabs>
        <w:tab w:val="center" w:pos="4153"/>
        <w:tab w:val="right" w:pos="8306"/>
      </w:tabs>
      <w:snapToGrid w:val="0"/>
      <w:jc w:val="center"/>
    </w:pPr>
    <w:rPr>
      <w:rFonts w:ascii="Calibri" w:hAnsi="Calibri"/>
      <w:sz w:val="18"/>
      <w:szCs w:val="18"/>
    </w:rPr>
  </w:style>
  <w:style w:type="paragraph" w:styleId="5">
    <w:name w:val="footer"/>
    <w:basedOn w:val="1"/>
    <w:next w:val="1"/>
    <w:link w:val="39"/>
    <w:unhideWhenUsed/>
    <w:qFormat/>
    <w:uiPriority w:val="0"/>
    <w:pPr>
      <w:tabs>
        <w:tab w:val="center" w:pos="4153"/>
        <w:tab w:val="right" w:pos="8306"/>
      </w:tabs>
      <w:snapToGrid w:val="0"/>
      <w:jc w:val="left"/>
    </w:pPr>
    <w:rPr>
      <w:rFonts w:ascii="Calibri" w:hAnsi="Calibri"/>
      <w:sz w:val="18"/>
      <w:szCs w:val="18"/>
    </w:rPr>
  </w:style>
  <w:style w:type="paragraph" w:styleId="8">
    <w:name w:val="Document Map"/>
    <w:basedOn w:val="1"/>
    <w:link w:val="36"/>
    <w:unhideWhenUsed/>
    <w:qFormat/>
    <w:uiPriority w:val="99"/>
    <w:rPr>
      <w:rFonts w:ascii="宋体" w:hAnsi="Calibri" w:eastAsiaTheme="minorEastAsia"/>
      <w:sz w:val="18"/>
      <w:szCs w:val="18"/>
    </w:rPr>
  </w:style>
  <w:style w:type="paragraph" w:styleId="9">
    <w:name w:val="annotation text"/>
    <w:basedOn w:val="1"/>
    <w:link w:val="38"/>
    <w:unhideWhenUsed/>
    <w:qFormat/>
    <w:uiPriority w:val="99"/>
    <w:pPr>
      <w:jc w:val="left"/>
    </w:pPr>
    <w:rPr>
      <w:rFonts w:ascii="Calibri" w:hAnsi="Calibri"/>
    </w:rPr>
  </w:style>
  <w:style w:type="paragraph" w:styleId="10">
    <w:name w:val="Body Text"/>
    <w:basedOn w:val="1"/>
    <w:unhideWhenUsed/>
    <w:qFormat/>
    <w:uiPriority w:val="1"/>
    <w:pPr>
      <w:spacing w:before="31"/>
      <w:ind w:left="108" w:firstLine="638"/>
    </w:pPr>
    <w:rPr>
      <w:rFonts w:hint="eastAsia" w:ascii="宋体" w:hAnsi="宋体"/>
      <w:sz w:val="32"/>
      <w:szCs w:val="24"/>
    </w:rPr>
  </w:style>
  <w:style w:type="paragraph" w:styleId="11">
    <w:name w:val="Block Text"/>
    <w:basedOn w:val="1"/>
    <w:qFormat/>
    <w:uiPriority w:val="0"/>
    <w:pPr>
      <w:ind w:left="584" w:leftChars="101" w:right="100" w:rightChars="100" w:hanging="483" w:hangingChars="483"/>
    </w:pPr>
    <w:rPr>
      <w:rFonts w:eastAsia="仿宋_GB2312"/>
      <w:sz w:val="32"/>
    </w:rPr>
  </w:style>
  <w:style w:type="paragraph" w:styleId="12">
    <w:name w:val="toc 3"/>
    <w:basedOn w:val="1"/>
    <w:next w:val="1"/>
    <w:unhideWhenUsed/>
    <w:qFormat/>
    <w:uiPriority w:val="39"/>
    <w:pPr>
      <w:widowControl/>
      <w:spacing w:after="100" w:line="259" w:lineRule="auto"/>
      <w:ind w:left="440"/>
      <w:jc w:val="left"/>
    </w:pPr>
    <w:rPr>
      <w:kern w:val="0"/>
      <w:sz w:val="22"/>
    </w:rPr>
  </w:style>
  <w:style w:type="paragraph" w:styleId="13">
    <w:name w:val="Balloon Text"/>
    <w:basedOn w:val="1"/>
    <w:link w:val="37"/>
    <w:unhideWhenUsed/>
    <w:qFormat/>
    <w:uiPriority w:val="99"/>
    <w:rPr>
      <w:rFonts w:ascii="Calibri" w:hAnsi="Calibri"/>
      <w:sz w:val="18"/>
      <w:szCs w:val="18"/>
    </w:rPr>
  </w:style>
  <w:style w:type="paragraph" w:styleId="14">
    <w:name w:val="toc 1"/>
    <w:basedOn w:val="1"/>
    <w:next w:val="1"/>
    <w:unhideWhenUsed/>
    <w:qFormat/>
    <w:uiPriority w:val="39"/>
    <w:pPr>
      <w:widowControl/>
      <w:jc w:val="left"/>
    </w:pPr>
    <w:rPr>
      <w:rFonts w:eastAsia="仿宋_GB2312"/>
      <w:b/>
      <w:kern w:val="0"/>
      <w:sz w:val="28"/>
    </w:rPr>
  </w:style>
  <w:style w:type="paragraph" w:styleId="15">
    <w:name w:val="toc 2"/>
    <w:basedOn w:val="1"/>
    <w:next w:val="1"/>
    <w:unhideWhenUsed/>
    <w:qFormat/>
    <w:uiPriority w:val="39"/>
    <w:pPr>
      <w:widowControl/>
      <w:spacing w:after="100" w:line="259" w:lineRule="auto"/>
      <w:ind w:left="220"/>
      <w:jc w:val="left"/>
    </w:pPr>
    <w:rPr>
      <w:kern w:val="0"/>
      <w:sz w:val="22"/>
    </w:rPr>
  </w:style>
  <w:style w:type="paragraph" w:styleId="16">
    <w:name w:val="Normal (Web)"/>
    <w:basedOn w:val="1"/>
    <w:unhideWhenUsed/>
    <w:qFormat/>
    <w:uiPriority w:val="0"/>
    <w:pPr>
      <w:spacing w:beforeAutospacing="1" w:afterAutospacing="1"/>
      <w:jc w:val="left"/>
    </w:pPr>
    <w:rPr>
      <w:kern w:val="0"/>
      <w:sz w:val="24"/>
    </w:rPr>
  </w:style>
  <w:style w:type="paragraph" w:styleId="17">
    <w:name w:val="annotation subject"/>
    <w:basedOn w:val="9"/>
    <w:next w:val="9"/>
    <w:link w:val="41"/>
    <w:unhideWhenUsed/>
    <w:qFormat/>
    <w:uiPriority w:val="99"/>
    <w:rPr>
      <w:b/>
      <w:bCs/>
    </w:rPr>
  </w:style>
  <w:style w:type="table" w:styleId="19">
    <w:name w:val="Table Grid"/>
    <w:basedOn w:val="18"/>
    <w:qFormat/>
    <w:uiPriority w:val="59"/>
    <w:rPr>
      <w:rFonts w:ascii="Times New Roman" w:hAnsi="Times New Roman" w:eastAsia="微软雅黑" w:cs="Times New Roman"/>
      <w:sz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page number"/>
    <w:basedOn w:val="20"/>
    <w:qFormat/>
    <w:uiPriority w:val="0"/>
  </w:style>
  <w:style w:type="character" w:styleId="22">
    <w:name w:val="FollowedHyperlink"/>
    <w:basedOn w:val="20"/>
    <w:unhideWhenUsed/>
    <w:qFormat/>
    <w:uiPriority w:val="99"/>
    <w:rPr>
      <w:color w:val="333333"/>
      <w:u w:val="none"/>
    </w:rPr>
  </w:style>
  <w:style w:type="character" w:styleId="23">
    <w:name w:val="Emphasis"/>
    <w:basedOn w:val="20"/>
    <w:qFormat/>
    <w:uiPriority w:val="20"/>
  </w:style>
  <w:style w:type="character" w:styleId="24">
    <w:name w:val="Hyperlink"/>
    <w:unhideWhenUsed/>
    <w:qFormat/>
    <w:uiPriority w:val="99"/>
    <w:rPr>
      <w:color w:val="0563C1"/>
      <w:u w:val="single"/>
    </w:rPr>
  </w:style>
  <w:style w:type="character" w:styleId="25">
    <w:name w:val="annotation reference"/>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character" w:customStyle="1" w:styleId="27">
    <w:name w:val="标题 1 Char"/>
    <w:basedOn w:val="20"/>
    <w:link w:val="6"/>
    <w:qFormat/>
    <w:uiPriority w:val="9"/>
    <w:rPr>
      <w:rFonts w:ascii="Times New Roman" w:hAnsi="Times New Roman" w:eastAsia="宋体" w:cs="Times New Roman"/>
      <w:b/>
      <w:bCs/>
      <w:kern w:val="44"/>
      <w:sz w:val="44"/>
      <w:szCs w:val="44"/>
    </w:rPr>
  </w:style>
  <w:style w:type="character" w:customStyle="1" w:styleId="28">
    <w:name w:val="标题 3 Char"/>
    <w:basedOn w:val="20"/>
    <w:link w:val="7"/>
    <w:qFormat/>
    <w:uiPriority w:val="0"/>
    <w:rPr>
      <w:rFonts w:ascii="Times New Roman" w:hAnsi="Times New Roman" w:eastAsia="宋体" w:cs="Times New Roman"/>
      <w:b/>
      <w:bCs/>
      <w:kern w:val="0"/>
      <w:sz w:val="32"/>
      <w:szCs w:val="32"/>
    </w:rPr>
  </w:style>
  <w:style w:type="character" w:customStyle="1" w:styleId="29">
    <w:name w:val="文档结构图 Char"/>
    <w:link w:val="8"/>
    <w:qFormat/>
    <w:uiPriority w:val="99"/>
    <w:rPr>
      <w:rFonts w:ascii="宋体" w:hAnsi="Calibri" w:cs="Times New Roman"/>
      <w:sz w:val="18"/>
      <w:szCs w:val="18"/>
    </w:rPr>
  </w:style>
  <w:style w:type="character" w:customStyle="1" w:styleId="30">
    <w:name w:val="页脚 Char"/>
    <w:link w:val="5"/>
    <w:qFormat/>
    <w:uiPriority w:val="0"/>
    <w:rPr>
      <w:rFonts w:ascii="Calibri" w:hAnsi="Calibri" w:eastAsia="宋体" w:cs="Times New Roman"/>
      <w:sz w:val="18"/>
      <w:szCs w:val="18"/>
    </w:rPr>
  </w:style>
  <w:style w:type="character" w:customStyle="1" w:styleId="31">
    <w:name w:val="批注主题 Char"/>
    <w:link w:val="17"/>
    <w:qFormat/>
    <w:uiPriority w:val="99"/>
    <w:rPr>
      <w:rFonts w:ascii="Calibri" w:hAnsi="Calibri" w:eastAsia="宋体" w:cs="Times New Roman"/>
      <w:b/>
      <w:bCs/>
    </w:rPr>
  </w:style>
  <w:style w:type="character" w:customStyle="1" w:styleId="32">
    <w:name w:val="页眉 Char"/>
    <w:link w:val="4"/>
    <w:qFormat/>
    <w:uiPriority w:val="99"/>
    <w:rPr>
      <w:rFonts w:ascii="Calibri" w:hAnsi="Calibri" w:eastAsia="宋体" w:cs="Times New Roman"/>
      <w:sz w:val="18"/>
      <w:szCs w:val="18"/>
    </w:rPr>
  </w:style>
  <w:style w:type="character" w:customStyle="1" w:styleId="33">
    <w:name w:val="批注框文本 Char"/>
    <w:link w:val="13"/>
    <w:qFormat/>
    <w:uiPriority w:val="99"/>
    <w:rPr>
      <w:rFonts w:ascii="Calibri" w:hAnsi="Calibri" w:eastAsia="宋体" w:cs="Times New Roman"/>
      <w:sz w:val="18"/>
      <w:szCs w:val="18"/>
    </w:rPr>
  </w:style>
  <w:style w:type="character" w:customStyle="1" w:styleId="34">
    <w:name w:val="bsharetext"/>
    <w:basedOn w:val="20"/>
    <w:qFormat/>
    <w:uiPriority w:val="0"/>
  </w:style>
  <w:style w:type="character" w:customStyle="1" w:styleId="35">
    <w:name w:val="批注文字 Char"/>
    <w:link w:val="9"/>
    <w:qFormat/>
    <w:uiPriority w:val="99"/>
    <w:rPr>
      <w:rFonts w:ascii="Calibri" w:hAnsi="Calibri" w:eastAsia="宋体" w:cs="Times New Roman"/>
    </w:rPr>
  </w:style>
  <w:style w:type="character" w:customStyle="1" w:styleId="36">
    <w:name w:val="文档结构图 Char1"/>
    <w:basedOn w:val="20"/>
    <w:link w:val="8"/>
    <w:semiHidden/>
    <w:qFormat/>
    <w:uiPriority w:val="99"/>
    <w:rPr>
      <w:rFonts w:ascii="宋体" w:hAnsi="Times New Roman" w:eastAsia="宋体" w:cs="Times New Roman"/>
      <w:sz w:val="18"/>
      <w:szCs w:val="18"/>
    </w:rPr>
  </w:style>
  <w:style w:type="character" w:customStyle="1" w:styleId="37">
    <w:name w:val="批注框文本 Char1"/>
    <w:basedOn w:val="20"/>
    <w:link w:val="13"/>
    <w:semiHidden/>
    <w:qFormat/>
    <w:uiPriority w:val="99"/>
    <w:rPr>
      <w:rFonts w:ascii="Times New Roman" w:hAnsi="Times New Roman" w:eastAsia="宋体" w:cs="Times New Roman"/>
      <w:sz w:val="18"/>
      <w:szCs w:val="18"/>
    </w:rPr>
  </w:style>
  <w:style w:type="character" w:customStyle="1" w:styleId="38">
    <w:name w:val="批注文字 Char1"/>
    <w:basedOn w:val="20"/>
    <w:link w:val="9"/>
    <w:semiHidden/>
    <w:qFormat/>
    <w:uiPriority w:val="99"/>
    <w:rPr>
      <w:rFonts w:ascii="Times New Roman" w:hAnsi="Times New Roman" w:eastAsia="宋体" w:cs="Times New Roman"/>
    </w:rPr>
  </w:style>
  <w:style w:type="character" w:customStyle="1" w:styleId="39">
    <w:name w:val="页脚 Char1"/>
    <w:basedOn w:val="20"/>
    <w:link w:val="5"/>
    <w:semiHidden/>
    <w:qFormat/>
    <w:uiPriority w:val="99"/>
    <w:rPr>
      <w:rFonts w:ascii="Times New Roman" w:hAnsi="Times New Roman" w:eastAsia="宋体" w:cs="Times New Roman"/>
      <w:sz w:val="18"/>
      <w:szCs w:val="18"/>
    </w:rPr>
  </w:style>
  <w:style w:type="character" w:customStyle="1" w:styleId="40">
    <w:name w:val="页眉 Char1"/>
    <w:basedOn w:val="20"/>
    <w:link w:val="4"/>
    <w:semiHidden/>
    <w:qFormat/>
    <w:uiPriority w:val="99"/>
    <w:rPr>
      <w:rFonts w:ascii="Times New Roman" w:hAnsi="Times New Roman" w:eastAsia="宋体" w:cs="Times New Roman"/>
      <w:sz w:val="18"/>
      <w:szCs w:val="18"/>
    </w:rPr>
  </w:style>
  <w:style w:type="character" w:customStyle="1" w:styleId="41">
    <w:name w:val="批注主题 Char1"/>
    <w:basedOn w:val="38"/>
    <w:link w:val="17"/>
    <w:semiHidden/>
    <w:qFormat/>
    <w:uiPriority w:val="99"/>
    <w:rPr>
      <w:b/>
      <w:bCs/>
    </w:rPr>
  </w:style>
  <w:style w:type="paragraph" w:customStyle="1" w:styleId="42">
    <w:name w:val="TOC 标题1"/>
    <w:basedOn w:val="6"/>
    <w:next w:val="1"/>
    <w:unhideWhenUsed/>
    <w:qFormat/>
    <w:uiPriority w:val="39"/>
    <w:pPr>
      <w:widowControl/>
      <w:spacing w:before="240" w:after="0" w:line="259" w:lineRule="auto"/>
      <w:jc w:val="left"/>
      <w:outlineLvl w:val="9"/>
    </w:pPr>
    <w:rPr>
      <w:rFonts w:ascii="Calibri Light" w:hAnsi="Calibri Light"/>
      <w:b w:val="0"/>
      <w:bCs w:val="0"/>
      <w:color w:val="2E75B5"/>
      <w:kern w:val="0"/>
      <w:sz w:val="32"/>
      <w:szCs w:val="32"/>
    </w:rPr>
  </w:style>
  <w:style w:type="paragraph" w:customStyle="1" w:styleId="43">
    <w:name w:val="_Style 4"/>
    <w:basedOn w:val="1"/>
    <w:qFormat/>
    <w:uiPriority w:val="0"/>
    <w:pPr>
      <w:snapToGrid w:val="0"/>
      <w:spacing w:line="360" w:lineRule="auto"/>
      <w:ind w:firstLine="200" w:firstLineChars="200"/>
    </w:pPr>
  </w:style>
  <w:style w:type="paragraph" w:customStyle="1" w:styleId="44">
    <w:name w:val="默认段落字体 Para Char Char Char Char Char Char Char"/>
    <w:basedOn w:val="1"/>
    <w:qFormat/>
    <w:uiPriority w:val="0"/>
    <w:rPr>
      <w:rFonts w:ascii="Calibri" w:hAnsi="Calibri"/>
      <w:szCs w:val="24"/>
    </w:rPr>
  </w:style>
  <w:style w:type="paragraph" w:customStyle="1" w:styleId="45">
    <w:name w:val="列出段落1"/>
    <w:basedOn w:val="1"/>
    <w:qFormat/>
    <w:uiPriority w:val="34"/>
    <w:pPr>
      <w:ind w:firstLine="420" w:firstLineChars="200"/>
    </w:pPr>
  </w:style>
  <w:style w:type="table" w:customStyle="1" w:styleId="46">
    <w:name w:val="网格型1"/>
    <w:basedOn w:val="18"/>
    <w:qFormat/>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21</Pages>
  <Words>6311</Words>
  <Characters>7185</Characters>
  <Lines>57</Lines>
  <Paragraphs>16</Paragraphs>
  <TotalTime>13</TotalTime>
  <ScaleCrop>false</ScaleCrop>
  <LinksUpToDate>false</LinksUpToDate>
  <CharactersWithSpaces>7249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2022-06-28T15:06:00Z</dcterms:created>
  <dc:creator>Windows User</dc:creator>
  <cp:lastModifiedBy>WPS_1528096066</cp:lastModifiedBy>
  <cp:lastPrinted>2022-07-06T11:07:00Z</cp:lastPrinted>
  <dcterms:modified xsi:type="dcterms:W3CDTF">2022-11-15T10:36:03Z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