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880" w:firstLineChars="200"/>
        <w:jc w:val="center"/>
        <w:textAlignment w:val="auto"/>
        <w:rPr>
          <w:rFonts w:hint="default" w:ascii="Times New Roman" w:hAnsi="Times New Roman" w:eastAsia="文星简小标宋" w:cs="Times New Roman"/>
          <w:b w:val="0"/>
          <w:bCs/>
          <w:color w:val="000000"/>
          <w:kern w:val="2"/>
          <w:sz w:val="44"/>
          <w:szCs w:val="44"/>
          <w:lang w:val="en-US" w:eastAsia="zh-CN" w:bidi="ar-SA"/>
        </w:rPr>
      </w:pPr>
      <w:r>
        <w:rPr>
          <w:rFonts w:hint="default" w:ascii="Times New Roman" w:hAnsi="Times New Roman" w:eastAsia="文星简小标宋" w:cs="Times New Roman"/>
          <w:b w:val="0"/>
          <w:bCs/>
          <w:color w:val="000000"/>
          <w:kern w:val="2"/>
          <w:sz w:val="44"/>
          <w:szCs w:val="44"/>
          <w:lang w:val="en-US" w:eastAsia="zh-CN" w:bidi="ar-SA"/>
        </w:rPr>
        <w:t>威海市环翠区人民政府办公室</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880" w:firstLineChars="200"/>
        <w:jc w:val="center"/>
        <w:textAlignment w:val="auto"/>
        <w:rPr>
          <w:rFonts w:hint="default" w:ascii="Times New Roman" w:hAnsi="Times New Roman" w:eastAsia="文星简小标宋" w:cs="Times New Roman"/>
          <w:b w:val="0"/>
          <w:bCs/>
          <w:color w:val="000000"/>
          <w:kern w:val="2"/>
          <w:sz w:val="44"/>
          <w:szCs w:val="44"/>
          <w:lang w:val="en-US" w:eastAsia="zh-CN" w:bidi="ar-SA"/>
        </w:rPr>
      </w:pPr>
      <w:bookmarkStart w:id="14" w:name="_GoBack"/>
      <w:bookmarkEnd w:id="14"/>
      <w:r>
        <w:rPr>
          <w:rFonts w:hint="default" w:ascii="Times New Roman" w:hAnsi="Times New Roman" w:eastAsia="文星简小标宋" w:cs="Times New Roman"/>
          <w:b w:val="0"/>
          <w:bCs/>
          <w:color w:val="000000"/>
          <w:kern w:val="2"/>
          <w:sz w:val="44"/>
          <w:szCs w:val="44"/>
          <w:lang w:val="en-US" w:eastAsia="zh-CN" w:bidi="ar-SA"/>
        </w:rPr>
        <w:t>关于印发《环翠区农村生活污水治理实施方案（2022年修订版）》的通知</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540" w:firstLineChars="200"/>
        <w:jc w:val="both"/>
        <w:textAlignment w:val="auto"/>
        <w:rPr>
          <w:rFonts w:hint="default" w:ascii="Times New Roman" w:hAnsi="Times New Roman" w:cs="Times New Roman"/>
          <w:color w:val="333333"/>
          <w:sz w:val="27"/>
          <w:szCs w:val="27"/>
          <w:bdr w:val="none" w:color="auto" w:sz="0" w:space="0"/>
        </w:rPr>
      </w:pP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540" w:firstLineChars="200"/>
        <w:jc w:val="both"/>
        <w:textAlignment w:val="auto"/>
        <w:rPr>
          <w:rFonts w:hint="default" w:ascii="Times New Roman" w:hAnsi="Times New Roman" w:cs="Times New Roman"/>
          <w:color w:val="333333"/>
          <w:sz w:val="27"/>
          <w:szCs w:val="27"/>
          <w:bdr w:val="none" w:color="auto" w:sz="0" w:space="0"/>
        </w:rPr>
      </w:pP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bdr w:val="none" w:color="auto" w:sz="0" w:space="0"/>
        </w:rPr>
        <w:t>各镇政府、街道办事处，里口山管理服务中心，区政府各部门、单位：</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bdr w:val="none" w:color="auto" w:sz="0" w:space="0"/>
        </w:rPr>
        <w:t>《环翠区农村生活污水治理实施方案（2022年修订版）》已经区政府研究同意，现印发给你们，请认真抓好贯彻落实。</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right"/>
        <w:textAlignment w:val="auto"/>
        <w:rPr>
          <w:rFonts w:hint="default" w:ascii="Times New Roman" w:hAnsi="Times New Roman" w:eastAsia="仿宋_GB2312" w:cs="Times New Roman"/>
          <w:color w:val="auto"/>
          <w:sz w:val="32"/>
          <w:szCs w:val="32"/>
          <w:bdr w:val="none" w:color="auto" w:sz="0" w:space="0"/>
        </w:rPr>
      </w:pP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right"/>
        <w:textAlignment w:val="auto"/>
        <w:rPr>
          <w:rFonts w:hint="default" w:ascii="Times New Roman" w:hAnsi="Times New Roman" w:eastAsia="仿宋_GB2312" w:cs="Times New Roman"/>
          <w:color w:val="auto"/>
          <w:sz w:val="32"/>
          <w:szCs w:val="32"/>
          <w:bdr w:val="none" w:color="auto" w:sz="0" w:space="0"/>
        </w:rPr>
      </w:pPr>
      <w:r>
        <w:rPr>
          <w:rFonts w:hint="default" w:ascii="Times New Roman" w:hAnsi="Times New Roman" w:eastAsia="仿宋_GB2312" w:cs="Times New Roman"/>
          <w:color w:val="auto"/>
          <w:sz w:val="32"/>
          <w:szCs w:val="32"/>
          <w:bdr w:val="none" w:color="auto" w:sz="0" w:space="0"/>
        </w:rPr>
        <w:t>威海市环翠区人民政府办公室</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righ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bdr w:val="none" w:color="auto" w:sz="0" w:space="0"/>
        </w:rPr>
        <w:t>2022年4月30日</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bdr w:val="none" w:color="auto" w:sz="0" w:space="0"/>
        </w:rPr>
        <w:t>（此件公开发布）</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auto"/>
          <w:sz w:val="32"/>
          <w:szCs w:val="32"/>
        </w:rPr>
      </w:pPr>
    </w:p>
    <w:p>
      <w:pPr>
        <w:keepNext w:val="0"/>
        <w:keepLines w:val="0"/>
        <w:pageBreakBefore w:val="0"/>
        <w:kinsoku/>
        <w:wordWrap/>
        <w:overflowPunct/>
        <w:topLinePunct w:val="0"/>
        <w:autoSpaceDE/>
        <w:autoSpaceDN/>
        <w:bidi w:val="0"/>
        <w:adjustRightInd/>
        <w:snapToGrid/>
        <w:spacing w:line="580" w:lineRule="exact"/>
        <w:ind w:left="0" w:leftChars="0" w:firstLine="880" w:firstLineChars="200"/>
        <w:jc w:val="center"/>
        <w:textAlignment w:val="auto"/>
        <w:rPr>
          <w:rFonts w:hint="default" w:ascii="Times New Roman" w:hAnsi="Times New Roman" w:eastAsia="文星简小标宋" w:cs="Times New Roman"/>
          <w:bCs/>
          <w:color w:val="000000"/>
          <w:sz w:val="44"/>
          <w:szCs w:val="44"/>
        </w:rPr>
      </w:pPr>
    </w:p>
    <w:p>
      <w:pPr>
        <w:pStyle w:val="2"/>
        <w:rPr>
          <w:rFonts w:hint="default" w:ascii="Times New Roman" w:hAnsi="Times New Roman" w:eastAsia="文星简小标宋" w:cs="Times New Roman"/>
          <w:bCs/>
          <w:color w:val="000000"/>
          <w:sz w:val="44"/>
          <w:szCs w:val="44"/>
        </w:rPr>
      </w:pPr>
    </w:p>
    <w:p>
      <w:pPr>
        <w:pStyle w:val="2"/>
        <w:rPr>
          <w:rFonts w:hint="default" w:ascii="Times New Roman" w:hAnsi="Times New Roman" w:eastAsia="文星简小标宋" w:cs="Times New Roman"/>
          <w:bCs/>
          <w:color w:val="000000"/>
          <w:sz w:val="44"/>
          <w:szCs w:val="44"/>
        </w:rPr>
      </w:pPr>
    </w:p>
    <w:p>
      <w:pPr>
        <w:pStyle w:val="2"/>
        <w:rPr>
          <w:rFonts w:hint="default" w:ascii="Times New Roman" w:hAnsi="Times New Roman" w:eastAsia="文星简小标宋" w:cs="Times New Roman"/>
          <w:bCs/>
          <w:color w:val="000000"/>
          <w:sz w:val="44"/>
          <w:szCs w:val="44"/>
        </w:rPr>
      </w:pPr>
    </w:p>
    <w:p>
      <w:pPr>
        <w:pStyle w:val="2"/>
        <w:rPr>
          <w:rFonts w:hint="default" w:ascii="Times New Roman" w:hAnsi="Times New Roman" w:eastAsia="文星简小标宋" w:cs="Times New Roman"/>
          <w:bCs/>
          <w:color w:val="000000"/>
          <w:sz w:val="44"/>
          <w:szCs w:val="44"/>
        </w:rPr>
      </w:pPr>
    </w:p>
    <w:p>
      <w:pPr>
        <w:pStyle w:val="2"/>
        <w:rPr>
          <w:rFonts w:hint="default" w:ascii="Times New Roman" w:hAnsi="Times New Roman" w:eastAsia="文星简小标宋" w:cs="Times New Roman"/>
          <w:bCs/>
          <w:color w:val="000000"/>
          <w:sz w:val="44"/>
          <w:szCs w:val="44"/>
        </w:rPr>
      </w:pPr>
    </w:p>
    <w:p>
      <w:pPr>
        <w:pStyle w:val="2"/>
        <w:rPr>
          <w:rFonts w:hint="default" w:ascii="Times New Roman" w:hAnsi="Times New Roman" w:eastAsia="文星简小标宋" w:cs="Times New Roman"/>
          <w:bCs/>
          <w:color w:val="000000"/>
          <w:sz w:val="44"/>
          <w:szCs w:val="44"/>
        </w:rPr>
      </w:pPr>
    </w:p>
    <w:p>
      <w:pPr>
        <w:keepNext w:val="0"/>
        <w:keepLines w:val="0"/>
        <w:pageBreakBefore w:val="0"/>
        <w:kinsoku/>
        <w:wordWrap/>
        <w:overflowPunct/>
        <w:topLinePunct w:val="0"/>
        <w:autoSpaceDE/>
        <w:autoSpaceDN/>
        <w:bidi w:val="0"/>
        <w:adjustRightInd/>
        <w:snapToGrid/>
        <w:spacing w:line="580" w:lineRule="exact"/>
        <w:ind w:left="0" w:leftChars="0" w:firstLine="880" w:firstLineChars="200"/>
        <w:jc w:val="center"/>
        <w:textAlignment w:val="auto"/>
        <w:rPr>
          <w:rFonts w:hint="default" w:ascii="Times New Roman" w:hAnsi="Times New Roman" w:eastAsia="文星简小标宋" w:cs="Times New Roman"/>
          <w:bCs/>
          <w:color w:val="000000"/>
          <w:sz w:val="44"/>
          <w:szCs w:val="44"/>
        </w:rPr>
      </w:pPr>
    </w:p>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文星简小标宋" w:cs="Times New Roman"/>
          <w:bCs/>
          <w:color w:val="000000"/>
          <w:sz w:val="44"/>
          <w:szCs w:val="44"/>
        </w:rPr>
      </w:pPr>
      <w:r>
        <w:rPr>
          <w:rFonts w:hint="default" w:ascii="Times New Roman" w:hAnsi="Times New Roman" w:eastAsia="文星简小标宋" w:cs="Times New Roman"/>
          <w:bCs/>
          <w:color w:val="000000"/>
          <w:sz w:val="44"/>
          <w:szCs w:val="44"/>
        </w:rPr>
        <w:t>环翠区农村生活污水治理实施方案</w:t>
      </w:r>
    </w:p>
    <w:p>
      <w:pPr>
        <w:pStyle w:val="26"/>
        <w:keepNext w:val="0"/>
        <w:keepLines w:val="0"/>
        <w:pageBreakBefore w:val="0"/>
        <w:widowControl w:val="0"/>
        <w:kinsoku/>
        <w:wordWrap/>
        <w:overflowPunct/>
        <w:topLinePunct w:val="0"/>
        <w:autoSpaceDE w:val="0"/>
        <w:autoSpaceDN w:val="0"/>
        <w:bidi w:val="0"/>
        <w:adjustRightInd w:val="0"/>
        <w:snapToGrid/>
        <w:spacing w:line="600" w:lineRule="exact"/>
        <w:ind w:left="0" w:leftChars="0"/>
        <w:jc w:val="center"/>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（2022年修订版）</w:t>
      </w:r>
    </w:p>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文星简小标宋" w:cs="Times New Roman"/>
          <w:bCs/>
          <w:color w:val="000000"/>
          <w:sz w:val="44"/>
          <w:szCs w:val="44"/>
        </w:rPr>
      </w:pP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黑体" w:cs="Times New Roman"/>
          <w:bCs/>
          <w:color w:val="000000"/>
          <w:sz w:val="32"/>
          <w:szCs w:val="32"/>
        </w:rPr>
      </w:pPr>
      <w:r>
        <w:rPr>
          <w:rFonts w:hint="default" w:ascii="Times New Roman" w:hAnsi="Times New Roman" w:eastAsia="黑体" w:cs="Times New Roman"/>
          <w:bCs/>
          <w:color w:val="000000"/>
          <w:sz w:val="32"/>
          <w:szCs w:val="32"/>
        </w:rPr>
        <w:t>一、前言</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推进农村生活污水治理是加强农村环境保护的必然要求，是建设生态文明的重要任务，是保障和改善民生的迫切需要。全面实施乡村振兴战略，农村生态环境是重中之重，急需补足农村生活污水治理突出短板。农村生活污水治理既是难点，也是突破点和创新点。党中央、国务院出台的一系列重要文件对农村生活污水治理作出了重要部署，也为进一步推进农村生态环境保护指明了努力方向，提供了基本遵循和有力保障，标志着农村生态环境保护站在了新的起点，迎来了大有可为的机遇期。</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本方案以习近平新时代中国特色社会主义思想为指导，深入贯彻落实“绿水青山就是金山银山”理念，以普遍改善农村生态环境面貌、提高农民生活质量为目标，全面实施农村生活污水治理，加快改善农村基础设施条件，力争为推动乡村生态振兴、实现全面小康目标打下坚实的基础。</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黑体" w:cs="Times New Roman"/>
          <w:bCs/>
          <w:color w:val="000000"/>
          <w:sz w:val="32"/>
          <w:szCs w:val="32"/>
        </w:rPr>
      </w:pPr>
      <w:bookmarkStart w:id="0" w:name="_Toc16948134"/>
      <w:r>
        <w:rPr>
          <w:rFonts w:hint="default" w:ascii="Times New Roman" w:hAnsi="Times New Roman" w:eastAsia="黑体" w:cs="Times New Roman"/>
          <w:bCs/>
          <w:color w:val="000000"/>
          <w:sz w:val="32"/>
          <w:szCs w:val="32"/>
        </w:rPr>
        <w:t>二、总则</w:t>
      </w:r>
      <w:bookmarkEnd w:id="0"/>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楷体_GB2312" w:cs="Times New Roman"/>
          <w:sz w:val="32"/>
          <w:szCs w:val="32"/>
        </w:rPr>
      </w:pPr>
      <w:bookmarkStart w:id="1" w:name="_Toc16948136"/>
      <w:r>
        <w:rPr>
          <w:rFonts w:hint="default" w:ascii="Times New Roman" w:hAnsi="Times New Roman" w:eastAsia="楷体_GB2312" w:cs="Times New Roman"/>
          <w:sz w:val="32"/>
          <w:szCs w:val="32"/>
        </w:rPr>
        <w:t>（一）总体思路</w:t>
      </w:r>
      <w:bookmarkEnd w:id="1"/>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以习近平新时代中国特色社会主义思想为指导，按照治理与保护、保护与发展和谐统一的要求，秉持服务乡村振兴、服务绿色发展工作理念，全面贯彻落实农村生活污水治理相关政策。坚持统筹规划、突出重点、集中资金、整体推进、综合治理工作思路，解决突出农村生活污水问题，切实提高农村生产生活水平，改善农村环境质量，坚决打好农业农村污染治理攻坚战。</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楷体_GB2312" w:cs="Times New Roman"/>
          <w:sz w:val="32"/>
          <w:szCs w:val="32"/>
        </w:rPr>
      </w:pPr>
      <w:bookmarkStart w:id="2" w:name="_Toc16948137"/>
      <w:r>
        <w:rPr>
          <w:rFonts w:hint="default" w:ascii="Times New Roman" w:hAnsi="Times New Roman" w:eastAsia="楷体_GB2312" w:cs="Times New Roman"/>
          <w:sz w:val="32"/>
          <w:szCs w:val="32"/>
        </w:rPr>
        <w:t>（二）基本原则</w:t>
      </w:r>
      <w:bookmarkEnd w:id="2"/>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坚持突出重点，梯次推进。优先安排饮用水水源地准保护区周边农村地区生活污水处理设施建设，逐步实现全面覆盖。</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坚持因地制宜，分类治理。尊重各相关镇街区位和经济差异，充分利用农村现有基础条件，采用不同方式完善处理设施，分类治理农村生活污水。</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坚持建管并重，长效运行。对农村生活污水治理设施的建设、维护建立长效机制，确保农村生活污水治理设施“建得成、管得好、用得住”。</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楷体_GB2312" w:cs="Times New Roman"/>
          <w:sz w:val="32"/>
          <w:szCs w:val="32"/>
        </w:rPr>
      </w:pPr>
      <w:bookmarkStart w:id="3" w:name="_Toc16948138"/>
      <w:r>
        <w:rPr>
          <w:rFonts w:hint="default" w:ascii="Times New Roman" w:hAnsi="Times New Roman" w:eastAsia="楷体_GB2312" w:cs="Times New Roman"/>
          <w:sz w:val="32"/>
          <w:szCs w:val="32"/>
        </w:rPr>
        <w:t>（三）编制依据</w:t>
      </w:r>
      <w:bookmarkEnd w:id="3"/>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1.《中华人民共和国水污染防治法》（2015年修订）</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2.《农村生活污水处理项目建设与投资指南》（环发〔2013〕130号） </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3.《农村生活污水处理设施水污染物排放控制规范编制工作指南（试行）》（环办土壤函〔2019〕403号） </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4.《村庄整治技术规范》（GB 50445-2008） </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5.《农村生活污水处理工程技术标准》（GB/T 51347-2019）</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6.《地表水环境质量标准》（GB 3838-2002）</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7.《农田灌溉水质标准》（GB 5084-2005）</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8.《城镇污水处理厂污染物排放标准》（GB 18918-2002） </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9.《农村户厕卫生规范》（GB 19379-2012） </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10.《村庄污水处理设施技术规程》（CJJT 163-2011） </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11.《农村生活污水处理处置设施水污染物排放标准》（DB 37）</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12.《农村人居环境整治三年行动方案》（中办发〔2015〕31号）</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13.《农业农村污染治理攻坚战行动计划》（环土壤〔2018〕143号 ）</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14.《中央农村工作领导小组办公室 农业农村部 生态环境部 住房城乡建设部 水利部 科技部 国家发展改革委 财政部 银保监会关于推进农村生活污水治理的指导意见》（中农发〔2019〕14号）</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15.《山东省打好农业农村污染治理攻坚战作战方案（2018-2020年）》（鲁政办字〔2018〕247号）</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16.《山东省人民政府关于印发山东省落实&lt;水污染防治行动计划&gt;实施方案的通知》（鲁政发〔2015〕31号）</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17.《山东省农村生活污水治理行动方案》（鲁环发〔2019〕131号）</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黑体" w:cs="Times New Roman"/>
          <w:bCs/>
          <w:color w:val="000000"/>
          <w:sz w:val="32"/>
          <w:szCs w:val="32"/>
        </w:rPr>
      </w:pPr>
      <w:bookmarkStart w:id="4" w:name="_Toc16948140"/>
      <w:r>
        <w:rPr>
          <w:rFonts w:hint="default" w:ascii="Times New Roman" w:hAnsi="Times New Roman" w:eastAsia="黑体" w:cs="Times New Roman"/>
          <w:bCs/>
          <w:color w:val="000000"/>
          <w:sz w:val="32"/>
          <w:szCs w:val="32"/>
        </w:rPr>
        <w:t>三、范围、期限与目标</w:t>
      </w:r>
      <w:bookmarkEnd w:id="4"/>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楷体_GB2312" w:cs="Times New Roman"/>
          <w:sz w:val="32"/>
          <w:szCs w:val="32"/>
        </w:rPr>
      </w:pPr>
      <w:bookmarkStart w:id="5" w:name="_Toc16948141"/>
      <w:r>
        <w:rPr>
          <w:rFonts w:hint="default" w:ascii="Times New Roman" w:hAnsi="Times New Roman" w:eastAsia="楷体_GB2312" w:cs="Times New Roman"/>
          <w:sz w:val="32"/>
          <w:szCs w:val="32"/>
        </w:rPr>
        <w:t>（一）范围</w:t>
      </w:r>
      <w:bookmarkEnd w:id="5"/>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 w:cs="Times New Roman"/>
          <w:bCs/>
          <w:color w:val="000000"/>
          <w:sz w:val="32"/>
          <w:szCs w:val="32"/>
        </w:rPr>
      </w:pPr>
      <w:r>
        <w:rPr>
          <w:rFonts w:hint="default" w:ascii="Times New Roman" w:hAnsi="Times New Roman" w:eastAsia="仿宋_GB2312" w:cs="Times New Roman"/>
          <w:color w:val="000000"/>
          <w:sz w:val="32"/>
          <w:szCs w:val="32"/>
        </w:rPr>
        <w:t>环翠区所辖范围内目前尚未建设农村污水处理设施的行政村。</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楷体_GB2312" w:cs="Times New Roman"/>
          <w:sz w:val="32"/>
          <w:szCs w:val="32"/>
        </w:rPr>
      </w:pPr>
      <w:bookmarkStart w:id="6" w:name="_Toc16948142"/>
      <w:r>
        <w:rPr>
          <w:rFonts w:hint="default" w:ascii="Times New Roman" w:hAnsi="Times New Roman" w:eastAsia="楷体_GB2312" w:cs="Times New Roman"/>
          <w:sz w:val="32"/>
          <w:szCs w:val="32"/>
        </w:rPr>
        <w:t>（二）期限</w:t>
      </w:r>
      <w:bookmarkEnd w:id="6"/>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 w:cs="Times New Roman"/>
          <w:bCs/>
          <w:color w:val="000000"/>
          <w:sz w:val="32"/>
          <w:szCs w:val="32"/>
        </w:rPr>
      </w:pPr>
      <w:r>
        <w:rPr>
          <w:rFonts w:hint="default" w:ascii="Times New Roman" w:hAnsi="Times New Roman" w:eastAsia="仿宋_GB2312" w:cs="Times New Roman"/>
          <w:color w:val="000000"/>
          <w:sz w:val="32"/>
          <w:szCs w:val="32"/>
        </w:rPr>
        <w:t>2021年至2025年。</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楷体_GB2312" w:cs="Times New Roman"/>
          <w:sz w:val="32"/>
          <w:szCs w:val="32"/>
        </w:rPr>
      </w:pPr>
      <w:bookmarkStart w:id="7" w:name="_Toc16948143"/>
      <w:r>
        <w:rPr>
          <w:rFonts w:hint="default" w:ascii="Times New Roman" w:hAnsi="Times New Roman" w:eastAsia="楷体_GB2312" w:cs="Times New Roman"/>
          <w:sz w:val="32"/>
          <w:szCs w:val="32"/>
        </w:rPr>
        <w:t>（三）工作目标</w:t>
      </w:r>
      <w:bookmarkEnd w:id="7"/>
      <w:r>
        <w:rPr>
          <w:rFonts w:hint="default" w:ascii="Times New Roman" w:hAnsi="Times New Roman" w:eastAsia="楷体_GB2312" w:cs="Times New Roman"/>
          <w:sz w:val="32"/>
          <w:szCs w:val="32"/>
        </w:rPr>
        <w:t>及计划</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2021年新增完成12个行政村污水治理任务，全区57.41%的行政村完成生活污水治理任务。</w:t>
      </w:r>
    </w:p>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文星简小标宋" w:cs="Times New Roman"/>
          <w:bCs/>
          <w:sz w:val="32"/>
          <w:szCs w:val="32"/>
        </w:rPr>
      </w:pPr>
    </w:p>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文星简小标宋" w:cs="Times New Roman"/>
          <w:bCs/>
          <w:sz w:val="32"/>
          <w:szCs w:val="32"/>
        </w:rPr>
      </w:pPr>
      <w:r>
        <w:rPr>
          <w:rFonts w:hint="default" w:ascii="Times New Roman" w:hAnsi="Times New Roman" w:eastAsia="文星简小标宋" w:cs="Times New Roman"/>
          <w:bCs/>
          <w:sz w:val="32"/>
          <w:szCs w:val="32"/>
        </w:rPr>
        <w:t>表1   环翠区2021年农村生活污水治理完成情况</w:t>
      </w:r>
    </w:p>
    <w:tbl>
      <w:tblPr>
        <w:tblStyle w:val="18"/>
        <w:tblW w:w="88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8"/>
        <w:gridCol w:w="1193"/>
        <w:gridCol w:w="1830"/>
        <w:gridCol w:w="900"/>
        <w:gridCol w:w="1196"/>
        <w:gridCol w:w="1699"/>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608"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color w:val="000000"/>
                <w:sz w:val="22"/>
                <w:szCs w:val="21"/>
              </w:rPr>
            </w:pPr>
            <w:r>
              <w:rPr>
                <w:rFonts w:hint="default" w:ascii="Times New Roman" w:hAnsi="Times New Roman" w:eastAsia="黑体" w:cs="Times New Roman"/>
                <w:color w:val="000000"/>
                <w:sz w:val="22"/>
                <w:szCs w:val="21"/>
              </w:rPr>
              <w:t>序号</w:t>
            </w:r>
          </w:p>
        </w:tc>
        <w:tc>
          <w:tcPr>
            <w:tcW w:w="1193"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color w:val="000000"/>
                <w:sz w:val="22"/>
                <w:szCs w:val="21"/>
              </w:rPr>
            </w:pPr>
            <w:r>
              <w:rPr>
                <w:rFonts w:hint="default" w:ascii="Times New Roman" w:hAnsi="Times New Roman" w:eastAsia="黑体" w:cs="Times New Roman"/>
                <w:color w:val="000000"/>
                <w:kern w:val="0"/>
                <w:sz w:val="22"/>
                <w:szCs w:val="21"/>
              </w:rPr>
              <w:t>乡（镇、街道）</w:t>
            </w:r>
          </w:p>
        </w:tc>
        <w:tc>
          <w:tcPr>
            <w:tcW w:w="183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color w:val="000000"/>
                <w:sz w:val="22"/>
                <w:szCs w:val="21"/>
              </w:rPr>
            </w:pPr>
            <w:r>
              <w:rPr>
                <w:rFonts w:hint="default" w:ascii="Times New Roman" w:hAnsi="Times New Roman" w:eastAsia="黑体" w:cs="Times New Roman"/>
                <w:color w:val="000000"/>
                <w:sz w:val="22"/>
                <w:szCs w:val="21"/>
              </w:rPr>
              <w:t>完成生活污水治理任务的行政村数量</w:t>
            </w:r>
          </w:p>
        </w:tc>
        <w:tc>
          <w:tcPr>
            <w:tcW w:w="90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color w:val="000000"/>
                <w:sz w:val="22"/>
                <w:szCs w:val="21"/>
              </w:rPr>
            </w:pPr>
            <w:r>
              <w:rPr>
                <w:rFonts w:hint="default" w:ascii="Times New Roman" w:hAnsi="Times New Roman" w:eastAsia="黑体" w:cs="Times New Roman"/>
                <w:color w:val="000000"/>
                <w:sz w:val="22"/>
                <w:szCs w:val="21"/>
              </w:rPr>
              <w:t>受益人口数</w:t>
            </w:r>
          </w:p>
        </w:tc>
        <w:tc>
          <w:tcPr>
            <w:tcW w:w="1196"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color w:val="000000"/>
                <w:sz w:val="22"/>
                <w:szCs w:val="21"/>
              </w:rPr>
            </w:pPr>
            <w:r>
              <w:rPr>
                <w:rFonts w:hint="default" w:ascii="Times New Roman" w:hAnsi="Times New Roman" w:eastAsia="黑体" w:cs="Times New Roman"/>
                <w:color w:val="000000"/>
                <w:sz w:val="22"/>
                <w:szCs w:val="21"/>
              </w:rPr>
              <w:t>受益户数</w:t>
            </w:r>
          </w:p>
        </w:tc>
        <w:tc>
          <w:tcPr>
            <w:tcW w:w="1699"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color w:val="000000"/>
                <w:sz w:val="22"/>
                <w:szCs w:val="21"/>
              </w:rPr>
            </w:pPr>
            <w:r>
              <w:rPr>
                <w:rFonts w:hint="default" w:ascii="Times New Roman" w:hAnsi="Times New Roman" w:eastAsia="黑体" w:cs="Times New Roman"/>
                <w:color w:val="000000"/>
                <w:sz w:val="22"/>
                <w:szCs w:val="21"/>
              </w:rPr>
              <w:t>污水处理计划</w:t>
            </w:r>
          </w:p>
        </w:tc>
        <w:tc>
          <w:tcPr>
            <w:tcW w:w="1417"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color w:val="000000"/>
                <w:sz w:val="22"/>
                <w:szCs w:val="21"/>
              </w:rPr>
            </w:pPr>
            <w:r>
              <w:rPr>
                <w:rFonts w:hint="default" w:ascii="Times New Roman" w:hAnsi="Times New Roman" w:eastAsia="黑体" w:cs="Times New Roman"/>
                <w:color w:val="000000"/>
                <w:sz w:val="22"/>
                <w:szCs w:val="21"/>
              </w:rPr>
              <w:t>目标完成率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608"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1</w:t>
            </w:r>
          </w:p>
        </w:tc>
        <w:tc>
          <w:tcPr>
            <w:tcW w:w="1193"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羊亭镇</w:t>
            </w:r>
          </w:p>
        </w:tc>
        <w:tc>
          <w:tcPr>
            <w:tcW w:w="183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4</w:t>
            </w:r>
          </w:p>
        </w:tc>
        <w:tc>
          <w:tcPr>
            <w:tcW w:w="90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3663</w:t>
            </w:r>
          </w:p>
        </w:tc>
        <w:tc>
          <w:tcPr>
            <w:tcW w:w="1196"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1514</w:t>
            </w:r>
          </w:p>
        </w:tc>
        <w:tc>
          <w:tcPr>
            <w:tcW w:w="1699" w:type="dxa"/>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szCs w:val="21"/>
              </w:rPr>
              <w:t>采用建设农村生活污水处理站、纳入市政污水管网的方式，对生活污水进行收集处理</w:t>
            </w:r>
          </w:p>
        </w:tc>
        <w:tc>
          <w:tcPr>
            <w:tcW w:w="1417" w:type="dxa"/>
            <w:vMerge w:val="restart"/>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57.41%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608"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2</w:t>
            </w:r>
          </w:p>
        </w:tc>
        <w:tc>
          <w:tcPr>
            <w:tcW w:w="1193"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桥头镇</w:t>
            </w:r>
          </w:p>
        </w:tc>
        <w:tc>
          <w:tcPr>
            <w:tcW w:w="183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8</w:t>
            </w:r>
          </w:p>
        </w:tc>
        <w:tc>
          <w:tcPr>
            <w:tcW w:w="90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2682</w:t>
            </w:r>
          </w:p>
        </w:tc>
        <w:tc>
          <w:tcPr>
            <w:tcW w:w="1196"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1168</w:t>
            </w:r>
          </w:p>
        </w:tc>
        <w:tc>
          <w:tcPr>
            <w:tcW w:w="1699" w:type="dxa"/>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szCs w:val="21"/>
              </w:rPr>
              <w:t>采用集中拉运模式，对村内生活污水进行收集处理</w:t>
            </w:r>
          </w:p>
        </w:tc>
        <w:tc>
          <w:tcPr>
            <w:tcW w:w="1417" w:type="dxa"/>
            <w:vMerge w:val="continue"/>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608"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p>
        </w:tc>
        <w:tc>
          <w:tcPr>
            <w:tcW w:w="1193"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合计</w:t>
            </w:r>
          </w:p>
        </w:tc>
        <w:tc>
          <w:tcPr>
            <w:tcW w:w="183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12</w:t>
            </w:r>
          </w:p>
        </w:tc>
        <w:tc>
          <w:tcPr>
            <w:tcW w:w="90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6345</w:t>
            </w:r>
          </w:p>
        </w:tc>
        <w:tc>
          <w:tcPr>
            <w:tcW w:w="1196"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2682</w:t>
            </w:r>
          </w:p>
        </w:tc>
        <w:tc>
          <w:tcPr>
            <w:tcW w:w="1699"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p>
        </w:tc>
        <w:tc>
          <w:tcPr>
            <w:tcW w:w="1417"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p>
        </w:tc>
      </w:tr>
    </w:tbl>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p>
    <w:p>
      <w:pPr>
        <w:pStyle w:val="26"/>
        <w:keepNext w:val="0"/>
        <w:keepLines w:val="0"/>
        <w:pageBreakBefore w:val="0"/>
        <w:kinsoku/>
        <w:wordWrap/>
        <w:overflowPunct/>
        <w:topLinePunct w:val="0"/>
        <w:bidi w:val="0"/>
        <w:snapToGrid/>
        <w:spacing w:line="600" w:lineRule="exact"/>
        <w:ind w:left="0" w:leftChars="0"/>
        <w:rPr>
          <w:rFonts w:hint="default" w:ascii="Times New Roman" w:hAnsi="Times New Roman" w:cs="Times New Roman"/>
        </w:rPr>
      </w:pP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2022年新增完成9个行政村污水治理任务，全区65.74%的行政村完成生活污水治理任务。</w:t>
      </w:r>
    </w:p>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文星简小标宋" w:cs="Times New Roman"/>
          <w:bCs/>
          <w:sz w:val="32"/>
          <w:szCs w:val="32"/>
        </w:rPr>
      </w:pPr>
      <w:r>
        <w:rPr>
          <w:rFonts w:hint="default" w:ascii="Times New Roman" w:hAnsi="Times New Roman" w:eastAsia="文星简小标宋" w:cs="Times New Roman"/>
          <w:bCs/>
          <w:sz w:val="32"/>
          <w:szCs w:val="32"/>
        </w:rPr>
        <w:t>表2   环翠区2022年农村生活污水治理目标</w:t>
      </w:r>
    </w:p>
    <w:p>
      <w:pPr>
        <w:pStyle w:val="26"/>
        <w:keepNext w:val="0"/>
        <w:keepLines w:val="0"/>
        <w:pageBreakBefore w:val="0"/>
        <w:kinsoku/>
        <w:wordWrap/>
        <w:overflowPunct/>
        <w:topLinePunct w:val="0"/>
        <w:bidi w:val="0"/>
        <w:snapToGrid/>
        <w:spacing w:line="600" w:lineRule="exact"/>
        <w:ind w:left="0" w:leftChars="0"/>
        <w:rPr>
          <w:rFonts w:hint="default" w:ascii="Times New Roman" w:hAnsi="Times New Roman" w:cs="Times New Roman"/>
        </w:rPr>
      </w:pPr>
    </w:p>
    <w:tbl>
      <w:tblPr>
        <w:tblStyle w:val="18"/>
        <w:tblW w:w="87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6"/>
        <w:gridCol w:w="1155"/>
        <w:gridCol w:w="1800"/>
        <w:gridCol w:w="900"/>
        <w:gridCol w:w="1357"/>
        <w:gridCol w:w="1598"/>
        <w:gridCol w:w="1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616"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color w:val="000000"/>
                <w:sz w:val="22"/>
                <w:szCs w:val="21"/>
              </w:rPr>
            </w:pPr>
            <w:r>
              <w:rPr>
                <w:rFonts w:hint="default" w:ascii="Times New Roman" w:hAnsi="Times New Roman" w:eastAsia="黑体" w:cs="Times New Roman"/>
                <w:color w:val="000000"/>
                <w:sz w:val="22"/>
                <w:szCs w:val="21"/>
              </w:rPr>
              <w:t>序号</w:t>
            </w:r>
          </w:p>
        </w:tc>
        <w:tc>
          <w:tcPr>
            <w:tcW w:w="1155"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color w:val="000000"/>
                <w:sz w:val="22"/>
                <w:szCs w:val="21"/>
              </w:rPr>
            </w:pPr>
            <w:r>
              <w:rPr>
                <w:rFonts w:hint="default" w:ascii="Times New Roman" w:hAnsi="Times New Roman" w:eastAsia="黑体" w:cs="Times New Roman"/>
                <w:color w:val="000000"/>
                <w:kern w:val="0"/>
                <w:sz w:val="22"/>
                <w:szCs w:val="21"/>
              </w:rPr>
              <w:t>乡（镇、街道）</w:t>
            </w:r>
          </w:p>
        </w:tc>
        <w:tc>
          <w:tcPr>
            <w:tcW w:w="180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color w:val="000000"/>
                <w:sz w:val="22"/>
                <w:szCs w:val="21"/>
              </w:rPr>
            </w:pPr>
            <w:r>
              <w:rPr>
                <w:rFonts w:hint="default" w:ascii="Times New Roman" w:hAnsi="Times New Roman" w:eastAsia="黑体" w:cs="Times New Roman"/>
                <w:color w:val="000000"/>
                <w:sz w:val="22"/>
                <w:szCs w:val="21"/>
              </w:rPr>
              <w:t>完成生活污水治理任务的行政村数量</w:t>
            </w:r>
          </w:p>
        </w:tc>
        <w:tc>
          <w:tcPr>
            <w:tcW w:w="90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color w:val="000000"/>
                <w:sz w:val="22"/>
                <w:szCs w:val="21"/>
              </w:rPr>
            </w:pPr>
            <w:r>
              <w:rPr>
                <w:rFonts w:hint="default" w:ascii="Times New Roman" w:hAnsi="Times New Roman" w:eastAsia="黑体" w:cs="Times New Roman"/>
                <w:color w:val="000000"/>
                <w:sz w:val="22"/>
                <w:szCs w:val="21"/>
              </w:rPr>
              <w:t>受益人口数</w:t>
            </w:r>
          </w:p>
        </w:tc>
        <w:tc>
          <w:tcPr>
            <w:tcW w:w="1357"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color w:val="000000"/>
                <w:sz w:val="22"/>
                <w:szCs w:val="21"/>
              </w:rPr>
            </w:pPr>
            <w:r>
              <w:rPr>
                <w:rFonts w:hint="default" w:ascii="Times New Roman" w:hAnsi="Times New Roman" w:eastAsia="黑体" w:cs="Times New Roman"/>
                <w:color w:val="000000"/>
                <w:sz w:val="22"/>
                <w:szCs w:val="21"/>
              </w:rPr>
              <w:t>受益户数</w:t>
            </w:r>
          </w:p>
        </w:tc>
        <w:tc>
          <w:tcPr>
            <w:tcW w:w="1598"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color w:val="000000"/>
                <w:sz w:val="22"/>
                <w:szCs w:val="21"/>
              </w:rPr>
            </w:pPr>
            <w:r>
              <w:rPr>
                <w:rFonts w:hint="default" w:ascii="Times New Roman" w:hAnsi="Times New Roman" w:eastAsia="黑体" w:cs="Times New Roman"/>
                <w:color w:val="000000"/>
                <w:sz w:val="22"/>
                <w:szCs w:val="21"/>
              </w:rPr>
              <w:t>污水处理计划</w:t>
            </w:r>
          </w:p>
        </w:tc>
        <w:tc>
          <w:tcPr>
            <w:tcW w:w="1365"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color w:val="000000"/>
                <w:sz w:val="22"/>
                <w:szCs w:val="21"/>
              </w:rPr>
            </w:pPr>
            <w:r>
              <w:rPr>
                <w:rFonts w:hint="default" w:ascii="Times New Roman" w:hAnsi="Times New Roman" w:eastAsia="黑体" w:cs="Times New Roman"/>
                <w:color w:val="000000"/>
                <w:sz w:val="22"/>
                <w:szCs w:val="21"/>
              </w:rPr>
              <w:t>目标完成率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616"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1</w:t>
            </w:r>
          </w:p>
        </w:tc>
        <w:tc>
          <w:tcPr>
            <w:tcW w:w="1155"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嵩山街道</w:t>
            </w:r>
          </w:p>
        </w:tc>
        <w:tc>
          <w:tcPr>
            <w:tcW w:w="180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1</w:t>
            </w:r>
          </w:p>
        </w:tc>
        <w:tc>
          <w:tcPr>
            <w:tcW w:w="90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394</w:t>
            </w:r>
          </w:p>
        </w:tc>
        <w:tc>
          <w:tcPr>
            <w:tcW w:w="1357"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177</w:t>
            </w:r>
          </w:p>
        </w:tc>
        <w:tc>
          <w:tcPr>
            <w:tcW w:w="1598" w:type="dxa"/>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szCs w:val="21"/>
              </w:rPr>
              <w:t>旧村改造，污水并入市政污水管网</w:t>
            </w:r>
          </w:p>
        </w:tc>
        <w:tc>
          <w:tcPr>
            <w:tcW w:w="1365" w:type="dxa"/>
            <w:vMerge w:val="restart"/>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65.74%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616"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2</w:t>
            </w:r>
          </w:p>
        </w:tc>
        <w:tc>
          <w:tcPr>
            <w:tcW w:w="1155"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桥头镇</w:t>
            </w:r>
          </w:p>
        </w:tc>
        <w:tc>
          <w:tcPr>
            <w:tcW w:w="180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8</w:t>
            </w:r>
          </w:p>
        </w:tc>
        <w:tc>
          <w:tcPr>
            <w:tcW w:w="90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1795</w:t>
            </w:r>
          </w:p>
        </w:tc>
        <w:tc>
          <w:tcPr>
            <w:tcW w:w="1357"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963</w:t>
            </w:r>
          </w:p>
        </w:tc>
        <w:tc>
          <w:tcPr>
            <w:tcW w:w="1598" w:type="dxa"/>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szCs w:val="21"/>
              </w:rPr>
              <w:t>采用集中拉运模式，对村内生活污水进行收集处理</w:t>
            </w:r>
          </w:p>
        </w:tc>
        <w:tc>
          <w:tcPr>
            <w:tcW w:w="1365" w:type="dxa"/>
            <w:vMerge w:val="continue"/>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616"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p>
        </w:tc>
        <w:tc>
          <w:tcPr>
            <w:tcW w:w="1155"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合计</w:t>
            </w:r>
          </w:p>
        </w:tc>
        <w:tc>
          <w:tcPr>
            <w:tcW w:w="180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9</w:t>
            </w:r>
          </w:p>
        </w:tc>
        <w:tc>
          <w:tcPr>
            <w:tcW w:w="90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2189</w:t>
            </w:r>
          </w:p>
        </w:tc>
        <w:tc>
          <w:tcPr>
            <w:tcW w:w="1357"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1140</w:t>
            </w:r>
          </w:p>
        </w:tc>
        <w:tc>
          <w:tcPr>
            <w:tcW w:w="1598"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p>
        </w:tc>
        <w:tc>
          <w:tcPr>
            <w:tcW w:w="1365"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p>
        </w:tc>
      </w:tr>
    </w:tbl>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 w:cs="Times New Roman"/>
          <w:b/>
          <w:color w:val="000000"/>
          <w:szCs w:val="21"/>
        </w:rPr>
      </w:pP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2023年新增完成13个行政村污水治理任务，全区77.77%的行政村完成生活污水治理任务。</w:t>
      </w:r>
    </w:p>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文星简小标宋" w:cs="Times New Roman"/>
          <w:bCs/>
          <w:sz w:val="32"/>
          <w:szCs w:val="32"/>
        </w:rPr>
      </w:pPr>
    </w:p>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文星简小标宋" w:cs="Times New Roman"/>
          <w:bCs/>
          <w:sz w:val="32"/>
          <w:szCs w:val="32"/>
        </w:rPr>
      </w:pPr>
    </w:p>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文星简小标宋" w:cs="Times New Roman"/>
          <w:bCs/>
          <w:sz w:val="32"/>
          <w:szCs w:val="32"/>
        </w:rPr>
      </w:pPr>
    </w:p>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文星简小标宋" w:cs="Times New Roman"/>
          <w:bCs/>
          <w:sz w:val="32"/>
          <w:szCs w:val="32"/>
        </w:rPr>
      </w:pPr>
    </w:p>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文星简小标宋" w:cs="Times New Roman"/>
          <w:bCs/>
          <w:sz w:val="32"/>
          <w:szCs w:val="32"/>
        </w:rPr>
      </w:pPr>
      <w:r>
        <w:rPr>
          <w:rFonts w:hint="default" w:ascii="Times New Roman" w:hAnsi="Times New Roman" w:eastAsia="文星简小标宋" w:cs="Times New Roman"/>
          <w:bCs/>
          <w:sz w:val="32"/>
          <w:szCs w:val="32"/>
        </w:rPr>
        <w:t>表3   环翠区2023年农村生活污水治理目标</w:t>
      </w:r>
    </w:p>
    <w:p>
      <w:pPr>
        <w:pStyle w:val="26"/>
        <w:keepNext w:val="0"/>
        <w:keepLines w:val="0"/>
        <w:pageBreakBefore w:val="0"/>
        <w:kinsoku/>
        <w:wordWrap/>
        <w:overflowPunct/>
        <w:topLinePunct w:val="0"/>
        <w:bidi w:val="0"/>
        <w:snapToGrid/>
        <w:spacing w:line="600" w:lineRule="exact"/>
        <w:ind w:left="0" w:leftChars="0"/>
        <w:rPr>
          <w:rFonts w:hint="default" w:ascii="Times New Roman" w:hAnsi="Times New Roman" w:cs="Times New Roman"/>
        </w:rPr>
      </w:pPr>
    </w:p>
    <w:tbl>
      <w:tblPr>
        <w:tblStyle w:val="18"/>
        <w:tblW w:w="88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8"/>
        <w:gridCol w:w="1232"/>
        <w:gridCol w:w="1573"/>
        <w:gridCol w:w="945"/>
        <w:gridCol w:w="1305"/>
        <w:gridCol w:w="1815"/>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608"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color w:val="000000"/>
                <w:sz w:val="22"/>
                <w:szCs w:val="21"/>
              </w:rPr>
            </w:pPr>
            <w:r>
              <w:rPr>
                <w:rFonts w:hint="default" w:ascii="Times New Roman" w:hAnsi="Times New Roman" w:eastAsia="黑体" w:cs="Times New Roman"/>
                <w:color w:val="000000"/>
                <w:sz w:val="22"/>
                <w:szCs w:val="21"/>
              </w:rPr>
              <w:t>序号</w:t>
            </w:r>
          </w:p>
        </w:tc>
        <w:tc>
          <w:tcPr>
            <w:tcW w:w="1232"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color w:val="000000"/>
                <w:sz w:val="22"/>
                <w:szCs w:val="21"/>
              </w:rPr>
            </w:pPr>
            <w:r>
              <w:rPr>
                <w:rFonts w:hint="default" w:ascii="Times New Roman" w:hAnsi="Times New Roman" w:eastAsia="黑体" w:cs="Times New Roman"/>
                <w:color w:val="000000"/>
                <w:kern w:val="0"/>
                <w:sz w:val="22"/>
                <w:szCs w:val="21"/>
              </w:rPr>
              <w:t>乡（镇、街道）</w:t>
            </w:r>
          </w:p>
        </w:tc>
        <w:tc>
          <w:tcPr>
            <w:tcW w:w="1573"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color w:val="000000"/>
                <w:sz w:val="22"/>
                <w:szCs w:val="21"/>
              </w:rPr>
            </w:pPr>
            <w:r>
              <w:rPr>
                <w:rFonts w:hint="default" w:ascii="Times New Roman" w:hAnsi="Times New Roman" w:eastAsia="黑体" w:cs="Times New Roman"/>
                <w:color w:val="000000"/>
                <w:sz w:val="22"/>
                <w:szCs w:val="21"/>
              </w:rPr>
              <w:t>完成生活污水治理任务的行政村数量</w:t>
            </w:r>
          </w:p>
        </w:tc>
        <w:tc>
          <w:tcPr>
            <w:tcW w:w="945"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color w:val="000000"/>
                <w:sz w:val="22"/>
                <w:szCs w:val="21"/>
              </w:rPr>
            </w:pPr>
            <w:r>
              <w:rPr>
                <w:rFonts w:hint="default" w:ascii="Times New Roman" w:hAnsi="Times New Roman" w:eastAsia="黑体" w:cs="Times New Roman"/>
                <w:color w:val="000000"/>
                <w:sz w:val="22"/>
                <w:szCs w:val="21"/>
              </w:rPr>
              <w:t>受益人口数</w:t>
            </w:r>
          </w:p>
        </w:tc>
        <w:tc>
          <w:tcPr>
            <w:tcW w:w="1305"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color w:val="000000"/>
                <w:sz w:val="22"/>
                <w:szCs w:val="21"/>
              </w:rPr>
            </w:pPr>
            <w:r>
              <w:rPr>
                <w:rFonts w:hint="default" w:ascii="Times New Roman" w:hAnsi="Times New Roman" w:eastAsia="黑体" w:cs="Times New Roman"/>
                <w:color w:val="000000"/>
                <w:sz w:val="22"/>
                <w:szCs w:val="21"/>
              </w:rPr>
              <w:t>受益户数</w:t>
            </w:r>
          </w:p>
        </w:tc>
        <w:tc>
          <w:tcPr>
            <w:tcW w:w="1815"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color w:val="000000"/>
                <w:sz w:val="22"/>
                <w:szCs w:val="21"/>
              </w:rPr>
            </w:pPr>
            <w:r>
              <w:rPr>
                <w:rFonts w:hint="default" w:ascii="Times New Roman" w:hAnsi="Times New Roman" w:eastAsia="黑体" w:cs="Times New Roman"/>
                <w:color w:val="000000"/>
                <w:sz w:val="22"/>
                <w:szCs w:val="21"/>
              </w:rPr>
              <w:t>污水处理计划</w:t>
            </w:r>
          </w:p>
        </w:tc>
        <w:tc>
          <w:tcPr>
            <w:tcW w:w="1421"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color w:val="000000"/>
                <w:sz w:val="22"/>
                <w:szCs w:val="21"/>
              </w:rPr>
            </w:pPr>
            <w:r>
              <w:rPr>
                <w:rFonts w:hint="default" w:ascii="Times New Roman" w:hAnsi="Times New Roman" w:eastAsia="黑体" w:cs="Times New Roman"/>
                <w:color w:val="000000"/>
                <w:sz w:val="22"/>
                <w:szCs w:val="21"/>
              </w:rPr>
              <w:t>目标完成率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608"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1</w:t>
            </w:r>
          </w:p>
        </w:tc>
        <w:tc>
          <w:tcPr>
            <w:tcW w:w="1232"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桥头镇</w:t>
            </w:r>
          </w:p>
        </w:tc>
        <w:tc>
          <w:tcPr>
            <w:tcW w:w="1573"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13</w:t>
            </w:r>
          </w:p>
        </w:tc>
        <w:tc>
          <w:tcPr>
            <w:tcW w:w="945"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7061</w:t>
            </w:r>
          </w:p>
        </w:tc>
        <w:tc>
          <w:tcPr>
            <w:tcW w:w="1305"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3185</w:t>
            </w:r>
          </w:p>
        </w:tc>
        <w:tc>
          <w:tcPr>
            <w:tcW w:w="1815" w:type="dxa"/>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szCs w:val="21"/>
              </w:rPr>
              <w:t>采用集中拉运模式，对村内生活污水进行收集处理</w:t>
            </w:r>
          </w:p>
        </w:tc>
        <w:tc>
          <w:tcPr>
            <w:tcW w:w="1421"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77.77%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608"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p>
        </w:tc>
        <w:tc>
          <w:tcPr>
            <w:tcW w:w="1232"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合计</w:t>
            </w:r>
          </w:p>
        </w:tc>
        <w:tc>
          <w:tcPr>
            <w:tcW w:w="1573"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13</w:t>
            </w:r>
          </w:p>
        </w:tc>
        <w:tc>
          <w:tcPr>
            <w:tcW w:w="945"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7061</w:t>
            </w:r>
          </w:p>
        </w:tc>
        <w:tc>
          <w:tcPr>
            <w:tcW w:w="1305"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3185</w:t>
            </w:r>
          </w:p>
        </w:tc>
        <w:tc>
          <w:tcPr>
            <w:tcW w:w="1815"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p>
        </w:tc>
        <w:tc>
          <w:tcPr>
            <w:tcW w:w="1421"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p>
        </w:tc>
      </w:tr>
    </w:tbl>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 w:cs="Times New Roman"/>
          <w:b/>
          <w:color w:val="000000"/>
          <w:szCs w:val="21"/>
        </w:rPr>
      </w:pP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2024年新增完成14个行政村污水治理任务，全区90.74%的行政村完成生活污水治理任务。</w:t>
      </w:r>
    </w:p>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文星简小标宋" w:cs="Times New Roman"/>
          <w:bCs/>
          <w:sz w:val="32"/>
          <w:szCs w:val="32"/>
        </w:rPr>
      </w:pPr>
      <w:r>
        <w:rPr>
          <w:rFonts w:hint="default" w:ascii="Times New Roman" w:hAnsi="Times New Roman" w:eastAsia="文星简小标宋" w:cs="Times New Roman"/>
          <w:bCs/>
          <w:sz w:val="32"/>
          <w:szCs w:val="32"/>
        </w:rPr>
        <w:t>表4   环翠区2024年农村生活污水治理目标</w:t>
      </w:r>
    </w:p>
    <w:p>
      <w:pPr>
        <w:pStyle w:val="26"/>
        <w:keepNext w:val="0"/>
        <w:keepLines w:val="0"/>
        <w:pageBreakBefore w:val="0"/>
        <w:kinsoku/>
        <w:wordWrap/>
        <w:overflowPunct/>
        <w:topLinePunct w:val="0"/>
        <w:bidi w:val="0"/>
        <w:snapToGrid/>
        <w:spacing w:line="600" w:lineRule="exact"/>
        <w:ind w:left="0" w:leftChars="0"/>
        <w:rPr>
          <w:rFonts w:hint="default" w:ascii="Times New Roman" w:hAnsi="Times New Roman" w:cs="Times New Roman"/>
        </w:rPr>
      </w:pPr>
    </w:p>
    <w:tbl>
      <w:tblPr>
        <w:tblStyle w:val="18"/>
        <w:tblW w:w="88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8"/>
        <w:gridCol w:w="1232"/>
        <w:gridCol w:w="1573"/>
        <w:gridCol w:w="945"/>
        <w:gridCol w:w="1305"/>
        <w:gridCol w:w="1815"/>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608"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color w:val="000000"/>
                <w:sz w:val="22"/>
                <w:szCs w:val="21"/>
              </w:rPr>
            </w:pPr>
            <w:r>
              <w:rPr>
                <w:rFonts w:hint="default" w:ascii="Times New Roman" w:hAnsi="Times New Roman" w:eastAsia="黑体" w:cs="Times New Roman"/>
                <w:color w:val="000000"/>
                <w:sz w:val="22"/>
                <w:szCs w:val="21"/>
              </w:rPr>
              <w:t>序号</w:t>
            </w:r>
          </w:p>
        </w:tc>
        <w:tc>
          <w:tcPr>
            <w:tcW w:w="1232"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color w:val="000000"/>
                <w:sz w:val="22"/>
                <w:szCs w:val="21"/>
              </w:rPr>
            </w:pPr>
            <w:r>
              <w:rPr>
                <w:rFonts w:hint="default" w:ascii="Times New Roman" w:hAnsi="Times New Roman" w:eastAsia="黑体" w:cs="Times New Roman"/>
                <w:color w:val="000000"/>
                <w:kern w:val="0"/>
                <w:sz w:val="22"/>
                <w:szCs w:val="21"/>
              </w:rPr>
              <w:t>乡（镇、街道）</w:t>
            </w:r>
          </w:p>
        </w:tc>
        <w:tc>
          <w:tcPr>
            <w:tcW w:w="1573"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color w:val="000000"/>
                <w:sz w:val="22"/>
                <w:szCs w:val="21"/>
              </w:rPr>
            </w:pPr>
            <w:r>
              <w:rPr>
                <w:rFonts w:hint="default" w:ascii="Times New Roman" w:hAnsi="Times New Roman" w:eastAsia="黑体" w:cs="Times New Roman"/>
                <w:color w:val="000000"/>
                <w:sz w:val="22"/>
                <w:szCs w:val="21"/>
              </w:rPr>
              <w:t>完成生活污水治理任务的行政村数量</w:t>
            </w:r>
          </w:p>
        </w:tc>
        <w:tc>
          <w:tcPr>
            <w:tcW w:w="945"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color w:val="000000"/>
                <w:sz w:val="22"/>
                <w:szCs w:val="21"/>
              </w:rPr>
            </w:pPr>
            <w:r>
              <w:rPr>
                <w:rFonts w:hint="default" w:ascii="Times New Roman" w:hAnsi="Times New Roman" w:eastAsia="黑体" w:cs="Times New Roman"/>
                <w:color w:val="000000"/>
                <w:sz w:val="22"/>
                <w:szCs w:val="21"/>
              </w:rPr>
              <w:t>受益人口数</w:t>
            </w:r>
          </w:p>
        </w:tc>
        <w:tc>
          <w:tcPr>
            <w:tcW w:w="1305"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color w:val="000000"/>
                <w:sz w:val="22"/>
                <w:szCs w:val="21"/>
              </w:rPr>
            </w:pPr>
            <w:r>
              <w:rPr>
                <w:rFonts w:hint="default" w:ascii="Times New Roman" w:hAnsi="Times New Roman" w:eastAsia="黑体" w:cs="Times New Roman"/>
                <w:color w:val="000000"/>
                <w:sz w:val="22"/>
                <w:szCs w:val="21"/>
              </w:rPr>
              <w:t>受益户数</w:t>
            </w:r>
          </w:p>
        </w:tc>
        <w:tc>
          <w:tcPr>
            <w:tcW w:w="1815"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color w:val="000000"/>
                <w:sz w:val="22"/>
                <w:szCs w:val="21"/>
              </w:rPr>
            </w:pPr>
            <w:r>
              <w:rPr>
                <w:rFonts w:hint="default" w:ascii="Times New Roman" w:hAnsi="Times New Roman" w:eastAsia="黑体" w:cs="Times New Roman"/>
                <w:color w:val="000000"/>
                <w:sz w:val="22"/>
                <w:szCs w:val="21"/>
              </w:rPr>
              <w:t>污水处理计划</w:t>
            </w:r>
          </w:p>
        </w:tc>
        <w:tc>
          <w:tcPr>
            <w:tcW w:w="1421"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color w:val="000000"/>
                <w:sz w:val="22"/>
                <w:szCs w:val="21"/>
              </w:rPr>
            </w:pPr>
            <w:r>
              <w:rPr>
                <w:rFonts w:hint="default" w:ascii="Times New Roman" w:hAnsi="Times New Roman" w:eastAsia="黑体" w:cs="Times New Roman"/>
                <w:color w:val="000000"/>
                <w:sz w:val="22"/>
                <w:szCs w:val="21"/>
              </w:rPr>
              <w:t>目标完成率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608"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1</w:t>
            </w:r>
          </w:p>
        </w:tc>
        <w:tc>
          <w:tcPr>
            <w:tcW w:w="1232"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桥头镇</w:t>
            </w:r>
          </w:p>
        </w:tc>
        <w:tc>
          <w:tcPr>
            <w:tcW w:w="1573"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14</w:t>
            </w:r>
          </w:p>
        </w:tc>
        <w:tc>
          <w:tcPr>
            <w:tcW w:w="945"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3157</w:t>
            </w:r>
          </w:p>
        </w:tc>
        <w:tc>
          <w:tcPr>
            <w:tcW w:w="1305"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6581</w:t>
            </w:r>
          </w:p>
        </w:tc>
        <w:tc>
          <w:tcPr>
            <w:tcW w:w="1815" w:type="dxa"/>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szCs w:val="21"/>
              </w:rPr>
              <w:t>采用集中拉运模式，对村内生活污水进行收集处理</w:t>
            </w:r>
          </w:p>
        </w:tc>
        <w:tc>
          <w:tcPr>
            <w:tcW w:w="1421"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90.74%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608"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p>
        </w:tc>
        <w:tc>
          <w:tcPr>
            <w:tcW w:w="1232"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合计</w:t>
            </w:r>
          </w:p>
        </w:tc>
        <w:tc>
          <w:tcPr>
            <w:tcW w:w="1573"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14</w:t>
            </w:r>
          </w:p>
        </w:tc>
        <w:tc>
          <w:tcPr>
            <w:tcW w:w="945"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3157</w:t>
            </w:r>
          </w:p>
        </w:tc>
        <w:tc>
          <w:tcPr>
            <w:tcW w:w="1305"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6581</w:t>
            </w:r>
          </w:p>
        </w:tc>
        <w:tc>
          <w:tcPr>
            <w:tcW w:w="1815"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p>
        </w:tc>
        <w:tc>
          <w:tcPr>
            <w:tcW w:w="1421"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p>
        </w:tc>
      </w:tr>
    </w:tbl>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 w:cs="Times New Roman"/>
          <w:b/>
          <w:color w:val="000000"/>
          <w:szCs w:val="21"/>
        </w:rPr>
      </w:pPr>
    </w:p>
    <w:p>
      <w:pPr>
        <w:pStyle w:val="26"/>
        <w:keepNext w:val="0"/>
        <w:keepLines w:val="0"/>
        <w:pageBreakBefore w:val="0"/>
        <w:kinsoku/>
        <w:wordWrap/>
        <w:overflowPunct/>
        <w:topLinePunct w:val="0"/>
        <w:bidi w:val="0"/>
        <w:snapToGrid/>
        <w:spacing w:line="600" w:lineRule="exact"/>
        <w:ind w:left="0" w:leftChars="0"/>
        <w:rPr>
          <w:rFonts w:hint="default" w:ascii="Times New Roman" w:hAnsi="Times New Roman" w:cs="Times New Roman"/>
        </w:rPr>
      </w:pP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2025年新增完成8个行政村污水治理任务，全区98.14%的行政村完成生活污水治理任务。</w:t>
      </w:r>
    </w:p>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文星简小标宋" w:cs="Times New Roman"/>
          <w:bCs/>
          <w:sz w:val="32"/>
          <w:szCs w:val="32"/>
        </w:rPr>
      </w:pPr>
      <w:r>
        <w:rPr>
          <w:rFonts w:hint="default" w:ascii="Times New Roman" w:hAnsi="Times New Roman" w:eastAsia="文星简小标宋" w:cs="Times New Roman"/>
          <w:bCs/>
          <w:sz w:val="32"/>
          <w:szCs w:val="32"/>
        </w:rPr>
        <w:t>表5   环翠区2025年农村生活污水治理目标</w:t>
      </w:r>
    </w:p>
    <w:p>
      <w:pPr>
        <w:pStyle w:val="26"/>
        <w:keepNext w:val="0"/>
        <w:keepLines w:val="0"/>
        <w:pageBreakBefore w:val="0"/>
        <w:kinsoku/>
        <w:wordWrap/>
        <w:overflowPunct/>
        <w:topLinePunct w:val="0"/>
        <w:bidi w:val="0"/>
        <w:snapToGrid/>
        <w:spacing w:line="600" w:lineRule="exact"/>
        <w:ind w:left="0" w:leftChars="0"/>
        <w:rPr>
          <w:rFonts w:hint="default" w:ascii="Times New Roman" w:hAnsi="Times New Roman" w:cs="Times New Roman"/>
        </w:rPr>
      </w:pPr>
    </w:p>
    <w:tbl>
      <w:tblPr>
        <w:tblStyle w:val="18"/>
        <w:tblW w:w="88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8"/>
        <w:gridCol w:w="1232"/>
        <w:gridCol w:w="1573"/>
        <w:gridCol w:w="945"/>
        <w:gridCol w:w="1305"/>
        <w:gridCol w:w="1815"/>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608"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color w:val="000000"/>
                <w:sz w:val="22"/>
                <w:szCs w:val="21"/>
              </w:rPr>
            </w:pPr>
            <w:r>
              <w:rPr>
                <w:rFonts w:hint="default" w:ascii="Times New Roman" w:hAnsi="Times New Roman" w:eastAsia="黑体" w:cs="Times New Roman"/>
                <w:color w:val="000000"/>
                <w:sz w:val="22"/>
                <w:szCs w:val="21"/>
              </w:rPr>
              <w:t>序号</w:t>
            </w:r>
          </w:p>
        </w:tc>
        <w:tc>
          <w:tcPr>
            <w:tcW w:w="1232"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color w:val="000000"/>
                <w:sz w:val="22"/>
                <w:szCs w:val="21"/>
              </w:rPr>
            </w:pPr>
            <w:r>
              <w:rPr>
                <w:rFonts w:hint="default" w:ascii="Times New Roman" w:hAnsi="Times New Roman" w:eastAsia="黑体" w:cs="Times New Roman"/>
                <w:color w:val="000000"/>
                <w:kern w:val="0"/>
                <w:sz w:val="22"/>
                <w:szCs w:val="21"/>
              </w:rPr>
              <w:t>乡（镇、街道）</w:t>
            </w:r>
          </w:p>
        </w:tc>
        <w:tc>
          <w:tcPr>
            <w:tcW w:w="1573"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color w:val="000000"/>
                <w:sz w:val="22"/>
                <w:szCs w:val="21"/>
              </w:rPr>
            </w:pPr>
            <w:r>
              <w:rPr>
                <w:rFonts w:hint="default" w:ascii="Times New Roman" w:hAnsi="Times New Roman" w:eastAsia="黑体" w:cs="Times New Roman"/>
                <w:color w:val="000000"/>
                <w:sz w:val="22"/>
                <w:szCs w:val="21"/>
              </w:rPr>
              <w:t>完成生活污水治理任务的行政村数量</w:t>
            </w:r>
          </w:p>
        </w:tc>
        <w:tc>
          <w:tcPr>
            <w:tcW w:w="945"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color w:val="000000"/>
                <w:sz w:val="22"/>
                <w:szCs w:val="21"/>
              </w:rPr>
            </w:pPr>
            <w:r>
              <w:rPr>
                <w:rFonts w:hint="default" w:ascii="Times New Roman" w:hAnsi="Times New Roman" w:eastAsia="黑体" w:cs="Times New Roman"/>
                <w:color w:val="000000"/>
                <w:sz w:val="22"/>
                <w:szCs w:val="21"/>
              </w:rPr>
              <w:t>受益人口数</w:t>
            </w:r>
          </w:p>
        </w:tc>
        <w:tc>
          <w:tcPr>
            <w:tcW w:w="1305"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color w:val="000000"/>
                <w:sz w:val="22"/>
                <w:szCs w:val="21"/>
              </w:rPr>
            </w:pPr>
            <w:r>
              <w:rPr>
                <w:rFonts w:hint="default" w:ascii="Times New Roman" w:hAnsi="Times New Roman" w:eastAsia="黑体" w:cs="Times New Roman"/>
                <w:color w:val="000000"/>
                <w:sz w:val="22"/>
                <w:szCs w:val="21"/>
              </w:rPr>
              <w:t>受益户数</w:t>
            </w:r>
          </w:p>
        </w:tc>
        <w:tc>
          <w:tcPr>
            <w:tcW w:w="1815"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color w:val="000000"/>
                <w:sz w:val="22"/>
                <w:szCs w:val="21"/>
              </w:rPr>
            </w:pPr>
            <w:r>
              <w:rPr>
                <w:rFonts w:hint="default" w:ascii="Times New Roman" w:hAnsi="Times New Roman" w:eastAsia="黑体" w:cs="Times New Roman"/>
                <w:color w:val="000000"/>
                <w:sz w:val="22"/>
                <w:szCs w:val="21"/>
              </w:rPr>
              <w:t>污水处理计划</w:t>
            </w:r>
          </w:p>
        </w:tc>
        <w:tc>
          <w:tcPr>
            <w:tcW w:w="1421"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color w:val="000000"/>
                <w:sz w:val="22"/>
                <w:szCs w:val="21"/>
              </w:rPr>
            </w:pPr>
            <w:r>
              <w:rPr>
                <w:rFonts w:hint="default" w:ascii="Times New Roman" w:hAnsi="Times New Roman" w:eastAsia="黑体" w:cs="Times New Roman"/>
                <w:color w:val="000000"/>
                <w:sz w:val="22"/>
                <w:szCs w:val="21"/>
              </w:rPr>
              <w:t>目标完成率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608"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1</w:t>
            </w:r>
          </w:p>
        </w:tc>
        <w:tc>
          <w:tcPr>
            <w:tcW w:w="1232"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嵩山街道</w:t>
            </w:r>
          </w:p>
        </w:tc>
        <w:tc>
          <w:tcPr>
            <w:tcW w:w="1573"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4</w:t>
            </w:r>
          </w:p>
        </w:tc>
        <w:tc>
          <w:tcPr>
            <w:tcW w:w="945"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1403</w:t>
            </w:r>
          </w:p>
        </w:tc>
        <w:tc>
          <w:tcPr>
            <w:tcW w:w="1305"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586</w:t>
            </w:r>
          </w:p>
        </w:tc>
        <w:tc>
          <w:tcPr>
            <w:tcW w:w="1815" w:type="dxa"/>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szCs w:val="21"/>
              </w:rPr>
              <w:t>旧村改造，污水并入市政污水管网</w:t>
            </w:r>
          </w:p>
        </w:tc>
        <w:tc>
          <w:tcPr>
            <w:tcW w:w="1421" w:type="dxa"/>
            <w:vMerge w:val="restart"/>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98.14%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08"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2</w:t>
            </w:r>
          </w:p>
        </w:tc>
        <w:tc>
          <w:tcPr>
            <w:tcW w:w="1232"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羊亭镇</w:t>
            </w:r>
          </w:p>
        </w:tc>
        <w:tc>
          <w:tcPr>
            <w:tcW w:w="1573"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4</w:t>
            </w:r>
          </w:p>
        </w:tc>
        <w:tc>
          <w:tcPr>
            <w:tcW w:w="945"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4800</w:t>
            </w:r>
          </w:p>
        </w:tc>
        <w:tc>
          <w:tcPr>
            <w:tcW w:w="1305"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2000</w:t>
            </w:r>
          </w:p>
        </w:tc>
        <w:tc>
          <w:tcPr>
            <w:tcW w:w="1815" w:type="dxa"/>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szCs w:val="21"/>
              </w:rPr>
              <w:t>旧村改造，污水并入市政污水管网</w:t>
            </w:r>
          </w:p>
        </w:tc>
        <w:tc>
          <w:tcPr>
            <w:tcW w:w="1421" w:type="dxa"/>
            <w:vMerge w:val="continue"/>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608"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p>
        </w:tc>
        <w:tc>
          <w:tcPr>
            <w:tcW w:w="1232"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合计</w:t>
            </w:r>
          </w:p>
        </w:tc>
        <w:tc>
          <w:tcPr>
            <w:tcW w:w="1573"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8</w:t>
            </w:r>
          </w:p>
        </w:tc>
        <w:tc>
          <w:tcPr>
            <w:tcW w:w="945"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6203</w:t>
            </w:r>
          </w:p>
        </w:tc>
        <w:tc>
          <w:tcPr>
            <w:tcW w:w="1305"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2586</w:t>
            </w:r>
          </w:p>
        </w:tc>
        <w:tc>
          <w:tcPr>
            <w:tcW w:w="1815"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p>
        </w:tc>
        <w:tc>
          <w:tcPr>
            <w:tcW w:w="1421"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p>
        </w:tc>
      </w:tr>
    </w:tbl>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 w:cs="Times New Roman"/>
          <w:b/>
          <w:color w:val="000000"/>
          <w:szCs w:val="21"/>
        </w:rPr>
      </w:pPr>
    </w:p>
    <w:p>
      <w:pPr>
        <w:pStyle w:val="26"/>
        <w:keepNext w:val="0"/>
        <w:keepLines w:val="0"/>
        <w:pageBreakBefore w:val="0"/>
        <w:kinsoku/>
        <w:wordWrap/>
        <w:overflowPunct/>
        <w:topLinePunct w:val="0"/>
        <w:bidi w:val="0"/>
        <w:snapToGrid/>
        <w:spacing w:line="600" w:lineRule="exact"/>
        <w:ind w:left="0" w:leftChars="0"/>
        <w:rPr>
          <w:rFonts w:hint="default" w:ascii="Times New Roman" w:hAnsi="Times New Roman" w:cs="Times New Roman"/>
        </w:rPr>
      </w:pP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1.2021年完成情况</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2021年环翠区共完成12个村（羊亭镇4个、桥头镇8个）生活污水治理，分别为羊亭镇北小城村、孙家滩村、鲁东村、埠前村；桥头镇西龙山村、新建村、东龙山村、后宅库村、埠上村、教里村、前宅库村、孟家庄村。</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2.2022年工作计划</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2022年环翠区计划完成9个村生活污水治理，分别为嵩山街道闫家庄村、桥头镇东于家、西于家、中于家、后于家、北子城、大院、董家夼、方吉村。</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3.2023年工作计划</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2023年环翠区计划完成13个村生活污水治理，分别为桥头镇雅格庄、福禄庄、姚家圈、盘川夼、观里东、观里西、南台、所前泊、刘家泊、西贞、徐家庄、大贞、桥头村。</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3.2024年工作计划</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2024年环翠区计划完成14个村生活污水治理，分别为桥头镇报信、碑鲁、邓家店、马井泊、北墩前、西山后、黑石、柴里、江家口、产里、河西庄、宋家店、东洛后、西洛后、洛西村。</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3.2025年工作计划</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sz w:val="32"/>
          <w:szCs w:val="32"/>
        </w:rPr>
      </w:pPr>
      <w:bookmarkStart w:id="8" w:name="_Toc16948144"/>
      <w:r>
        <w:rPr>
          <w:rFonts w:hint="default" w:ascii="Times New Roman" w:hAnsi="Times New Roman" w:eastAsia="仿宋_GB2312" w:cs="Times New Roman"/>
          <w:sz w:val="32"/>
          <w:szCs w:val="32"/>
        </w:rPr>
        <w:t>2025年环翠区计划完成8个村生活污水治理，分别为嵩山街道竹园、牛角沟、北七夼、西山口村； 羊亭镇羊亭、鹿道口、大西庄、港头村。</w:t>
      </w:r>
    </w:p>
    <w:p>
      <w:pPr>
        <w:keepNext w:val="0"/>
        <w:keepLines w:val="0"/>
        <w:pageBreakBefore w:val="0"/>
        <w:kinsoku/>
        <w:wordWrap/>
        <w:overflowPunct/>
        <w:topLinePunct w:val="0"/>
        <w:bidi w:val="0"/>
        <w:snapToGrid/>
        <w:spacing w:line="600" w:lineRule="exact"/>
        <w:ind w:left="0" w:leftChars="0"/>
        <w:rPr>
          <w:rFonts w:hint="default" w:ascii="Times New Roman" w:hAnsi="Times New Roman" w:eastAsia="黑体" w:cs="Times New Roman"/>
          <w:bCs/>
          <w:color w:val="000000"/>
          <w:sz w:val="32"/>
          <w:szCs w:val="32"/>
        </w:rPr>
      </w:pPr>
      <w:r>
        <w:rPr>
          <w:rFonts w:hint="default" w:ascii="Times New Roman" w:hAnsi="Times New Roman" w:eastAsia="黑体" w:cs="Times New Roman"/>
          <w:bCs/>
          <w:color w:val="000000"/>
          <w:sz w:val="32"/>
          <w:szCs w:val="32"/>
        </w:rPr>
        <w:t>四、现状分析</w:t>
      </w:r>
      <w:bookmarkEnd w:id="8"/>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楷体_GB2312" w:cs="Times New Roman"/>
          <w:sz w:val="32"/>
          <w:szCs w:val="32"/>
        </w:rPr>
      </w:pPr>
      <w:bookmarkStart w:id="9" w:name="_Toc16948145"/>
      <w:r>
        <w:rPr>
          <w:rFonts w:hint="default" w:ascii="Times New Roman" w:hAnsi="Times New Roman" w:eastAsia="楷体_GB2312" w:cs="Times New Roman"/>
          <w:sz w:val="32"/>
          <w:szCs w:val="32"/>
        </w:rPr>
        <w:t>（一）</w:t>
      </w:r>
      <w:bookmarkEnd w:id="9"/>
      <w:r>
        <w:rPr>
          <w:rFonts w:hint="default" w:ascii="Times New Roman" w:hAnsi="Times New Roman" w:eastAsia="楷体_GB2312" w:cs="Times New Roman"/>
          <w:sz w:val="32"/>
          <w:szCs w:val="32"/>
        </w:rPr>
        <w:t>农村生活污水治理现状</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2018年以前，环翠区共完成44个村的农村生活污水治理工作； 2019年，将仅治理了黑水、未进行灰水治理的33个村纳入2020年灰水治理计划； 2020年，全区新建3个农村生活污水治理项目（2个新建污水设施、1个并入市政污水管网），并计划对33个村开展灰水治理；桥头镇划归环翠区前已完成8个村农村生活污水治理；2021年完成农村生活污水治理的行政村12个，已全部完成县级及市级验收。</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截至2021年底，环翠区共108个行政村， 62个村已完成农村生活污水治理，完成比例达57.41%，未治理的村共46个，36个村庄分布在桥头镇，2个村（羊亭镇1个、温泉镇1个）因地质硬暂时无法治理、8个村计划拆迁。桥头镇行政村实施污水治理后，环翠区污水可实现全域治理。</w:t>
      </w:r>
    </w:p>
    <w:p>
      <w:pPr>
        <w:keepNext w:val="0"/>
        <w:keepLines w:val="0"/>
        <w:pageBreakBefore w:val="0"/>
        <w:widowControl/>
        <w:kinsoku/>
        <w:wordWrap/>
        <w:overflowPunct/>
        <w:topLinePunct w:val="0"/>
        <w:bidi w:val="0"/>
        <w:snapToGrid/>
        <w:spacing w:line="60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我区农村生活污水治理工作所采用的治理模式主要分为以下三种：</w:t>
      </w:r>
    </w:p>
    <w:p>
      <w:pPr>
        <w:keepNext w:val="0"/>
        <w:keepLines w:val="0"/>
        <w:pageBreakBefore w:val="0"/>
        <w:widowControl/>
        <w:kinsoku/>
        <w:wordWrap/>
        <w:overflowPunct/>
        <w:topLinePunct w:val="0"/>
        <w:bidi w:val="0"/>
        <w:snapToGrid/>
        <w:spacing w:line="600" w:lineRule="exact"/>
        <w:ind w:left="0" w:leftChars="0" w:firstLine="640" w:firstLineChars="200"/>
        <w:jc w:val="left"/>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 纳入市政污水管网。将集中收集的生活污水纳入城镇污水管网，由城镇污水处理站进行处理；</w:t>
      </w:r>
    </w:p>
    <w:p>
      <w:pPr>
        <w:keepNext w:val="0"/>
        <w:keepLines w:val="0"/>
        <w:pageBreakBefore w:val="0"/>
        <w:widowControl/>
        <w:kinsoku/>
        <w:wordWrap/>
        <w:overflowPunct/>
        <w:topLinePunct w:val="0"/>
        <w:bidi w:val="0"/>
        <w:snapToGrid/>
        <w:spacing w:line="60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2. 建设农村生活污水处理站。将收集的生活污水进行集中处理，符合相关排放标准后，用于农田灌溉、城市绿化。我区建设的污水处理设施采用MBR膜工艺，生活污水经集中收集汇总到调节池，通过水位自动化控制系统，到MBR一体化污水处理设备中处理，达标后排放。已建有污水处理设施的里口山管理服</w:t>
      </w:r>
      <w:r>
        <w:rPr>
          <w:rFonts w:hint="default" w:ascii="Times New Roman" w:hAnsi="Times New Roman" w:eastAsia="仿宋_GB2312" w:cs="Times New Roman"/>
          <w:sz w:val="32"/>
          <w:szCs w:val="32"/>
        </w:rPr>
        <w:t>务中心4个村、羊亭镇11个村的污水经处理达标后，直接排入外环境；温泉镇16个村的污水经处理达标后用于浇灌绿化带；桥头镇2个村的污水经污水处理站处理达标后排入农田予以灌溉。</w:t>
      </w:r>
    </w:p>
    <w:p>
      <w:pPr>
        <w:keepNext w:val="0"/>
        <w:keepLines w:val="0"/>
        <w:pageBreakBefore w:val="0"/>
        <w:widowControl/>
        <w:kinsoku/>
        <w:wordWrap/>
        <w:overflowPunct/>
        <w:topLinePunct w:val="0"/>
        <w:bidi w:val="0"/>
        <w:snapToGrid/>
        <w:spacing w:line="600" w:lineRule="exact"/>
        <w:ind w:left="0" w:leftChars="0" w:firstLine="640" w:firstLineChars="200"/>
        <w:jc w:val="left"/>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 建设集中收集池，依托拉运车辆将生活污水拉运至城镇污水管网或农村生活污水处理站进行处理。</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楷体_GB2312" w:cs="Times New Roman"/>
          <w:sz w:val="32"/>
          <w:szCs w:val="32"/>
        </w:rPr>
      </w:pPr>
      <w:bookmarkStart w:id="10" w:name="_Toc16948149"/>
      <w:r>
        <w:rPr>
          <w:rFonts w:hint="default" w:ascii="Times New Roman" w:hAnsi="Times New Roman" w:eastAsia="楷体_GB2312" w:cs="Times New Roman"/>
          <w:sz w:val="32"/>
          <w:szCs w:val="32"/>
        </w:rPr>
        <w:t>（二）农村生活污水治理存在的主要问题</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1.宣传引导不到位。部分群众对农村生活污水治理的意义认识不足，积极性和创造性不高。</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2.运维资金相对匮乏。由于资金紧张，农村生活污水运行维护主要由镇街负责，缺乏专门的管理队伍，不能有效保障设备正常运行。</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黑体" w:cs="Times New Roman"/>
          <w:bCs/>
          <w:color w:val="000000"/>
          <w:sz w:val="32"/>
          <w:szCs w:val="32"/>
        </w:rPr>
      </w:pPr>
      <w:r>
        <w:rPr>
          <w:rFonts w:hint="default" w:ascii="Times New Roman" w:hAnsi="Times New Roman" w:eastAsia="黑体" w:cs="Times New Roman"/>
          <w:bCs/>
          <w:color w:val="000000"/>
          <w:sz w:val="32"/>
          <w:szCs w:val="32"/>
        </w:rPr>
        <w:t>五、治理任务及模式</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（一）治理任务验收标准要求</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各行政村农村生活污水治理任务验收标准为农户覆盖率达到80%以上，处理设施正常运行、出水水质达标。</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楷体_GB2312" w:cs="Times New Roman"/>
          <w:sz w:val="32"/>
          <w:szCs w:val="32"/>
        </w:rPr>
      </w:pPr>
      <w:bookmarkStart w:id="11" w:name="_Toc16948151"/>
      <w:r>
        <w:rPr>
          <w:rFonts w:hint="default" w:ascii="Times New Roman" w:hAnsi="Times New Roman" w:eastAsia="楷体_GB2312" w:cs="Times New Roman"/>
          <w:sz w:val="32"/>
          <w:szCs w:val="32"/>
        </w:rPr>
        <w:t>（二）治理工作分步推进要求</w:t>
      </w:r>
      <w:bookmarkEnd w:id="11"/>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我区农村生活污水治理工作按照分步推进策略开展。分步推进应遵循以下原则：</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1.坚持突出重点。按照示范带动、分步实施的原则，优先对饮用水水源地准保护区内的行政村开展生活污水治理。</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2.结合旧村改造。对列入旧村改造计划的村庄，在旧村改造过程中，同步开展生活污水收集处理，并入市政污水管网。</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楷体_GB2312" w:cs="Times New Roman"/>
          <w:sz w:val="32"/>
          <w:szCs w:val="32"/>
        </w:rPr>
      </w:pPr>
      <w:bookmarkStart w:id="12" w:name="_Toc16948152"/>
      <w:r>
        <w:rPr>
          <w:rFonts w:hint="default" w:ascii="Times New Roman" w:hAnsi="Times New Roman" w:eastAsia="楷体_GB2312" w:cs="Times New Roman"/>
          <w:sz w:val="32"/>
          <w:szCs w:val="32"/>
        </w:rPr>
        <w:t>（三）治理模式选择要求</w:t>
      </w:r>
      <w:bookmarkEnd w:id="12"/>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考虑到村庄周边自然条件、农村住户聚集程度、生活污水产生量等因素，我区拟采用集中治理、分散治理与资源利用相结合的方式，充分发挥本地环境消纳能力，科学合理选择收集和治理方式。治理模式主要参考以下模式：</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1.市政纳管处理模式：位于城镇周边的行政村，综合考虑建设投资、管网建设难度等因素，对列入旧村改造计划的村庄，优先考虑将农村生活污水纳入市政管网，由城镇污水处理厂统一处理。</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2.建设污水处理站模式：对居住集中、人口多，能够形成径流，管网建设难度适中的村庄，建设生活污水集中处理设施，对农村生活污水统一收集、统一处理。</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3.集中拉运模式：依托拉运车辆将生活污水拉运至城镇污水管网或农村生活污水处理站进行处理。</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黑体" w:cs="Times New Roman"/>
          <w:bCs/>
          <w:color w:val="000000"/>
          <w:sz w:val="32"/>
          <w:szCs w:val="32"/>
        </w:rPr>
      </w:pPr>
      <w:r>
        <w:rPr>
          <w:rFonts w:hint="default" w:ascii="Times New Roman" w:hAnsi="Times New Roman" w:eastAsia="黑体" w:cs="Times New Roman"/>
          <w:bCs/>
          <w:color w:val="000000"/>
          <w:sz w:val="32"/>
          <w:szCs w:val="32"/>
        </w:rPr>
        <w:t>六、工作要求</w:t>
      </w:r>
      <w:bookmarkEnd w:id="10"/>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（一）统筹规划，有序实施。</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在对全区各自然村调查摸底的基础上，根据农村人口分布密度、自然环境和经济条件，坚持近期和远期相结合，将农村生活污水治理专项规划编制工作纳入全区总体规划当中，通盘谋划，因地制宜制定年度实施计划，落实“一村一策”，统筹全区农村生活污水治理工作。</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（二）政府推动，多元投入。</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坚持政府主导，加强部门资源整合，形成工作合力；坚持农民为主体，充分调动村集体、农民群众的主动性、积极性和创造性；积极引导社会各界参与，探索运用市场化手段，优选资信好、投融资能力强且有从事城乡水环境治理专业能力的企业，实施村庄生活污水治理工程投资建设运营，发挥企业在村庄生活污水治理规模化建设和专业化运行维护等方面的关键作用；多渠道筹集资金，整合和利用现有各类涉农专项资金，采取以奖代补等方式，支持村庄生活污水治理工作。</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（三）因地制宜，经济实用。</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以优化全区水环境为导向，在认真分析各自然村人口数量、居住状况、居民生活规律等基础上，结合不同村庄的地形地貌、排水方式及去向等特点，因地制宜选择适宜的治理模式和处理技术，明确治理目标、序时、措施等。</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（四）示范带动，全面推进。</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以饮用水源和水生态环境保护为重点，按照“典型示范、以点带面，先易后难、全面覆盖”的原则，扎实推进农村生活污水处理设施建设。坚持建设与管理并重，加强日常维护运行，确保治污设施发挥效用。</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（五）加强监管，确保质量。</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加强项目监督管理，确保按计划、高质量顺利推进工程建设，切实达到农村生活污水治理工程质量效果。认真履行工程基本建设程序，严格实行监理责任制，积极开展工程交竣工验收，保障项目依法依规进行</w:t>
      </w:r>
      <w:bookmarkStart w:id="13" w:name="_Toc16948174"/>
      <w:r>
        <w:rPr>
          <w:rFonts w:hint="default" w:ascii="Times New Roman" w:hAnsi="Times New Roman" w:eastAsia="仿宋_GB2312" w:cs="Times New Roman"/>
          <w:color w:val="000000"/>
          <w:sz w:val="32"/>
          <w:szCs w:val="32"/>
        </w:rPr>
        <w:t>。</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黑体" w:cs="Times New Roman"/>
          <w:bCs/>
          <w:color w:val="000000"/>
          <w:sz w:val="32"/>
          <w:szCs w:val="32"/>
        </w:rPr>
      </w:pPr>
      <w:r>
        <w:rPr>
          <w:rFonts w:hint="default" w:ascii="Times New Roman" w:hAnsi="Times New Roman" w:eastAsia="黑体" w:cs="Times New Roman"/>
          <w:bCs/>
          <w:color w:val="000000"/>
          <w:sz w:val="32"/>
          <w:szCs w:val="32"/>
        </w:rPr>
        <w:t>七、保障措施</w:t>
      </w:r>
      <w:bookmarkEnd w:id="13"/>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（一）加强组织领导。</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把农村生活污水治理纳入乡村振兴战略重点任务，依托环翠区乡村生态振兴专班，组织相关成员单位相互配合、积极沟通，统筹推进农村生活污水治理工作，确保任务顺利完成。</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（二）加大资金支持力度。</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各主管部门要会同财政部门，积极争取上级乡村振兴专项资金支持，为农村生活污水治理工作做好资金保障。</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（三）加强设施运行管理。</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按照治污设施常态化运行的要求，一是集中处理方面，实行市场化运作，公开向社会招标，以企业投资管理、政府补助形式开展；二是分散处理方面，由属地镇街负责日常管理，借鉴农村环境卫生综合整治模式，通过“政府补贴一些、村民自筹一些”的方式，每个行政村聘请一名农村生活污水设施管护员，负责加强日常管护，清理杂物、悬浮物和沉积物，确保治污设施的正常运行。部门联动，建立农村生活污水处理设施不定期抽查制度，开展出水水质检测，建立档案。</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（四）完善基础设施建设。</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通过政府主导、村民参与的方式，加快农村基础设施建设，重点加强农村生活污水收集管网（沟、渠、道）的建设，切实改善农村基础设施。</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（五）加大宣传引导力度。</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采取多种宣传方式，大力宣传村庄生活污水治理的重要意义、政策措施，动员广大村民和社会各界积极参与村庄生活污水治理，努力形成全社会关心、支持和参与村庄生活污水治理的良好氛围。</w:t>
      </w: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p>
    <w:p>
      <w:pPr>
        <w:keepNext w:val="0"/>
        <w:keepLines w:val="0"/>
        <w:pageBreakBefore w:val="0"/>
        <w:kinsoku/>
        <w:wordWrap/>
        <w:overflowPunct/>
        <w:topLinePunct w:val="0"/>
        <w:bidi w:val="0"/>
        <w:snapToGrid/>
        <w:spacing w:line="600" w:lineRule="exact"/>
        <w:ind w:left="0" w:leftChars="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附件：1.环翠区农村生活污水治理分年度目标表</w:t>
      </w:r>
    </w:p>
    <w:p>
      <w:pPr>
        <w:keepNext w:val="0"/>
        <w:keepLines w:val="0"/>
        <w:pageBreakBefore w:val="0"/>
        <w:kinsoku/>
        <w:wordWrap/>
        <w:overflowPunct/>
        <w:topLinePunct w:val="0"/>
        <w:bidi w:val="0"/>
        <w:snapToGrid/>
        <w:spacing w:line="600" w:lineRule="exact"/>
        <w:ind w:left="0" w:leftChars="0" w:firstLine="1600" w:firstLineChars="5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2.环翠区农村生活污水治理实施计划详表</w:t>
      </w:r>
    </w:p>
    <w:p>
      <w:pPr>
        <w:keepNext w:val="0"/>
        <w:keepLines w:val="0"/>
        <w:pageBreakBefore w:val="0"/>
        <w:kinsoku/>
        <w:wordWrap/>
        <w:overflowPunct/>
        <w:topLinePunct w:val="0"/>
        <w:bidi w:val="0"/>
        <w:snapToGrid/>
        <w:spacing w:line="600" w:lineRule="exact"/>
        <w:ind w:left="0" w:leftChars="0" w:firstLine="1600" w:firstLineChars="500"/>
        <w:rPr>
          <w:rFonts w:hint="default" w:ascii="Times New Roman" w:hAnsi="Times New Roman" w:eastAsia="仿宋" w:cs="Times New Roman"/>
          <w:bCs/>
          <w:sz w:val="32"/>
          <w:szCs w:val="32"/>
        </w:rPr>
      </w:pPr>
      <w:r>
        <w:rPr>
          <w:rFonts w:hint="default" w:ascii="Times New Roman" w:hAnsi="Times New Roman" w:eastAsia="仿宋_GB2312" w:cs="Times New Roman"/>
          <w:color w:val="000000"/>
          <w:sz w:val="32"/>
          <w:szCs w:val="32"/>
        </w:rPr>
        <w:t>3.环翠区农村生活污水治理工作进度汇总表</w:t>
      </w:r>
    </w:p>
    <w:p>
      <w:pPr>
        <w:keepNext w:val="0"/>
        <w:keepLines w:val="0"/>
        <w:pageBreakBefore w:val="0"/>
        <w:kinsoku/>
        <w:wordWrap/>
        <w:overflowPunct/>
        <w:topLinePunct w:val="0"/>
        <w:bidi w:val="0"/>
        <w:snapToGrid/>
        <w:spacing w:line="600" w:lineRule="exact"/>
        <w:ind w:left="0" w:leftChars="0"/>
        <w:rPr>
          <w:rFonts w:hint="default" w:ascii="Times New Roman" w:hAnsi="Times New Roman" w:eastAsia="黑体" w:cs="Times New Roman"/>
          <w:bCs/>
          <w:kern w:val="0"/>
          <w:sz w:val="32"/>
          <w:szCs w:val="32"/>
        </w:rPr>
      </w:pPr>
      <w:r>
        <w:rPr>
          <w:rFonts w:hint="default" w:ascii="Times New Roman" w:hAnsi="Times New Roman" w:eastAsia="黑体" w:cs="Times New Roman"/>
          <w:bCs/>
          <w:kern w:val="0"/>
          <w:sz w:val="32"/>
          <w:szCs w:val="32"/>
        </w:rPr>
        <w:t>附件1：</w:t>
      </w:r>
    </w:p>
    <w:p>
      <w:pPr>
        <w:keepNext w:val="0"/>
        <w:keepLines w:val="0"/>
        <w:pageBreakBefore w:val="0"/>
        <w:kinsoku/>
        <w:wordWrap/>
        <w:overflowPunct/>
        <w:topLinePunct w:val="0"/>
        <w:bidi w:val="0"/>
        <w:snapToGrid/>
        <w:spacing w:line="600" w:lineRule="exact"/>
        <w:ind w:left="0" w:leftChars="0"/>
        <w:rPr>
          <w:rFonts w:hint="default" w:ascii="Times New Roman" w:hAnsi="Times New Roman" w:eastAsia="文星简小标宋" w:cs="Times New Roman"/>
          <w:bCs/>
          <w:kern w:val="0"/>
          <w:sz w:val="32"/>
          <w:szCs w:val="32"/>
        </w:rPr>
      </w:pPr>
    </w:p>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文星简小标宋" w:cs="Times New Roman"/>
          <w:bCs/>
          <w:kern w:val="0"/>
          <w:sz w:val="44"/>
          <w:szCs w:val="44"/>
        </w:rPr>
      </w:pPr>
      <w:r>
        <w:rPr>
          <w:rFonts w:hint="default" w:ascii="Times New Roman" w:hAnsi="Times New Roman" w:eastAsia="文星简小标宋" w:cs="Times New Roman"/>
          <w:bCs/>
          <w:kern w:val="0"/>
          <w:sz w:val="44"/>
          <w:szCs w:val="44"/>
        </w:rPr>
        <w:t>环翠区农村生活污水治理分年度目标表</w:t>
      </w:r>
    </w:p>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方正小标宋简体" w:cs="Times New Roman"/>
          <w:b/>
          <w:kern w:val="0"/>
          <w:sz w:val="44"/>
          <w:szCs w:val="44"/>
        </w:rPr>
      </w:pPr>
    </w:p>
    <w:tbl>
      <w:tblPr>
        <w:tblStyle w:val="18"/>
        <w:tblW w:w="10773" w:type="dxa"/>
        <w:tblInd w:w="-45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425"/>
        <w:gridCol w:w="709"/>
        <w:gridCol w:w="567"/>
        <w:gridCol w:w="567"/>
        <w:gridCol w:w="851"/>
        <w:gridCol w:w="567"/>
        <w:gridCol w:w="425"/>
        <w:gridCol w:w="851"/>
        <w:gridCol w:w="567"/>
        <w:gridCol w:w="567"/>
        <w:gridCol w:w="850"/>
        <w:gridCol w:w="567"/>
        <w:gridCol w:w="567"/>
        <w:gridCol w:w="851"/>
        <w:gridCol w:w="567"/>
        <w:gridCol w:w="425"/>
        <w:gridCol w:w="85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74" w:hRule="atLeast"/>
        </w:trPr>
        <w:tc>
          <w:tcPr>
            <w:tcW w:w="425" w:type="dxa"/>
            <w:vMerge w:val="restart"/>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sz w:val="22"/>
              </w:rPr>
            </w:pPr>
            <w:r>
              <w:rPr>
                <w:rFonts w:hint="default" w:ascii="Times New Roman" w:hAnsi="Times New Roman" w:eastAsia="黑体" w:cs="Times New Roman"/>
                <w:sz w:val="22"/>
              </w:rPr>
              <w:t>辖区</w:t>
            </w:r>
          </w:p>
        </w:tc>
        <w:tc>
          <w:tcPr>
            <w:tcW w:w="709" w:type="dxa"/>
            <w:vMerge w:val="restart"/>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黑体" w:cs="Times New Roman"/>
                <w:sz w:val="22"/>
              </w:rPr>
            </w:pPr>
            <w:r>
              <w:rPr>
                <w:rFonts w:hint="default" w:ascii="Times New Roman" w:hAnsi="Times New Roman" w:eastAsia="黑体" w:cs="Times New Roman"/>
                <w:sz w:val="22"/>
              </w:rPr>
              <w:t>农村生活污水治理行政村总数</w:t>
            </w:r>
          </w:p>
        </w:tc>
        <w:tc>
          <w:tcPr>
            <w:tcW w:w="1985" w:type="dxa"/>
            <w:gridSpan w:val="3"/>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sz w:val="22"/>
              </w:rPr>
            </w:pPr>
            <w:r>
              <w:rPr>
                <w:rFonts w:hint="default" w:ascii="Times New Roman" w:hAnsi="Times New Roman" w:eastAsia="黑体" w:cs="Times New Roman"/>
                <w:sz w:val="22"/>
              </w:rPr>
              <w:t>2021年目标</w:t>
            </w:r>
          </w:p>
        </w:tc>
        <w:tc>
          <w:tcPr>
            <w:tcW w:w="1843" w:type="dxa"/>
            <w:gridSpan w:val="3"/>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sz w:val="22"/>
              </w:rPr>
            </w:pPr>
            <w:r>
              <w:rPr>
                <w:rFonts w:hint="default" w:ascii="Times New Roman" w:hAnsi="Times New Roman" w:eastAsia="黑体" w:cs="Times New Roman"/>
                <w:sz w:val="22"/>
              </w:rPr>
              <w:t>2022年目标</w:t>
            </w:r>
          </w:p>
        </w:tc>
        <w:tc>
          <w:tcPr>
            <w:tcW w:w="1984" w:type="dxa"/>
            <w:gridSpan w:val="3"/>
            <w:tcBorders>
              <w:right w:val="single" w:color="auto" w:sz="4" w:space="0"/>
            </w:tcBorders>
            <w:vAlign w:val="center"/>
          </w:tcPr>
          <w:p>
            <w:pPr>
              <w:keepNext w:val="0"/>
              <w:keepLines w:val="0"/>
              <w:pageBreakBefore w:val="0"/>
              <w:widowControl/>
              <w:kinsoku/>
              <w:wordWrap/>
              <w:overflowPunct/>
              <w:topLinePunct w:val="0"/>
              <w:bidi w:val="0"/>
              <w:snapToGrid/>
              <w:spacing w:line="600" w:lineRule="exact"/>
              <w:ind w:left="0" w:leftChars="0"/>
              <w:jc w:val="center"/>
              <w:rPr>
                <w:rFonts w:hint="default" w:ascii="Times New Roman" w:hAnsi="Times New Roman" w:eastAsia="黑体" w:cs="Times New Roman"/>
                <w:sz w:val="22"/>
              </w:rPr>
            </w:pPr>
            <w:r>
              <w:rPr>
                <w:rFonts w:hint="default" w:ascii="Times New Roman" w:hAnsi="Times New Roman" w:eastAsia="黑体" w:cs="Times New Roman"/>
                <w:sz w:val="22"/>
              </w:rPr>
              <w:t>2023年目标</w:t>
            </w:r>
          </w:p>
        </w:tc>
        <w:tc>
          <w:tcPr>
            <w:tcW w:w="1985" w:type="dxa"/>
            <w:gridSpan w:val="3"/>
            <w:tcBorders>
              <w:top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napToGrid/>
              <w:spacing w:line="600" w:lineRule="exact"/>
              <w:ind w:left="0" w:leftChars="0"/>
              <w:jc w:val="center"/>
              <w:rPr>
                <w:rFonts w:hint="default" w:ascii="Times New Roman" w:hAnsi="Times New Roman" w:eastAsia="黑体" w:cs="Times New Roman"/>
                <w:sz w:val="22"/>
              </w:rPr>
            </w:pPr>
            <w:r>
              <w:rPr>
                <w:rFonts w:hint="default" w:ascii="Times New Roman" w:hAnsi="Times New Roman" w:eastAsia="黑体" w:cs="Times New Roman"/>
                <w:sz w:val="22"/>
              </w:rPr>
              <w:t>2024年目标</w:t>
            </w:r>
          </w:p>
        </w:tc>
        <w:tc>
          <w:tcPr>
            <w:tcW w:w="18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napToGrid/>
              <w:spacing w:line="600" w:lineRule="exact"/>
              <w:ind w:left="0" w:leftChars="0"/>
              <w:jc w:val="center"/>
              <w:rPr>
                <w:rFonts w:hint="default" w:ascii="Times New Roman" w:hAnsi="Times New Roman" w:eastAsia="黑体" w:cs="Times New Roman"/>
                <w:sz w:val="22"/>
              </w:rPr>
            </w:pPr>
            <w:r>
              <w:rPr>
                <w:rFonts w:hint="default" w:ascii="Times New Roman" w:hAnsi="Times New Roman" w:eastAsia="黑体" w:cs="Times New Roman"/>
                <w:sz w:val="22"/>
              </w:rPr>
              <w:t>2025年目标</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7" w:hRule="atLeast"/>
        </w:trPr>
        <w:tc>
          <w:tcPr>
            <w:tcW w:w="425" w:type="dxa"/>
            <w:vMerge w:val="continue"/>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sz w:val="22"/>
              </w:rPr>
            </w:pPr>
          </w:p>
        </w:tc>
        <w:tc>
          <w:tcPr>
            <w:tcW w:w="709" w:type="dxa"/>
            <w:vMerge w:val="continue"/>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sz w:val="22"/>
              </w:rPr>
            </w:pPr>
          </w:p>
        </w:tc>
        <w:tc>
          <w:tcPr>
            <w:tcW w:w="567"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sz w:val="22"/>
              </w:rPr>
            </w:pPr>
            <w:r>
              <w:rPr>
                <w:rFonts w:hint="default" w:ascii="Times New Roman" w:hAnsi="Times New Roman" w:eastAsia="黑体" w:cs="Times New Roman"/>
                <w:sz w:val="22"/>
              </w:rPr>
              <w:t>完成污水治理的行政村总数</w:t>
            </w:r>
          </w:p>
        </w:tc>
        <w:tc>
          <w:tcPr>
            <w:tcW w:w="567"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sz w:val="22"/>
              </w:rPr>
            </w:pPr>
            <w:r>
              <w:rPr>
                <w:rFonts w:hint="default" w:ascii="Times New Roman" w:hAnsi="Times New Roman" w:eastAsia="黑体" w:cs="Times New Roman"/>
                <w:sz w:val="22"/>
              </w:rPr>
              <w:t>年度目标数</w:t>
            </w:r>
          </w:p>
        </w:tc>
        <w:tc>
          <w:tcPr>
            <w:tcW w:w="851"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sz w:val="22"/>
              </w:rPr>
            </w:pPr>
            <w:r>
              <w:rPr>
                <w:rFonts w:hint="default" w:ascii="Times New Roman" w:hAnsi="Times New Roman" w:eastAsia="黑体" w:cs="Times New Roman"/>
                <w:sz w:val="22"/>
              </w:rPr>
              <w:t>目标值</w:t>
            </w:r>
          </w:p>
          <w:p>
            <w:pPr>
              <w:pStyle w:val="26"/>
              <w:keepNext w:val="0"/>
              <w:keepLines w:val="0"/>
              <w:pageBreakBefore w:val="0"/>
              <w:kinsoku/>
              <w:wordWrap/>
              <w:overflowPunct/>
              <w:topLinePunct w:val="0"/>
              <w:bidi w:val="0"/>
              <w:snapToGrid/>
              <w:spacing w:line="600" w:lineRule="exact"/>
              <w:ind w:left="0" w:leftChars="0"/>
              <w:rPr>
                <w:rFonts w:hint="default" w:ascii="Times New Roman" w:hAnsi="Times New Roman" w:cs="Times New Roman"/>
              </w:rPr>
            </w:pPr>
            <w:r>
              <w:rPr>
                <w:rFonts w:hint="default" w:ascii="Times New Roman" w:hAnsi="Times New Roman" w:cs="Times New Roman"/>
              </w:rPr>
              <w:t>（%）</w:t>
            </w:r>
          </w:p>
        </w:tc>
        <w:tc>
          <w:tcPr>
            <w:tcW w:w="567"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sz w:val="22"/>
              </w:rPr>
            </w:pPr>
            <w:r>
              <w:rPr>
                <w:rFonts w:hint="default" w:ascii="Times New Roman" w:hAnsi="Times New Roman" w:eastAsia="黑体" w:cs="Times New Roman"/>
                <w:sz w:val="22"/>
              </w:rPr>
              <w:t>完成污水治理的行政村总数</w:t>
            </w:r>
          </w:p>
        </w:tc>
        <w:tc>
          <w:tcPr>
            <w:tcW w:w="425"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sz w:val="22"/>
              </w:rPr>
            </w:pPr>
            <w:r>
              <w:rPr>
                <w:rFonts w:hint="default" w:ascii="Times New Roman" w:hAnsi="Times New Roman" w:eastAsia="黑体" w:cs="Times New Roman"/>
                <w:sz w:val="22"/>
              </w:rPr>
              <w:t>年度目标数</w:t>
            </w:r>
          </w:p>
        </w:tc>
        <w:tc>
          <w:tcPr>
            <w:tcW w:w="851"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sz w:val="22"/>
              </w:rPr>
            </w:pPr>
            <w:r>
              <w:rPr>
                <w:rFonts w:hint="default" w:ascii="Times New Roman" w:hAnsi="Times New Roman" w:eastAsia="黑体" w:cs="Times New Roman"/>
                <w:sz w:val="22"/>
              </w:rPr>
              <w:t>目标值</w:t>
            </w:r>
          </w:p>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sz w:val="22"/>
              </w:rPr>
            </w:pPr>
            <w:r>
              <w:rPr>
                <w:rFonts w:hint="default" w:ascii="Times New Roman" w:hAnsi="Times New Roman" w:cs="Times New Roman"/>
              </w:rPr>
              <w:t>（%）</w:t>
            </w:r>
          </w:p>
        </w:tc>
        <w:tc>
          <w:tcPr>
            <w:tcW w:w="567"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sz w:val="22"/>
              </w:rPr>
            </w:pPr>
            <w:r>
              <w:rPr>
                <w:rFonts w:hint="default" w:ascii="Times New Roman" w:hAnsi="Times New Roman" w:eastAsia="黑体" w:cs="Times New Roman"/>
                <w:sz w:val="22"/>
              </w:rPr>
              <w:t>完成污水治理的行政村总数</w:t>
            </w:r>
          </w:p>
        </w:tc>
        <w:tc>
          <w:tcPr>
            <w:tcW w:w="567"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sz w:val="22"/>
              </w:rPr>
            </w:pPr>
            <w:r>
              <w:rPr>
                <w:rFonts w:hint="default" w:ascii="Times New Roman" w:hAnsi="Times New Roman" w:eastAsia="黑体" w:cs="Times New Roman"/>
                <w:sz w:val="22"/>
              </w:rPr>
              <w:t>年度目标数</w:t>
            </w:r>
          </w:p>
        </w:tc>
        <w:tc>
          <w:tcPr>
            <w:tcW w:w="85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sz w:val="22"/>
              </w:rPr>
            </w:pPr>
            <w:r>
              <w:rPr>
                <w:rFonts w:hint="default" w:ascii="Times New Roman" w:hAnsi="Times New Roman" w:eastAsia="黑体" w:cs="Times New Roman"/>
                <w:sz w:val="22"/>
              </w:rPr>
              <w:t>目标值</w:t>
            </w:r>
            <w:r>
              <w:rPr>
                <w:rFonts w:hint="default" w:ascii="Times New Roman" w:hAnsi="Times New Roman" w:cs="Times New Roman"/>
              </w:rPr>
              <w:t>（%）</w:t>
            </w:r>
          </w:p>
        </w:tc>
        <w:tc>
          <w:tcPr>
            <w:tcW w:w="567" w:type="dxa"/>
            <w:tcBorders>
              <w:top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sz w:val="22"/>
              </w:rPr>
            </w:pPr>
            <w:r>
              <w:rPr>
                <w:rFonts w:hint="default" w:ascii="Times New Roman" w:hAnsi="Times New Roman" w:eastAsia="黑体" w:cs="Times New Roman"/>
                <w:sz w:val="22"/>
              </w:rPr>
              <w:t>完成污水治理的行政村总数</w:t>
            </w:r>
          </w:p>
        </w:tc>
        <w:tc>
          <w:tcPr>
            <w:tcW w:w="567" w:type="dxa"/>
            <w:tcBorders>
              <w:top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sz w:val="22"/>
              </w:rPr>
            </w:pPr>
            <w:r>
              <w:rPr>
                <w:rFonts w:hint="default" w:ascii="Times New Roman" w:hAnsi="Times New Roman" w:eastAsia="黑体" w:cs="Times New Roman"/>
                <w:sz w:val="22"/>
              </w:rPr>
              <w:t>年度目标数</w:t>
            </w:r>
          </w:p>
        </w:tc>
        <w:tc>
          <w:tcPr>
            <w:tcW w:w="851" w:type="dxa"/>
            <w:tcBorders>
              <w:top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sz w:val="22"/>
              </w:rPr>
            </w:pPr>
            <w:r>
              <w:rPr>
                <w:rFonts w:hint="default" w:ascii="Times New Roman" w:hAnsi="Times New Roman" w:eastAsia="黑体" w:cs="Times New Roman"/>
                <w:sz w:val="22"/>
              </w:rPr>
              <w:t>目标值</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sz w:val="22"/>
              </w:rPr>
            </w:pPr>
            <w:r>
              <w:rPr>
                <w:rFonts w:hint="default" w:ascii="Times New Roman" w:hAnsi="Times New Roman" w:eastAsia="黑体" w:cs="Times New Roman"/>
                <w:sz w:val="22"/>
              </w:rPr>
              <w:t>完成污水治理的行政村总数</w:t>
            </w:r>
          </w:p>
        </w:tc>
        <w:tc>
          <w:tcPr>
            <w:tcW w:w="4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sz w:val="22"/>
              </w:rPr>
            </w:pPr>
            <w:r>
              <w:rPr>
                <w:rFonts w:hint="default" w:ascii="Times New Roman" w:hAnsi="Times New Roman" w:eastAsia="黑体" w:cs="Times New Roman"/>
                <w:sz w:val="22"/>
              </w:rPr>
              <w:t>年度目标数</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sz w:val="22"/>
              </w:rPr>
            </w:pPr>
            <w:r>
              <w:rPr>
                <w:rFonts w:hint="default" w:ascii="Times New Roman" w:hAnsi="Times New Roman" w:eastAsia="黑体" w:cs="Times New Roman"/>
                <w:sz w:val="22"/>
              </w:rPr>
              <w:t>目标值</w:t>
            </w:r>
          </w:p>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sz w:val="22"/>
              </w:rPr>
            </w:pPr>
            <w:r>
              <w:rPr>
                <w:rFonts w:hint="default" w:ascii="Times New Roman" w:hAnsi="Times New Roman" w:cs="Times New Roman"/>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7" w:hRule="atLeast"/>
        </w:trPr>
        <w:tc>
          <w:tcPr>
            <w:tcW w:w="425"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 w:cs="Times New Roman"/>
                <w:bCs/>
                <w:sz w:val="22"/>
              </w:rPr>
            </w:pPr>
            <w:r>
              <w:rPr>
                <w:rFonts w:hint="default" w:ascii="Times New Roman" w:hAnsi="Times New Roman" w:eastAsia="仿宋_GB2312" w:cs="Times New Roman"/>
                <w:bCs/>
                <w:sz w:val="22"/>
              </w:rPr>
              <w:t>环翠区</w:t>
            </w:r>
          </w:p>
        </w:tc>
        <w:tc>
          <w:tcPr>
            <w:tcW w:w="709"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 w:cs="Times New Roman"/>
                <w:bCs/>
                <w:sz w:val="22"/>
              </w:rPr>
            </w:pPr>
            <w:r>
              <w:rPr>
                <w:rFonts w:hint="default" w:ascii="Times New Roman" w:hAnsi="Times New Roman" w:eastAsia="仿宋" w:cs="Times New Roman"/>
                <w:bCs/>
                <w:sz w:val="22"/>
              </w:rPr>
              <w:t>108</w:t>
            </w:r>
          </w:p>
        </w:tc>
        <w:tc>
          <w:tcPr>
            <w:tcW w:w="567"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 w:cs="Times New Roman"/>
                <w:bCs/>
                <w:sz w:val="22"/>
              </w:rPr>
            </w:pPr>
            <w:r>
              <w:rPr>
                <w:rFonts w:hint="default" w:ascii="Times New Roman" w:hAnsi="Times New Roman" w:eastAsia="仿宋" w:cs="Times New Roman"/>
                <w:bCs/>
                <w:sz w:val="22"/>
              </w:rPr>
              <w:t>62</w:t>
            </w:r>
          </w:p>
        </w:tc>
        <w:tc>
          <w:tcPr>
            <w:tcW w:w="567"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 w:cs="Times New Roman"/>
                <w:bCs/>
                <w:sz w:val="22"/>
              </w:rPr>
            </w:pPr>
            <w:r>
              <w:rPr>
                <w:rFonts w:hint="default" w:ascii="Times New Roman" w:hAnsi="Times New Roman" w:eastAsia="仿宋" w:cs="Times New Roman"/>
                <w:bCs/>
                <w:sz w:val="22"/>
              </w:rPr>
              <w:t>12</w:t>
            </w:r>
          </w:p>
        </w:tc>
        <w:tc>
          <w:tcPr>
            <w:tcW w:w="851"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 w:cs="Times New Roman"/>
                <w:bCs/>
                <w:sz w:val="22"/>
              </w:rPr>
            </w:pPr>
            <w:r>
              <w:rPr>
                <w:rFonts w:hint="default" w:ascii="Times New Roman" w:hAnsi="Times New Roman" w:eastAsia="仿宋" w:cs="Times New Roman"/>
                <w:bCs/>
                <w:sz w:val="22"/>
              </w:rPr>
              <w:t>57.41</w:t>
            </w:r>
          </w:p>
        </w:tc>
        <w:tc>
          <w:tcPr>
            <w:tcW w:w="567"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 w:cs="Times New Roman"/>
                <w:bCs/>
                <w:sz w:val="22"/>
              </w:rPr>
            </w:pPr>
            <w:r>
              <w:rPr>
                <w:rFonts w:hint="default" w:ascii="Times New Roman" w:hAnsi="Times New Roman" w:eastAsia="仿宋" w:cs="Times New Roman"/>
                <w:bCs/>
                <w:sz w:val="22"/>
              </w:rPr>
              <w:t>71</w:t>
            </w:r>
          </w:p>
        </w:tc>
        <w:tc>
          <w:tcPr>
            <w:tcW w:w="425"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 w:cs="Times New Roman"/>
                <w:bCs/>
                <w:sz w:val="22"/>
              </w:rPr>
            </w:pPr>
            <w:r>
              <w:rPr>
                <w:rFonts w:hint="default" w:ascii="Times New Roman" w:hAnsi="Times New Roman" w:eastAsia="仿宋" w:cs="Times New Roman"/>
                <w:bCs/>
                <w:sz w:val="22"/>
              </w:rPr>
              <w:t>9</w:t>
            </w:r>
          </w:p>
        </w:tc>
        <w:tc>
          <w:tcPr>
            <w:tcW w:w="851"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 w:cs="Times New Roman"/>
                <w:bCs/>
                <w:sz w:val="22"/>
              </w:rPr>
            </w:pPr>
            <w:r>
              <w:rPr>
                <w:rFonts w:hint="default" w:ascii="Times New Roman" w:hAnsi="Times New Roman" w:eastAsia="仿宋" w:cs="Times New Roman"/>
                <w:bCs/>
                <w:sz w:val="22"/>
              </w:rPr>
              <w:t>65.74</w:t>
            </w:r>
          </w:p>
        </w:tc>
        <w:tc>
          <w:tcPr>
            <w:tcW w:w="567"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 w:cs="Times New Roman"/>
                <w:bCs/>
                <w:sz w:val="22"/>
              </w:rPr>
            </w:pPr>
            <w:r>
              <w:rPr>
                <w:rFonts w:hint="default" w:ascii="Times New Roman" w:hAnsi="Times New Roman" w:eastAsia="仿宋" w:cs="Times New Roman"/>
                <w:bCs/>
                <w:sz w:val="22"/>
              </w:rPr>
              <w:t>84</w:t>
            </w:r>
          </w:p>
        </w:tc>
        <w:tc>
          <w:tcPr>
            <w:tcW w:w="567"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 w:cs="Times New Roman"/>
                <w:bCs/>
                <w:sz w:val="22"/>
              </w:rPr>
            </w:pPr>
            <w:r>
              <w:rPr>
                <w:rFonts w:hint="default" w:ascii="Times New Roman" w:hAnsi="Times New Roman" w:eastAsia="仿宋" w:cs="Times New Roman"/>
                <w:bCs/>
                <w:sz w:val="22"/>
              </w:rPr>
              <w:t>13</w:t>
            </w:r>
          </w:p>
        </w:tc>
        <w:tc>
          <w:tcPr>
            <w:tcW w:w="85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 w:cs="Times New Roman"/>
                <w:bCs/>
                <w:sz w:val="22"/>
              </w:rPr>
            </w:pPr>
            <w:r>
              <w:rPr>
                <w:rFonts w:hint="default" w:ascii="Times New Roman" w:hAnsi="Times New Roman" w:eastAsia="仿宋" w:cs="Times New Roman"/>
                <w:bCs/>
                <w:sz w:val="22"/>
              </w:rPr>
              <w:t>77.77</w:t>
            </w:r>
          </w:p>
        </w:tc>
        <w:tc>
          <w:tcPr>
            <w:tcW w:w="567" w:type="dxa"/>
            <w:tcBorders>
              <w:top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napToGrid/>
              <w:spacing w:line="600" w:lineRule="exact"/>
              <w:ind w:left="0" w:leftChars="0"/>
              <w:jc w:val="center"/>
              <w:rPr>
                <w:rFonts w:hint="default" w:ascii="Times New Roman" w:hAnsi="Times New Roman" w:eastAsia="仿宋" w:cs="Times New Roman"/>
                <w:bCs/>
                <w:sz w:val="22"/>
              </w:rPr>
            </w:pPr>
            <w:r>
              <w:rPr>
                <w:rFonts w:hint="default" w:ascii="Times New Roman" w:hAnsi="Times New Roman" w:eastAsia="仿宋" w:cs="Times New Roman"/>
                <w:bCs/>
                <w:sz w:val="22"/>
              </w:rPr>
              <w:t>98</w:t>
            </w:r>
          </w:p>
        </w:tc>
        <w:tc>
          <w:tcPr>
            <w:tcW w:w="567" w:type="dxa"/>
            <w:tcBorders>
              <w:top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napToGrid/>
              <w:spacing w:line="600" w:lineRule="exact"/>
              <w:ind w:left="0" w:leftChars="0"/>
              <w:jc w:val="center"/>
              <w:rPr>
                <w:rFonts w:hint="default" w:ascii="Times New Roman" w:hAnsi="Times New Roman" w:eastAsia="仿宋" w:cs="Times New Roman"/>
                <w:bCs/>
                <w:sz w:val="22"/>
              </w:rPr>
            </w:pPr>
            <w:r>
              <w:rPr>
                <w:rFonts w:hint="default" w:ascii="Times New Roman" w:hAnsi="Times New Roman" w:eastAsia="仿宋" w:cs="Times New Roman"/>
                <w:bCs/>
                <w:sz w:val="22"/>
              </w:rPr>
              <w:t>14</w:t>
            </w:r>
          </w:p>
        </w:tc>
        <w:tc>
          <w:tcPr>
            <w:tcW w:w="851" w:type="dxa"/>
            <w:tcBorders>
              <w:top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napToGrid/>
              <w:spacing w:line="600" w:lineRule="exact"/>
              <w:ind w:left="0" w:leftChars="0"/>
              <w:jc w:val="center"/>
              <w:rPr>
                <w:rFonts w:hint="default" w:ascii="Times New Roman" w:hAnsi="Times New Roman" w:eastAsia="仿宋" w:cs="Times New Roman"/>
                <w:bCs/>
                <w:sz w:val="22"/>
              </w:rPr>
            </w:pPr>
            <w:r>
              <w:rPr>
                <w:rFonts w:hint="default" w:ascii="Times New Roman" w:hAnsi="Times New Roman" w:eastAsia="仿宋" w:cs="Times New Roman"/>
                <w:bCs/>
                <w:sz w:val="22"/>
              </w:rPr>
              <w:t>90.74</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napToGrid/>
              <w:spacing w:line="600" w:lineRule="exact"/>
              <w:ind w:left="0" w:leftChars="0"/>
              <w:jc w:val="center"/>
              <w:rPr>
                <w:rFonts w:hint="default" w:ascii="Times New Roman" w:hAnsi="Times New Roman" w:eastAsia="仿宋" w:cs="Times New Roman"/>
                <w:bCs/>
                <w:sz w:val="22"/>
              </w:rPr>
            </w:pPr>
            <w:r>
              <w:rPr>
                <w:rFonts w:hint="default" w:ascii="Times New Roman" w:hAnsi="Times New Roman" w:eastAsia="仿宋" w:cs="Times New Roman"/>
                <w:bCs/>
                <w:sz w:val="22"/>
              </w:rPr>
              <w:t>106</w:t>
            </w:r>
          </w:p>
        </w:tc>
        <w:tc>
          <w:tcPr>
            <w:tcW w:w="4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napToGrid/>
              <w:spacing w:line="600" w:lineRule="exact"/>
              <w:ind w:left="0" w:leftChars="0"/>
              <w:jc w:val="center"/>
              <w:rPr>
                <w:rFonts w:hint="default" w:ascii="Times New Roman" w:hAnsi="Times New Roman" w:eastAsia="仿宋" w:cs="Times New Roman"/>
                <w:bCs/>
                <w:sz w:val="22"/>
              </w:rPr>
            </w:pPr>
            <w:r>
              <w:rPr>
                <w:rFonts w:hint="default" w:ascii="Times New Roman" w:hAnsi="Times New Roman" w:eastAsia="仿宋" w:cs="Times New Roman"/>
                <w:bCs/>
                <w:sz w:val="22"/>
              </w:rPr>
              <w:t>8</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napToGrid/>
              <w:spacing w:line="600" w:lineRule="exact"/>
              <w:ind w:left="0" w:leftChars="0"/>
              <w:jc w:val="center"/>
              <w:rPr>
                <w:rFonts w:hint="default" w:ascii="Times New Roman" w:hAnsi="Times New Roman" w:eastAsia="仿宋" w:cs="Times New Roman"/>
                <w:bCs/>
                <w:sz w:val="22"/>
              </w:rPr>
            </w:pPr>
            <w:r>
              <w:rPr>
                <w:rFonts w:hint="default" w:ascii="Times New Roman" w:hAnsi="Times New Roman" w:eastAsia="仿宋" w:cs="Times New Roman"/>
                <w:bCs/>
                <w:sz w:val="22"/>
              </w:rPr>
              <w:t>98.14</w:t>
            </w:r>
          </w:p>
        </w:tc>
      </w:tr>
    </w:tbl>
    <w:p>
      <w:pPr>
        <w:keepNext w:val="0"/>
        <w:keepLines w:val="0"/>
        <w:pageBreakBefore w:val="0"/>
        <w:kinsoku/>
        <w:wordWrap/>
        <w:overflowPunct/>
        <w:topLinePunct w:val="0"/>
        <w:bidi w:val="0"/>
        <w:snapToGrid/>
        <w:spacing w:line="600" w:lineRule="exact"/>
        <w:ind w:left="0" w:leftChars="0"/>
        <w:jc w:val="left"/>
        <w:rPr>
          <w:rFonts w:hint="default" w:ascii="Times New Roman" w:hAnsi="Times New Roman" w:eastAsia="黑体" w:cs="Times New Roman"/>
        </w:rPr>
      </w:pPr>
    </w:p>
    <w:p>
      <w:pPr>
        <w:keepNext w:val="0"/>
        <w:keepLines w:val="0"/>
        <w:pageBreakBefore w:val="0"/>
        <w:kinsoku/>
        <w:wordWrap/>
        <w:overflowPunct/>
        <w:topLinePunct w:val="0"/>
        <w:bidi w:val="0"/>
        <w:snapToGrid/>
        <w:spacing w:line="600" w:lineRule="exact"/>
        <w:ind w:left="0" w:leftChars="0"/>
        <w:jc w:val="left"/>
        <w:rPr>
          <w:rFonts w:hint="default" w:ascii="Times New Roman" w:hAnsi="Times New Roman" w:eastAsia="黑体" w:cs="Times New Roman"/>
          <w:sz w:val="32"/>
          <w:szCs w:val="32"/>
        </w:rPr>
      </w:pPr>
    </w:p>
    <w:p>
      <w:pPr>
        <w:keepNext w:val="0"/>
        <w:keepLines w:val="0"/>
        <w:pageBreakBefore w:val="0"/>
        <w:kinsoku/>
        <w:wordWrap/>
        <w:overflowPunct/>
        <w:topLinePunct w:val="0"/>
        <w:bidi w:val="0"/>
        <w:snapToGrid/>
        <w:spacing w:line="600" w:lineRule="exact"/>
        <w:ind w:left="0" w:left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附件2：</w:t>
      </w:r>
    </w:p>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sz w:val="32"/>
          <w:szCs w:val="32"/>
        </w:rPr>
      </w:pPr>
    </w:p>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文星简小标宋" w:cs="Times New Roman"/>
          <w:bCs/>
          <w:sz w:val="44"/>
          <w:szCs w:val="44"/>
        </w:rPr>
      </w:pPr>
      <w:r>
        <w:rPr>
          <w:rFonts w:hint="default" w:ascii="Times New Roman" w:hAnsi="Times New Roman" w:eastAsia="文星简小标宋" w:cs="Times New Roman"/>
          <w:bCs/>
          <w:sz w:val="44"/>
          <w:szCs w:val="44"/>
        </w:rPr>
        <w:t>环翠区农村生活污水治理实施计划详表</w:t>
      </w:r>
    </w:p>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方正小标宋简体" w:cs="Times New Roman"/>
          <w:b/>
          <w:sz w:val="44"/>
          <w:szCs w:val="44"/>
        </w:rPr>
      </w:pPr>
    </w:p>
    <w:tbl>
      <w:tblPr>
        <w:tblStyle w:val="18"/>
        <w:tblW w:w="8610" w:type="dxa"/>
        <w:jc w:val="center"/>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Layout w:type="fixed"/>
        <w:tblCellMar>
          <w:top w:w="0" w:type="dxa"/>
          <w:left w:w="0" w:type="dxa"/>
          <w:bottom w:w="0" w:type="dxa"/>
          <w:right w:w="0" w:type="dxa"/>
        </w:tblCellMar>
      </w:tblPr>
      <w:tblGrid>
        <w:gridCol w:w="1161"/>
        <w:gridCol w:w="1042"/>
        <w:gridCol w:w="1043"/>
        <w:gridCol w:w="1043"/>
        <w:gridCol w:w="1471"/>
        <w:gridCol w:w="1035"/>
        <w:gridCol w:w="930"/>
        <w:gridCol w:w="885"/>
      </w:tblGrid>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1161" w:type="dxa"/>
            <w:tcBorders>
              <w:top w:val="single" w:color="000000" w:sz="6" w:space="0"/>
              <w:left w:val="single" w:color="000000" w:sz="8"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黑体" w:cs="Times New Roman"/>
                <w:sz w:val="22"/>
              </w:rPr>
            </w:pPr>
            <w:r>
              <w:rPr>
                <w:rFonts w:hint="default" w:ascii="Times New Roman" w:hAnsi="Times New Roman" w:eastAsia="黑体" w:cs="Times New Roman"/>
                <w:sz w:val="22"/>
              </w:rPr>
              <w:t>年度</w:t>
            </w:r>
          </w:p>
        </w:tc>
        <w:tc>
          <w:tcPr>
            <w:tcW w:w="1042"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黑体" w:cs="Times New Roman"/>
                <w:sz w:val="22"/>
              </w:rPr>
            </w:pPr>
            <w:r>
              <w:rPr>
                <w:rFonts w:hint="default" w:ascii="Times New Roman" w:hAnsi="Times New Roman" w:eastAsia="黑体" w:cs="Times New Roman"/>
                <w:kern w:val="0"/>
                <w:sz w:val="22"/>
              </w:rPr>
              <w:t>镇</w:t>
            </w: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黑体" w:cs="Times New Roman"/>
                <w:sz w:val="22"/>
              </w:rPr>
            </w:pPr>
            <w:r>
              <w:rPr>
                <w:rFonts w:hint="default" w:ascii="Times New Roman" w:hAnsi="Times New Roman" w:eastAsia="黑体" w:cs="Times New Roman"/>
                <w:kern w:val="0"/>
                <w:sz w:val="22"/>
              </w:rPr>
              <w:t>村居</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黑体" w:cs="Times New Roman"/>
                <w:sz w:val="22"/>
              </w:rPr>
            </w:pPr>
            <w:r>
              <w:rPr>
                <w:rFonts w:hint="default" w:ascii="Times New Roman" w:hAnsi="Times New Roman" w:eastAsia="黑体" w:cs="Times New Roman"/>
                <w:kern w:val="0"/>
                <w:sz w:val="22"/>
              </w:rPr>
              <w:t>户数</w:t>
            </w:r>
          </w:p>
        </w:tc>
        <w:tc>
          <w:tcPr>
            <w:tcW w:w="1471"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黑体" w:cs="Times New Roman"/>
                <w:sz w:val="22"/>
              </w:rPr>
            </w:pPr>
            <w:r>
              <w:rPr>
                <w:rFonts w:hint="default" w:ascii="Times New Roman" w:hAnsi="Times New Roman" w:eastAsia="黑体" w:cs="Times New Roman"/>
                <w:kern w:val="0"/>
                <w:sz w:val="22"/>
              </w:rPr>
              <w:t>污水处理计划</w:t>
            </w:r>
          </w:p>
        </w:tc>
        <w:tc>
          <w:tcPr>
            <w:tcW w:w="1035"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黑体" w:cs="Times New Roman"/>
                <w:sz w:val="22"/>
              </w:rPr>
            </w:pPr>
            <w:r>
              <w:rPr>
                <w:rFonts w:hint="default" w:ascii="Times New Roman" w:hAnsi="Times New Roman" w:eastAsia="黑体" w:cs="Times New Roman"/>
                <w:kern w:val="0"/>
                <w:sz w:val="22"/>
              </w:rPr>
              <w:t>规模（t/d）</w:t>
            </w: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黑体" w:cs="Times New Roman"/>
                <w:sz w:val="22"/>
              </w:rPr>
            </w:pPr>
            <w:r>
              <w:rPr>
                <w:rFonts w:hint="default" w:ascii="Times New Roman" w:hAnsi="Times New Roman" w:eastAsia="黑体" w:cs="Times New Roman"/>
                <w:kern w:val="0"/>
                <w:sz w:val="22"/>
              </w:rPr>
              <w:t>受益人口</w:t>
            </w:r>
          </w:p>
        </w:tc>
        <w:tc>
          <w:tcPr>
            <w:tcW w:w="885" w:type="dxa"/>
            <w:tcBorders>
              <w:top w:val="single" w:color="000000" w:sz="6" w:space="0"/>
              <w:left w:val="single" w:color="000000" w:sz="6" w:space="0"/>
              <w:bottom w:val="single" w:color="000000" w:sz="6" w:space="0"/>
              <w:right w:val="single" w:color="000000" w:sz="8"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目标完成率</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1906" w:hRule="atLeast"/>
          <w:jc w:val="center"/>
        </w:trPr>
        <w:tc>
          <w:tcPr>
            <w:tcW w:w="1161" w:type="dxa"/>
            <w:vMerge w:val="restart"/>
            <w:tcBorders>
              <w:left w:val="single" w:color="000000" w:sz="8"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2021年</w:t>
            </w:r>
          </w:p>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（3个）</w:t>
            </w:r>
          </w:p>
        </w:tc>
        <w:tc>
          <w:tcPr>
            <w:tcW w:w="1042" w:type="dxa"/>
            <w:vMerge w:val="restart"/>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羊亭镇</w:t>
            </w:r>
          </w:p>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（4个）</w:t>
            </w: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埠前</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214</w:t>
            </w:r>
          </w:p>
        </w:tc>
        <w:tc>
          <w:tcPr>
            <w:tcW w:w="1471"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szCs w:val="21"/>
              </w:rPr>
              <w:t>采用建设农村生活污水处理站方式，对生活污水进行收集处理</w:t>
            </w:r>
          </w:p>
        </w:tc>
        <w:tc>
          <w:tcPr>
            <w:tcW w:w="1035"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建设70t小型污水处理设施</w:t>
            </w: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470</w:t>
            </w:r>
          </w:p>
        </w:tc>
        <w:tc>
          <w:tcPr>
            <w:tcW w:w="885" w:type="dxa"/>
            <w:vMerge w:val="restart"/>
            <w:tcBorders>
              <w:left w:val="single" w:color="000000" w:sz="6" w:space="0"/>
              <w:right w:val="single" w:color="000000" w:sz="8"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57.41%</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1382"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2"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鲁东</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290</w:t>
            </w:r>
          </w:p>
        </w:tc>
        <w:tc>
          <w:tcPr>
            <w:tcW w:w="1471"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 w:val="22"/>
              </w:rPr>
            </w:pPr>
            <w:r>
              <w:rPr>
                <w:rFonts w:hint="default" w:ascii="Times New Roman" w:hAnsi="Times New Roman" w:eastAsia="仿宋_GB2312" w:cs="Times New Roman"/>
                <w:sz w:val="22"/>
              </w:rPr>
              <w:t>旧村改造，污水并入市政污水管网</w:t>
            </w:r>
          </w:p>
        </w:tc>
        <w:tc>
          <w:tcPr>
            <w:tcW w:w="1035"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sz w:val="22"/>
              </w:rPr>
            </w:pPr>
            <w:r>
              <w:rPr>
                <w:rFonts w:hint="default" w:ascii="Times New Roman" w:hAnsi="Times New Roman" w:eastAsia="仿宋_GB2312" w:cs="Times New Roman"/>
                <w:sz w:val="22"/>
              </w:rPr>
              <w:t>/</w:t>
            </w: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800</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2"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孙家滩</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615</w:t>
            </w:r>
          </w:p>
        </w:tc>
        <w:tc>
          <w:tcPr>
            <w:tcW w:w="1471" w:type="dxa"/>
            <w:vMerge w:val="restart"/>
            <w:tcBorders>
              <w:top w:val="single" w:color="000000" w:sz="6" w:space="0"/>
              <w:left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szCs w:val="21"/>
              </w:rPr>
              <w:t>采用纳入市政污水管网的方式，对生活污水进行收集处理</w:t>
            </w:r>
          </w:p>
        </w:tc>
        <w:tc>
          <w:tcPr>
            <w:tcW w:w="1035" w:type="dxa"/>
            <w:vMerge w:val="restart"/>
            <w:tcBorders>
              <w:top w:val="single" w:color="000000" w:sz="6" w:space="0"/>
              <w:left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w:t>
            </w: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1893</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934"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2"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北小城</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395</w:t>
            </w:r>
          </w:p>
        </w:tc>
        <w:tc>
          <w:tcPr>
            <w:tcW w:w="1471" w:type="dxa"/>
            <w:vMerge w:val="continue"/>
            <w:tcBorders>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35" w:type="dxa"/>
            <w:vMerge w:val="continue"/>
            <w:tcBorders>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500</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2" w:type="dxa"/>
            <w:vMerge w:val="restart"/>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桥头镇</w:t>
            </w:r>
          </w:p>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sz w:val="22"/>
              </w:rPr>
              <w:t>（8个）</w:t>
            </w: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西龙山</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102</w:t>
            </w:r>
          </w:p>
        </w:tc>
        <w:tc>
          <w:tcPr>
            <w:tcW w:w="1471" w:type="dxa"/>
            <w:vMerge w:val="restart"/>
            <w:tcBorders>
              <w:top w:val="single" w:color="000000" w:sz="6" w:space="0"/>
              <w:left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szCs w:val="21"/>
              </w:rPr>
              <w:t>采用集中拉运模式，对村内生活污水进行收集处理</w:t>
            </w:r>
          </w:p>
        </w:tc>
        <w:tc>
          <w:tcPr>
            <w:tcW w:w="1035" w:type="dxa"/>
            <w:vMerge w:val="restart"/>
            <w:tcBorders>
              <w:top w:val="single" w:color="000000" w:sz="6" w:space="0"/>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w:t>
            </w: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278</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2"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新建</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28</w:t>
            </w:r>
          </w:p>
        </w:tc>
        <w:tc>
          <w:tcPr>
            <w:tcW w:w="1471"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Cs w:val="21"/>
              </w:rPr>
            </w:pPr>
          </w:p>
        </w:tc>
        <w:tc>
          <w:tcPr>
            <w:tcW w:w="1035"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56</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2"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东龙山</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45</w:t>
            </w:r>
          </w:p>
        </w:tc>
        <w:tc>
          <w:tcPr>
            <w:tcW w:w="1471"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Cs w:val="21"/>
              </w:rPr>
            </w:pPr>
          </w:p>
        </w:tc>
        <w:tc>
          <w:tcPr>
            <w:tcW w:w="1035"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135</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2"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后宅库</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75</w:t>
            </w:r>
          </w:p>
        </w:tc>
        <w:tc>
          <w:tcPr>
            <w:tcW w:w="1471"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Cs w:val="21"/>
              </w:rPr>
            </w:pPr>
          </w:p>
        </w:tc>
        <w:tc>
          <w:tcPr>
            <w:tcW w:w="1035"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148</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2"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埠上</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180</w:t>
            </w:r>
          </w:p>
        </w:tc>
        <w:tc>
          <w:tcPr>
            <w:tcW w:w="1471"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Cs w:val="21"/>
              </w:rPr>
            </w:pPr>
          </w:p>
        </w:tc>
        <w:tc>
          <w:tcPr>
            <w:tcW w:w="1035"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408</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2"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教里</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180</w:t>
            </w:r>
          </w:p>
        </w:tc>
        <w:tc>
          <w:tcPr>
            <w:tcW w:w="1471"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Cs w:val="21"/>
              </w:rPr>
            </w:pPr>
          </w:p>
        </w:tc>
        <w:tc>
          <w:tcPr>
            <w:tcW w:w="1035"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421</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2"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前宅库</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78</w:t>
            </w:r>
          </w:p>
        </w:tc>
        <w:tc>
          <w:tcPr>
            <w:tcW w:w="1471"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Cs w:val="21"/>
              </w:rPr>
            </w:pPr>
          </w:p>
        </w:tc>
        <w:tc>
          <w:tcPr>
            <w:tcW w:w="1035"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211</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2"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孟家庄</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480</w:t>
            </w:r>
          </w:p>
        </w:tc>
        <w:tc>
          <w:tcPr>
            <w:tcW w:w="1471" w:type="dxa"/>
            <w:vMerge w:val="continue"/>
            <w:tcBorders>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 w:val="22"/>
              </w:rPr>
            </w:pPr>
          </w:p>
        </w:tc>
        <w:tc>
          <w:tcPr>
            <w:tcW w:w="1035" w:type="dxa"/>
            <w:vMerge w:val="continue"/>
            <w:tcBorders>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1025</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1161" w:type="dxa"/>
            <w:vMerge w:val="restart"/>
            <w:tcBorders>
              <w:left w:val="single" w:color="000000" w:sz="8"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2022年</w:t>
            </w:r>
          </w:p>
          <w:p>
            <w:pPr>
              <w:keepNext w:val="0"/>
              <w:keepLines w:val="0"/>
              <w:pageBreakBefore w:val="0"/>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kern w:val="0"/>
                <w:sz w:val="22"/>
              </w:rPr>
              <w:t>（9个）</w:t>
            </w:r>
          </w:p>
        </w:tc>
        <w:tc>
          <w:tcPr>
            <w:tcW w:w="1042" w:type="dxa"/>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嵩山街道</w:t>
            </w:r>
          </w:p>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sz w:val="22"/>
              </w:rPr>
              <w:t>（1个）</w:t>
            </w: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闫家庄</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177</w:t>
            </w:r>
          </w:p>
        </w:tc>
        <w:tc>
          <w:tcPr>
            <w:tcW w:w="1471"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 w:val="22"/>
              </w:rPr>
            </w:pPr>
            <w:r>
              <w:rPr>
                <w:rFonts w:hint="default" w:ascii="Times New Roman" w:hAnsi="Times New Roman" w:eastAsia="仿宋_GB2312" w:cs="Times New Roman"/>
                <w:sz w:val="22"/>
              </w:rPr>
              <w:t>旧村改造，污水并入市政污水管网</w:t>
            </w:r>
          </w:p>
        </w:tc>
        <w:tc>
          <w:tcPr>
            <w:tcW w:w="1035"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394</w:t>
            </w:r>
          </w:p>
        </w:tc>
        <w:tc>
          <w:tcPr>
            <w:tcW w:w="885" w:type="dxa"/>
            <w:vMerge w:val="restart"/>
            <w:tcBorders>
              <w:left w:val="single" w:color="000000" w:sz="6" w:space="0"/>
              <w:right w:val="single" w:color="000000" w:sz="8"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color w:val="FF0000"/>
                <w:kern w:val="0"/>
                <w:szCs w:val="21"/>
              </w:rPr>
            </w:pPr>
            <w:r>
              <w:rPr>
                <w:rFonts w:hint="default" w:ascii="Times New Roman" w:hAnsi="Times New Roman" w:eastAsia="仿宋_GB2312" w:cs="Times New Roman"/>
                <w:kern w:val="0"/>
                <w:szCs w:val="21"/>
              </w:rPr>
              <w:t>65.74%</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498"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2" w:type="dxa"/>
            <w:vMerge w:val="restart"/>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桥头镇</w:t>
            </w:r>
          </w:p>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sz w:val="22"/>
              </w:rPr>
              <w:t>（8个）</w:t>
            </w: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东于家</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205</w:t>
            </w:r>
          </w:p>
        </w:tc>
        <w:tc>
          <w:tcPr>
            <w:tcW w:w="1471" w:type="dxa"/>
            <w:vMerge w:val="restart"/>
            <w:tcBorders>
              <w:top w:val="single" w:color="000000" w:sz="6" w:space="0"/>
              <w:left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 w:val="22"/>
              </w:rPr>
            </w:pPr>
            <w:r>
              <w:rPr>
                <w:rFonts w:hint="default" w:ascii="Times New Roman" w:hAnsi="Times New Roman" w:eastAsia="仿宋_GB2312" w:cs="Times New Roman"/>
                <w:szCs w:val="21"/>
              </w:rPr>
              <w:t>采用集中拉运模式，对村内生活污水进行收集处理</w:t>
            </w:r>
          </w:p>
        </w:tc>
        <w:tc>
          <w:tcPr>
            <w:tcW w:w="1035" w:type="dxa"/>
            <w:vMerge w:val="restart"/>
            <w:tcBorders>
              <w:top w:val="single" w:color="000000" w:sz="6" w:space="0"/>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w:t>
            </w: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407</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478"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2"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西于家</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108</w:t>
            </w:r>
          </w:p>
        </w:tc>
        <w:tc>
          <w:tcPr>
            <w:tcW w:w="1471"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 w:val="22"/>
              </w:rPr>
            </w:pPr>
          </w:p>
        </w:tc>
        <w:tc>
          <w:tcPr>
            <w:tcW w:w="1035"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215</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2"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中于家</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90</w:t>
            </w:r>
          </w:p>
        </w:tc>
        <w:tc>
          <w:tcPr>
            <w:tcW w:w="1471"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 w:val="22"/>
              </w:rPr>
            </w:pPr>
          </w:p>
        </w:tc>
        <w:tc>
          <w:tcPr>
            <w:tcW w:w="1035"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180</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451"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2"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后于家</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40</w:t>
            </w:r>
          </w:p>
        </w:tc>
        <w:tc>
          <w:tcPr>
            <w:tcW w:w="1471"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 w:val="22"/>
              </w:rPr>
            </w:pPr>
          </w:p>
        </w:tc>
        <w:tc>
          <w:tcPr>
            <w:tcW w:w="1035"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83</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431"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2"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北子城</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220</w:t>
            </w:r>
          </w:p>
        </w:tc>
        <w:tc>
          <w:tcPr>
            <w:tcW w:w="1471"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color w:val="000000"/>
                <w:sz w:val="22"/>
                <w:szCs w:val="21"/>
              </w:rPr>
            </w:pPr>
          </w:p>
        </w:tc>
        <w:tc>
          <w:tcPr>
            <w:tcW w:w="1035"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282</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2"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大院</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53</w:t>
            </w:r>
          </w:p>
        </w:tc>
        <w:tc>
          <w:tcPr>
            <w:tcW w:w="1471"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 w:val="22"/>
              </w:rPr>
            </w:pPr>
          </w:p>
        </w:tc>
        <w:tc>
          <w:tcPr>
            <w:tcW w:w="1035"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103</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519"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2"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董家夼</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50</w:t>
            </w:r>
          </w:p>
        </w:tc>
        <w:tc>
          <w:tcPr>
            <w:tcW w:w="1471"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 w:val="22"/>
              </w:rPr>
            </w:pPr>
          </w:p>
        </w:tc>
        <w:tc>
          <w:tcPr>
            <w:tcW w:w="1035"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115</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357"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2"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方吉</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197</w:t>
            </w:r>
          </w:p>
        </w:tc>
        <w:tc>
          <w:tcPr>
            <w:tcW w:w="1471" w:type="dxa"/>
            <w:vMerge w:val="continue"/>
            <w:tcBorders>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 w:val="22"/>
              </w:rPr>
            </w:pPr>
          </w:p>
        </w:tc>
        <w:tc>
          <w:tcPr>
            <w:tcW w:w="1035" w:type="dxa"/>
            <w:vMerge w:val="continue"/>
            <w:tcBorders>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410</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1161" w:type="dxa"/>
            <w:vMerge w:val="restart"/>
            <w:tcBorders>
              <w:left w:val="single" w:color="000000" w:sz="8"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2023年</w:t>
            </w:r>
          </w:p>
          <w:p>
            <w:pPr>
              <w:keepNext w:val="0"/>
              <w:keepLines w:val="0"/>
              <w:pageBreakBefore w:val="0"/>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kern w:val="0"/>
                <w:sz w:val="22"/>
              </w:rPr>
              <w:t>（13个）</w:t>
            </w:r>
          </w:p>
        </w:tc>
        <w:tc>
          <w:tcPr>
            <w:tcW w:w="1042" w:type="dxa"/>
            <w:vMerge w:val="restart"/>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桥头镇</w:t>
            </w:r>
          </w:p>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sz w:val="22"/>
              </w:rPr>
              <w:t>（13个）</w:t>
            </w: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雅格庄</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287</w:t>
            </w:r>
          </w:p>
        </w:tc>
        <w:tc>
          <w:tcPr>
            <w:tcW w:w="1471" w:type="dxa"/>
            <w:vMerge w:val="restart"/>
            <w:tcBorders>
              <w:top w:val="single" w:color="000000" w:sz="6" w:space="0"/>
              <w:left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 w:val="22"/>
              </w:rPr>
            </w:pPr>
            <w:r>
              <w:rPr>
                <w:rFonts w:hint="default" w:ascii="Times New Roman" w:hAnsi="Times New Roman" w:eastAsia="仿宋_GB2312" w:cs="Times New Roman"/>
                <w:szCs w:val="21"/>
              </w:rPr>
              <w:t>采用集中拉运模式，对村内生活污水进行收集处理</w:t>
            </w:r>
          </w:p>
        </w:tc>
        <w:tc>
          <w:tcPr>
            <w:tcW w:w="1035" w:type="dxa"/>
            <w:vMerge w:val="restart"/>
            <w:tcBorders>
              <w:top w:val="single" w:color="000000" w:sz="6" w:space="0"/>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w:t>
            </w: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702</w:t>
            </w:r>
          </w:p>
        </w:tc>
        <w:tc>
          <w:tcPr>
            <w:tcW w:w="885" w:type="dxa"/>
            <w:vMerge w:val="restart"/>
            <w:tcBorders>
              <w:left w:val="single" w:color="000000" w:sz="6" w:space="0"/>
              <w:right w:val="single" w:color="000000" w:sz="8"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color w:val="FF0000"/>
                <w:kern w:val="0"/>
                <w:szCs w:val="21"/>
              </w:rPr>
            </w:pPr>
            <w:r>
              <w:rPr>
                <w:rFonts w:hint="default" w:ascii="Times New Roman" w:hAnsi="Times New Roman" w:eastAsia="仿宋_GB2312" w:cs="Times New Roman"/>
                <w:kern w:val="0"/>
                <w:szCs w:val="21"/>
              </w:rPr>
              <w:t>77.77%</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2"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福禄庄</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149</w:t>
            </w:r>
          </w:p>
        </w:tc>
        <w:tc>
          <w:tcPr>
            <w:tcW w:w="1471"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 w:val="22"/>
              </w:rPr>
            </w:pPr>
          </w:p>
        </w:tc>
        <w:tc>
          <w:tcPr>
            <w:tcW w:w="1035"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344</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2"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姚家圈</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73</w:t>
            </w:r>
          </w:p>
        </w:tc>
        <w:tc>
          <w:tcPr>
            <w:tcW w:w="1471"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 w:val="22"/>
              </w:rPr>
            </w:pPr>
          </w:p>
        </w:tc>
        <w:tc>
          <w:tcPr>
            <w:tcW w:w="1035"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141</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2"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盘川夼</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177</w:t>
            </w:r>
          </w:p>
        </w:tc>
        <w:tc>
          <w:tcPr>
            <w:tcW w:w="1471"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 w:val="22"/>
              </w:rPr>
            </w:pPr>
          </w:p>
        </w:tc>
        <w:tc>
          <w:tcPr>
            <w:tcW w:w="1035"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350</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2"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观里东</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208</w:t>
            </w:r>
          </w:p>
        </w:tc>
        <w:tc>
          <w:tcPr>
            <w:tcW w:w="1471"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 w:val="22"/>
              </w:rPr>
            </w:pPr>
          </w:p>
        </w:tc>
        <w:tc>
          <w:tcPr>
            <w:tcW w:w="1035"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455</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2"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观里西</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235</w:t>
            </w:r>
          </w:p>
        </w:tc>
        <w:tc>
          <w:tcPr>
            <w:tcW w:w="1471"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 w:val="22"/>
              </w:rPr>
            </w:pPr>
          </w:p>
        </w:tc>
        <w:tc>
          <w:tcPr>
            <w:tcW w:w="1035"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566</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2"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南台</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220</w:t>
            </w:r>
          </w:p>
        </w:tc>
        <w:tc>
          <w:tcPr>
            <w:tcW w:w="1471"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 w:val="22"/>
              </w:rPr>
            </w:pPr>
          </w:p>
        </w:tc>
        <w:tc>
          <w:tcPr>
            <w:tcW w:w="1035"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536</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2"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所前泊</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445</w:t>
            </w:r>
          </w:p>
        </w:tc>
        <w:tc>
          <w:tcPr>
            <w:tcW w:w="1471"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 w:val="22"/>
              </w:rPr>
            </w:pPr>
          </w:p>
        </w:tc>
        <w:tc>
          <w:tcPr>
            <w:tcW w:w="1035"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1001</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2"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刘家泊</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131</w:t>
            </w:r>
          </w:p>
        </w:tc>
        <w:tc>
          <w:tcPr>
            <w:tcW w:w="1471"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 w:val="22"/>
              </w:rPr>
            </w:pPr>
          </w:p>
        </w:tc>
        <w:tc>
          <w:tcPr>
            <w:tcW w:w="1035"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308</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2"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西贞</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141</w:t>
            </w:r>
          </w:p>
        </w:tc>
        <w:tc>
          <w:tcPr>
            <w:tcW w:w="1471"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 w:val="22"/>
              </w:rPr>
            </w:pPr>
          </w:p>
        </w:tc>
        <w:tc>
          <w:tcPr>
            <w:tcW w:w="1035"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403</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2"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徐家庄</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72</w:t>
            </w:r>
          </w:p>
        </w:tc>
        <w:tc>
          <w:tcPr>
            <w:tcW w:w="1471"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 w:val="22"/>
              </w:rPr>
            </w:pPr>
          </w:p>
        </w:tc>
        <w:tc>
          <w:tcPr>
            <w:tcW w:w="1035"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145</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2"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大贞</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310</w:t>
            </w:r>
          </w:p>
        </w:tc>
        <w:tc>
          <w:tcPr>
            <w:tcW w:w="1471"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 w:val="22"/>
              </w:rPr>
            </w:pPr>
          </w:p>
        </w:tc>
        <w:tc>
          <w:tcPr>
            <w:tcW w:w="1035"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615</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2"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桥头</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737</w:t>
            </w:r>
          </w:p>
        </w:tc>
        <w:tc>
          <w:tcPr>
            <w:tcW w:w="1471" w:type="dxa"/>
            <w:vMerge w:val="continue"/>
            <w:tcBorders>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 w:val="22"/>
              </w:rPr>
            </w:pPr>
          </w:p>
        </w:tc>
        <w:tc>
          <w:tcPr>
            <w:tcW w:w="1035" w:type="dxa"/>
            <w:vMerge w:val="continue"/>
            <w:tcBorders>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1495</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1161" w:type="dxa"/>
            <w:vMerge w:val="restart"/>
            <w:tcBorders>
              <w:left w:val="single" w:color="000000" w:sz="8"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2024年</w:t>
            </w:r>
          </w:p>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（14个）</w:t>
            </w:r>
          </w:p>
        </w:tc>
        <w:tc>
          <w:tcPr>
            <w:tcW w:w="1042" w:type="dxa"/>
            <w:vMerge w:val="restart"/>
            <w:tcBorders>
              <w:top w:val="single" w:color="000000" w:sz="6" w:space="0"/>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桥头镇</w:t>
            </w:r>
          </w:p>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（14个）</w:t>
            </w: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报信</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kinsoku/>
              <w:wordWrap/>
              <w:overflowPunct/>
              <w:topLinePunct w:val="0"/>
              <w:bidi w:val="0"/>
              <w:snapToGrid/>
              <w:spacing w:line="600" w:lineRule="exact"/>
              <w:ind w:left="0" w:leftChars="0"/>
              <w:jc w:val="center"/>
              <w:rPr>
                <w:rFonts w:hint="default" w:ascii="Times New Roman" w:hAnsi="Times New Roman" w:cs="Times New Roman"/>
                <w:kern w:val="0"/>
                <w:szCs w:val="21"/>
              </w:rPr>
            </w:pPr>
            <w:r>
              <w:rPr>
                <w:rFonts w:hint="default" w:ascii="Times New Roman" w:hAnsi="Times New Roman" w:cs="Times New Roman"/>
                <w:kern w:val="0"/>
                <w:szCs w:val="21"/>
              </w:rPr>
              <w:t xml:space="preserve">410 </w:t>
            </w:r>
          </w:p>
        </w:tc>
        <w:tc>
          <w:tcPr>
            <w:tcW w:w="1471" w:type="dxa"/>
            <w:vMerge w:val="restart"/>
            <w:tcBorders>
              <w:top w:val="single" w:color="000000" w:sz="6" w:space="0"/>
              <w:left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 w:val="22"/>
              </w:rPr>
            </w:pPr>
            <w:r>
              <w:rPr>
                <w:rFonts w:hint="default" w:ascii="Times New Roman" w:hAnsi="Times New Roman" w:eastAsia="仿宋_GB2312" w:cs="Times New Roman"/>
                <w:szCs w:val="21"/>
              </w:rPr>
              <w:t>采用集中拉运模式，对村内生活污水进行收集处理</w:t>
            </w:r>
          </w:p>
        </w:tc>
        <w:tc>
          <w:tcPr>
            <w:tcW w:w="1035" w:type="dxa"/>
            <w:vMerge w:val="restart"/>
            <w:tcBorders>
              <w:top w:val="single" w:color="000000" w:sz="6" w:space="0"/>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w:t>
            </w: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kinsoku/>
              <w:wordWrap/>
              <w:overflowPunct/>
              <w:topLinePunct w:val="0"/>
              <w:bidi w:val="0"/>
              <w:snapToGrid/>
              <w:spacing w:line="600" w:lineRule="exact"/>
              <w:ind w:left="0" w:leftChars="0"/>
              <w:jc w:val="center"/>
              <w:rPr>
                <w:rFonts w:hint="default" w:ascii="Times New Roman" w:hAnsi="Times New Roman" w:cs="Times New Roman"/>
                <w:kern w:val="0"/>
                <w:szCs w:val="21"/>
              </w:rPr>
            </w:pPr>
            <w:r>
              <w:rPr>
                <w:rFonts w:hint="default" w:ascii="Times New Roman" w:hAnsi="Times New Roman" w:cs="Times New Roman"/>
                <w:kern w:val="0"/>
                <w:szCs w:val="21"/>
              </w:rPr>
              <w:t xml:space="preserve">758 </w:t>
            </w:r>
          </w:p>
        </w:tc>
        <w:tc>
          <w:tcPr>
            <w:tcW w:w="885" w:type="dxa"/>
            <w:vMerge w:val="restart"/>
            <w:tcBorders>
              <w:left w:val="single" w:color="000000" w:sz="6" w:space="0"/>
              <w:right w:val="single" w:color="000000" w:sz="8" w:space="0"/>
            </w:tcBorders>
            <w:tcMar>
              <w:top w:w="15" w:type="dxa"/>
              <w:left w:w="15" w:type="dxa"/>
              <w:right w:w="15" w:type="dxa"/>
            </w:tcMar>
            <w:vAlign w:val="center"/>
          </w:tcPr>
          <w:p>
            <w:pPr>
              <w:keepNext w:val="0"/>
              <w:keepLines w:val="0"/>
              <w:pageBreakBefore w:val="0"/>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90.74%</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p>
        </w:tc>
        <w:tc>
          <w:tcPr>
            <w:tcW w:w="1042" w:type="dxa"/>
            <w:vMerge w:val="continue"/>
            <w:tcBorders>
              <w:top w:val="single" w:color="000000" w:sz="6" w:space="0"/>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碑鲁</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kinsoku/>
              <w:wordWrap/>
              <w:overflowPunct/>
              <w:topLinePunct w:val="0"/>
              <w:bidi w:val="0"/>
              <w:snapToGrid/>
              <w:spacing w:line="600" w:lineRule="exact"/>
              <w:ind w:left="0" w:leftChars="0"/>
              <w:jc w:val="center"/>
              <w:rPr>
                <w:rFonts w:hint="default" w:ascii="Times New Roman" w:hAnsi="Times New Roman" w:cs="Times New Roman"/>
                <w:kern w:val="0"/>
                <w:szCs w:val="21"/>
              </w:rPr>
            </w:pPr>
            <w:r>
              <w:rPr>
                <w:rFonts w:hint="default" w:ascii="Times New Roman" w:hAnsi="Times New Roman" w:cs="Times New Roman"/>
                <w:kern w:val="0"/>
                <w:szCs w:val="21"/>
              </w:rPr>
              <w:t xml:space="preserve">417 </w:t>
            </w:r>
          </w:p>
        </w:tc>
        <w:tc>
          <w:tcPr>
            <w:tcW w:w="1471"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 w:val="22"/>
              </w:rPr>
            </w:pPr>
          </w:p>
        </w:tc>
        <w:tc>
          <w:tcPr>
            <w:tcW w:w="1035"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kinsoku/>
              <w:wordWrap/>
              <w:overflowPunct/>
              <w:topLinePunct w:val="0"/>
              <w:bidi w:val="0"/>
              <w:snapToGrid/>
              <w:spacing w:line="600" w:lineRule="exact"/>
              <w:ind w:left="0" w:leftChars="0"/>
              <w:jc w:val="center"/>
              <w:rPr>
                <w:rFonts w:hint="default" w:ascii="Times New Roman" w:hAnsi="Times New Roman" w:cs="Times New Roman"/>
                <w:kern w:val="0"/>
                <w:szCs w:val="21"/>
              </w:rPr>
            </w:pPr>
            <w:r>
              <w:rPr>
                <w:rFonts w:hint="default" w:ascii="Times New Roman" w:hAnsi="Times New Roman" w:cs="Times New Roman"/>
                <w:kern w:val="0"/>
                <w:szCs w:val="21"/>
              </w:rPr>
              <w:t xml:space="preserve">825 </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p>
        </w:tc>
        <w:tc>
          <w:tcPr>
            <w:tcW w:w="1042" w:type="dxa"/>
            <w:vMerge w:val="continue"/>
            <w:tcBorders>
              <w:top w:val="single" w:color="000000" w:sz="6" w:space="0"/>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邓家店</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cs="Times New Roman"/>
                <w:kern w:val="0"/>
                <w:szCs w:val="21"/>
              </w:rPr>
              <w:t>38</w:t>
            </w:r>
          </w:p>
        </w:tc>
        <w:tc>
          <w:tcPr>
            <w:tcW w:w="1471"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 w:val="22"/>
              </w:rPr>
            </w:pPr>
          </w:p>
        </w:tc>
        <w:tc>
          <w:tcPr>
            <w:tcW w:w="1035"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85</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p>
        </w:tc>
        <w:tc>
          <w:tcPr>
            <w:tcW w:w="1042" w:type="dxa"/>
            <w:vMerge w:val="continue"/>
            <w:tcBorders>
              <w:top w:val="single" w:color="000000" w:sz="6" w:space="0"/>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马井泊</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kinsoku/>
              <w:wordWrap/>
              <w:overflowPunct/>
              <w:topLinePunct w:val="0"/>
              <w:bidi w:val="0"/>
              <w:snapToGrid/>
              <w:spacing w:line="600" w:lineRule="exact"/>
              <w:ind w:left="0" w:leftChars="0"/>
              <w:jc w:val="center"/>
              <w:rPr>
                <w:rFonts w:hint="default" w:ascii="Times New Roman" w:hAnsi="Times New Roman" w:cs="Times New Roman"/>
                <w:kern w:val="0"/>
                <w:szCs w:val="21"/>
              </w:rPr>
            </w:pPr>
            <w:r>
              <w:rPr>
                <w:rFonts w:hint="default" w:ascii="Times New Roman" w:hAnsi="Times New Roman" w:cs="Times New Roman"/>
                <w:kern w:val="0"/>
                <w:szCs w:val="21"/>
              </w:rPr>
              <w:t xml:space="preserve">96 </w:t>
            </w:r>
          </w:p>
        </w:tc>
        <w:tc>
          <w:tcPr>
            <w:tcW w:w="1471"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 w:val="22"/>
              </w:rPr>
            </w:pPr>
          </w:p>
        </w:tc>
        <w:tc>
          <w:tcPr>
            <w:tcW w:w="1035"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kinsoku/>
              <w:wordWrap/>
              <w:overflowPunct/>
              <w:topLinePunct w:val="0"/>
              <w:bidi w:val="0"/>
              <w:snapToGrid/>
              <w:spacing w:line="600" w:lineRule="exact"/>
              <w:ind w:left="0" w:leftChars="0"/>
              <w:jc w:val="center"/>
              <w:rPr>
                <w:rFonts w:hint="default" w:ascii="Times New Roman" w:hAnsi="Times New Roman" w:cs="Times New Roman"/>
                <w:kern w:val="0"/>
                <w:szCs w:val="21"/>
              </w:rPr>
            </w:pPr>
            <w:r>
              <w:rPr>
                <w:rFonts w:hint="default" w:ascii="Times New Roman" w:hAnsi="Times New Roman" w:cs="Times New Roman"/>
                <w:kern w:val="0"/>
                <w:szCs w:val="21"/>
              </w:rPr>
              <w:t xml:space="preserve">205 </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p>
        </w:tc>
        <w:tc>
          <w:tcPr>
            <w:tcW w:w="1042" w:type="dxa"/>
            <w:vMerge w:val="continue"/>
            <w:tcBorders>
              <w:top w:val="single" w:color="000000" w:sz="6" w:space="0"/>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西山后</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kinsoku/>
              <w:wordWrap/>
              <w:overflowPunct/>
              <w:topLinePunct w:val="0"/>
              <w:bidi w:val="0"/>
              <w:snapToGrid/>
              <w:spacing w:line="600" w:lineRule="exact"/>
              <w:ind w:left="0" w:leftChars="0"/>
              <w:jc w:val="center"/>
              <w:rPr>
                <w:rFonts w:hint="default" w:ascii="Times New Roman" w:hAnsi="Times New Roman" w:cs="Times New Roman"/>
                <w:kern w:val="0"/>
                <w:szCs w:val="21"/>
              </w:rPr>
            </w:pPr>
            <w:r>
              <w:rPr>
                <w:rFonts w:hint="default" w:ascii="Times New Roman" w:hAnsi="Times New Roman" w:cs="Times New Roman"/>
                <w:kern w:val="0"/>
                <w:szCs w:val="21"/>
              </w:rPr>
              <w:t xml:space="preserve">83 </w:t>
            </w:r>
          </w:p>
        </w:tc>
        <w:tc>
          <w:tcPr>
            <w:tcW w:w="1471"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 w:val="22"/>
              </w:rPr>
            </w:pPr>
          </w:p>
        </w:tc>
        <w:tc>
          <w:tcPr>
            <w:tcW w:w="1035"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kinsoku/>
              <w:wordWrap/>
              <w:overflowPunct/>
              <w:topLinePunct w:val="0"/>
              <w:bidi w:val="0"/>
              <w:snapToGrid/>
              <w:spacing w:line="600" w:lineRule="exact"/>
              <w:ind w:left="0" w:leftChars="0"/>
              <w:jc w:val="center"/>
              <w:rPr>
                <w:rFonts w:hint="default" w:ascii="Times New Roman" w:hAnsi="Times New Roman" w:cs="Times New Roman"/>
                <w:kern w:val="0"/>
                <w:szCs w:val="21"/>
              </w:rPr>
            </w:pPr>
            <w:r>
              <w:rPr>
                <w:rFonts w:hint="default" w:ascii="Times New Roman" w:hAnsi="Times New Roman" w:cs="Times New Roman"/>
                <w:kern w:val="0"/>
                <w:szCs w:val="21"/>
              </w:rPr>
              <w:t xml:space="preserve">144 </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p>
        </w:tc>
        <w:tc>
          <w:tcPr>
            <w:tcW w:w="1042" w:type="dxa"/>
            <w:vMerge w:val="continue"/>
            <w:tcBorders>
              <w:top w:val="single" w:color="000000" w:sz="6" w:space="0"/>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黑石</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253</w:t>
            </w:r>
          </w:p>
        </w:tc>
        <w:tc>
          <w:tcPr>
            <w:tcW w:w="1471"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 w:val="22"/>
              </w:rPr>
            </w:pPr>
          </w:p>
        </w:tc>
        <w:tc>
          <w:tcPr>
            <w:tcW w:w="1035"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503</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p>
        </w:tc>
        <w:tc>
          <w:tcPr>
            <w:tcW w:w="1042" w:type="dxa"/>
            <w:vMerge w:val="continue"/>
            <w:tcBorders>
              <w:top w:val="single" w:color="000000" w:sz="6" w:space="0"/>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柴里</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252</w:t>
            </w:r>
          </w:p>
        </w:tc>
        <w:tc>
          <w:tcPr>
            <w:tcW w:w="1471"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 w:val="22"/>
              </w:rPr>
            </w:pPr>
          </w:p>
        </w:tc>
        <w:tc>
          <w:tcPr>
            <w:tcW w:w="1035"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529</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p>
        </w:tc>
        <w:tc>
          <w:tcPr>
            <w:tcW w:w="1042" w:type="dxa"/>
            <w:vMerge w:val="continue"/>
            <w:tcBorders>
              <w:top w:val="single" w:color="000000" w:sz="6" w:space="0"/>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江家口</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264</w:t>
            </w:r>
          </w:p>
        </w:tc>
        <w:tc>
          <w:tcPr>
            <w:tcW w:w="1471"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 w:val="22"/>
              </w:rPr>
            </w:pPr>
          </w:p>
        </w:tc>
        <w:tc>
          <w:tcPr>
            <w:tcW w:w="1035"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652</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p>
        </w:tc>
        <w:tc>
          <w:tcPr>
            <w:tcW w:w="1042" w:type="dxa"/>
            <w:vMerge w:val="continue"/>
            <w:tcBorders>
              <w:top w:val="single" w:color="000000" w:sz="6" w:space="0"/>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产里</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175</w:t>
            </w:r>
          </w:p>
        </w:tc>
        <w:tc>
          <w:tcPr>
            <w:tcW w:w="1471"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 w:val="22"/>
              </w:rPr>
            </w:pPr>
          </w:p>
        </w:tc>
        <w:tc>
          <w:tcPr>
            <w:tcW w:w="1035"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360</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385"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p>
        </w:tc>
        <w:tc>
          <w:tcPr>
            <w:tcW w:w="1042" w:type="dxa"/>
            <w:vMerge w:val="continue"/>
            <w:tcBorders>
              <w:top w:val="single" w:color="000000" w:sz="6" w:space="0"/>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河西庄</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kinsoku/>
              <w:wordWrap/>
              <w:overflowPunct/>
              <w:topLinePunct w:val="0"/>
              <w:bidi w:val="0"/>
              <w:snapToGrid/>
              <w:spacing w:line="600" w:lineRule="exact"/>
              <w:ind w:left="0" w:leftChars="0"/>
              <w:jc w:val="center"/>
              <w:rPr>
                <w:rFonts w:hint="default" w:ascii="Times New Roman" w:hAnsi="Times New Roman" w:cs="Times New Roman"/>
                <w:kern w:val="0"/>
                <w:szCs w:val="21"/>
              </w:rPr>
            </w:pPr>
            <w:r>
              <w:rPr>
                <w:rFonts w:hint="default" w:ascii="Times New Roman" w:hAnsi="Times New Roman" w:cs="Times New Roman"/>
                <w:kern w:val="0"/>
                <w:szCs w:val="21"/>
              </w:rPr>
              <w:t xml:space="preserve">347 </w:t>
            </w:r>
          </w:p>
        </w:tc>
        <w:tc>
          <w:tcPr>
            <w:tcW w:w="1471"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 w:val="22"/>
              </w:rPr>
            </w:pPr>
          </w:p>
        </w:tc>
        <w:tc>
          <w:tcPr>
            <w:tcW w:w="1035"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kinsoku/>
              <w:wordWrap/>
              <w:overflowPunct/>
              <w:topLinePunct w:val="0"/>
              <w:bidi w:val="0"/>
              <w:snapToGrid/>
              <w:spacing w:line="600" w:lineRule="exact"/>
              <w:ind w:left="0" w:leftChars="0"/>
              <w:jc w:val="center"/>
              <w:rPr>
                <w:rFonts w:hint="default" w:ascii="Times New Roman" w:hAnsi="Times New Roman" w:cs="Times New Roman"/>
                <w:kern w:val="0"/>
                <w:szCs w:val="21"/>
              </w:rPr>
            </w:pPr>
            <w:r>
              <w:rPr>
                <w:rFonts w:hint="default" w:ascii="Times New Roman" w:hAnsi="Times New Roman" w:cs="Times New Roman"/>
                <w:kern w:val="0"/>
                <w:szCs w:val="21"/>
              </w:rPr>
              <w:t xml:space="preserve">805 </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493"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p>
        </w:tc>
        <w:tc>
          <w:tcPr>
            <w:tcW w:w="1042" w:type="dxa"/>
            <w:vMerge w:val="continue"/>
            <w:tcBorders>
              <w:top w:val="single" w:color="000000" w:sz="6" w:space="0"/>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宋家店</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kinsoku/>
              <w:wordWrap/>
              <w:overflowPunct/>
              <w:topLinePunct w:val="0"/>
              <w:bidi w:val="0"/>
              <w:snapToGrid/>
              <w:spacing w:line="600" w:lineRule="exact"/>
              <w:ind w:left="0" w:leftChars="0"/>
              <w:jc w:val="center"/>
              <w:rPr>
                <w:rFonts w:hint="default" w:ascii="Times New Roman" w:hAnsi="Times New Roman" w:cs="Times New Roman"/>
                <w:kern w:val="0"/>
                <w:szCs w:val="21"/>
              </w:rPr>
            </w:pPr>
            <w:r>
              <w:rPr>
                <w:rFonts w:hint="default" w:ascii="Times New Roman" w:hAnsi="Times New Roman" w:cs="Times New Roman"/>
                <w:kern w:val="0"/>
                <w:szCs w:val="21"/>
              </w:rPr>
              <w:t xml:space="preserve">225 </w:t>
            </w:r>
          </w:p>
        </w:tc>
        <w:tc>
          <w:tcPr>
            <w:tcW w:w="1471"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 w:val="22"/>
              </w:rPr>
            </w:pPr>
          </w:p>
        </w:tc>
        <w:tc>
          <w:tcPr>
            <w:tcW w:w="1035"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kinsoku/>
              <w:wordWrap/>
              <w:overflowPunct/>
              <w:topLinePunct w:val="0"/>
              <w:bidi w:val="0"/>
              <w:snapToGrid/>
              <w:spacing w:line="600" w:lineRule="exact"/>
              <w:ind w:left="0" w:leftChars="0"/>
              <w:jc w:val="center"/>
              <w:rPr>
                <w:rFonts w:hint="default" w:ascii="Times New Roman" w:hAnsi="Times New Roman" w:cs="Times New Roman"/>
                <w:kern w:val="0"/>
                <w:szCs w:val="21"/>
              </w:rPr>
            </w:pPr>
            <w:r>
              <w:rPr>
                <w:rFonts w:hint="default" w:ascii="Times New Roman" w:hAnsi="Times New Roman" w:cs="Times New Roman"/>
                <w:kern w:val="0"/>
                <w:szCs w:val="21"/>
              </w:rPr>
              <w:t xml:space="preserve">508 </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445"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p>
        </w:tc>
        <w:tc>
          <w:tcPr>
            <w:tcW w:w="1042" w:type="dxa"/>
            <w:vMerge w:val="continue"/>
            <w:tcBorders>
              <w:top w:val="single" w:color="000000" w:sz="6" w:space="0"/>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东洛后</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kinsoku/>
              <w:wordWrap/>
              <w:overflowPunct/>
              <w:topLinePunct w:val="0"/>
              <w:bidi w:val="0"/>
              <w:snapToGrid/>
              <w:spacing w:line="600" w:lineRule="exact"/>
              <w:ind w:left="0" w:leftChars="0"/>
              <w:jc w:val="center"/>
              <w:rPr>
                <w:rFonts w:hint="default" w:ascii="Times New Roman" w:hAnsi="Times New Roman" w:cs="Times New Roman"/>
                <w:kern w:val="0"/>
                <w:szCs w:val="21"/>
              </w:rPr>
            </w:pPr>
            <w:r>
              <w:rPr>
                <w:rFonts w:hint="default" w:ascii="Times New Roman" w:hAnsi="Times New Roman" w:cs="Times New Roman"/>
                <w:kern w:val="0"/>
                <w:szCs w:val="21"/>
              </w:rPr>
              <w:t xml:space="preserve">225 </w:t>
            </w:r>
          </w:p>
        </w:tc>
        <w:tc>
          <w:tcPr>
            <w:tcW w:w="1471"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 w:val="22"/>
              </w:rPr>
            </w:pPr>
          </w:p>
        </w:tc>
        <w:tc>
          <w:tcPr>
            <w:tcW w:w="1035"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kinsoku/>
              <w:wordWrap/>
              <w:overflowPunct/>
              <w:topLinePunct w:val="0"/>
              <w:bidi w:val="0"/>
              <w:snapToGrid/>
              <w:spacing w:line="600" w:lineRule="exact"/>
              <w:ind w:left="0" w:leftChars="0"/>
              <w:jc w:val="center"/>
              <w:rPr>
                <w:rFonts w:hint="default" w:ascii="Times New Roman" w:hAnsi="Times New Roman" w:cs="Times New Roman"/>
                <w:kern w:val="0"/>
                <w:szCs w:val="21"/>
              </w:rPr>
            </w:pPr>
            <w:r>
              <w:rPr>
                <w:rFonts w:hint="default" w:ascii="Times New Roman" w:hAnsi="Times New Roman" w:cs="Times New Roman"/>
                <w:kern w:val="0"/>
                <w:szCs w:val="21"/>
              </w:rPr>
              <w:t xml:space="preserve">403 </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439"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p>
        </w:tc>
        <w:tc>
          <w:tcPr>
            <w:tcW w:w="1042" w:type="dxa"/>
            <w:vMerge w:val="continue"/>
            <w:tcBorders>
              <w:top w:val="single" w:color="000000" w:sz="6" w:space="0"/>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西洛后</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kinsoku/>
              <w:wordWrap/>
              <w:overflowPunct/>
              <w:topLinePunct w:val="0"/>
              <w:bidi w:val="0"/>
              <w:snapToGrid/>
              <w:spacing w:line="600" w:lineRule="exact"/>
              <w:ind w:left="0" w:leftChars="0"/>
              <w:jc w:val="center"/>
              <w:rPr>
                <w:rFonts w:hint="default" w:ascii="Times New Roman" w:hAnsi="Times New Roman" w:cs="Times New Roman"/>
                <w:kern w:val="0"/>
                <w:szCs w:val="21"/>
              </w:rPr>
            </w:pPr>
            <w:r>
              <w:rPr>
                <w:rFonts w:hint="default" w:ascii="Times New Roman" w:hAnsi="Times New Roman" w:cs="Times New Roman"/>
                <w:kern w:val="0"/>
                <w:szCs w:val="21"/>
              </w:rPr>
              <w:t xml:space="preserve">45 </w:t>
            </w:r>
          </w:p>
        </w:tc>
        <w:tc>
          <w:tcPr>
            <w:tcW w:w="1471"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 w:val="22"/>
              </w:rPr>
            </w:pPr>
          </w:p>
        </w:tc>
        <w:tc>
          <w:tcPr>
            <w:tcW w:w="1035"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kinsoku/>
              <w:wordWrap/>
              <w:overflowPunct/>
              <w:topLinePunct w:val="0"/>
              <w:bidi w:val="0"/>
              <w:snapToGrid/>
              <w:spacing w:line="600" w:lineRule="exact"/>
              <w:ind w:left="0" w:leftChars="0"/>
              <w:jc w:val="center"/>
              <w:rPr>
                <w:rFonts w:hint="default" w:ascii="Times New Roman" w:hAnsi="Times New Roman" w:cs="Times New Roman"/>
                <w:kern w:val="0"/>
                <w:szCs w:val="21"/>
              </w:rPr>
            </w:pPr>
            <w:r>
              <w:rPr>
                <w:rFonts w:hint="default" w:ascii="Times New Roman" w:hAnsi="Times New Roman" w:cs="Times New Roman"/>
                <w:kern w:val="0"/>
                <w:szCs w:val="21"/>
              </w:rPr>
              <w:t xml:space="preserve">72 </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391"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p>
        </w:tc>
        <w:tc>
          <w:tcPr>
            <w:tcW w:w="1042" w:type="dxa"/>
            <w:vMerge w:val="continue"/>
            <w:tcBorders>
              <w:top w:val="single" w:color="000000" w:sz="6" w:space="0"/>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洛西村</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kinsoku/>
              <w:wordWrap/>
              <w:overflowPunct/>
              <w:topLinePunct w:val="0"/>
              <w:bidi w:val="0"/>
              <w:snapToGrid/>
              <w:spacing w:line="600" w:lineRule="exact"/>
              <w:ind w:left="0" w:leftChars="0"/>
              <w:jc w:val="center"/>
              <w:rPr>
                <w:rFonts w:hint="default" w:ascii="Times New Roman" w:hAnsi="Times New Roman" w:cs="Times New Roman"/>
                <w:kern w:val="0"/>
                <w:szCs w:val="21"/>
              </w:rPr>
            </w:pPr>
            <w:r>
              <w:rPr>
                <w:rFonts w:hint="default" w:ascii="Times New Roman" w:hAnsi="Times New Roman" w:cs="Times New Roman"/>
                <w:kern w:val="0"/>
                <w:szCs w:val="21"/>
              </w:rPr>
              <w:t xml:space="preserve">327 </w:t>
            </w:r>
          </w:p>
        </w:tc>
        <w:tc>
          <w:tcPr>
            <w:tcW w:w="1471" w:type="dxa"/>
            <w:vMerge w:val="continue"/>
            <w:tcBorders>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 w:val="22"/>
              </w:rPr>
            </w:pPr>
          </w:p>
        </w:tc>
        <w:tc>
          <w:tcPr>
            <w:tcW w:w="1035" w:type="dxa"/>
            <w:vMerge w:val="continue"/>
            <w:tcBorders>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kinsoku/>
              <w:wordWrap/>
              <w:overflowPunct/>
              <w:topLinePunct w:val="0"/>
              <w:bidi w:val="0"/>
              <w:snapToGrid/>
              <w:spacing w:line="600" w:lineRule="exact"/>
              <w:ind w:left="0" w:leftChars="0"/>
              <w:jc w:val="center"/>
              <w:rPr>
                <w:rFonts w:hint="default" w:ascii="Times New Roman" w:hAnsi="Times New Roman" w:cs="Times New Roman"/>
                <w:kern w:val="0"/>
                <w:szCs w:val="21"/>
              </w:rPr>
            </w:pPr>
            <w:r>
              <w:rPr>
                <w:rFonts w:hint="default" w:ascii="Times New Roman" w:hAnsi="Times New Roman" w:cs="Times New Roman"/>
                <w:kern w:val="0"/>
                <w:szCs w:val="21"/>
              </w:rPr>
              <w:t xml:space="preserve">732 </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357" w:hRule="atLeast"/>
          <w:jc w:val="center"/>
        </w:trPr>
        <w:tc>
          <w:tcPr>
            <w:tcW w:w="1161" w:type="dxa"/>
            <w:vMerge w:val="restart"/>
            <w:tcBorders>
              <w:left w:val="single" w:color="000000" w:sz="8"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2025年</w:t>
            </w:r>
          </w:p>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（8个）</w:t>
            </w:r>
          </w:p>
        </w:tc>
        <w:tc>
          <w:tcPr>
            <w:tcW w:w="1042" w:type="dxa"/>
            <w:vMerge w:val="restart"/>
            <w:tcBorders>
              <w:top w:val="single" w:color="000000" w:sz="6" w:space="0"/>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嵩山街道</w:t>
            </w:r>
            <w:r>
              <w:rPr>
                <w:rFonts w:hint="default" w:ascii="Times New Roman" w:hAnsi="Times New Roman" w:eastAsia="仿宋_GB2312" w:cs="Times New Roman"/>
                <w:sz w:val="22"/>
              </w:rPr>
              <w:br w:type="textWrapping"/>
            </w:r>
            <w:r>
              <w:rPr>
                <w:rFonts w:hint="default" w:ascii="Times New Roman" w:hAnsi="Times New Roman" w:eastAsia="仿宋_GB2312" w:cs="Times New Roman"/>
                <w:sz w:val="22"/>
              </w:rPr>
              <w:t>（4个）</w:t>
            </w: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竹园</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117</w:t>
            </w:r>
          </w:p>
        </w:tc>
        <w:tc>
          <w:tcPr>
            <w:tcW w:w="1471" w:type="dxa"/>
            <w:vMerge w:val="restart"/>
            <w:tcBorders>
              <w:top w:val="single" w:color="000000" w:sz="6" w:space="0"/>
              <w:left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 w:val="22"/>
              </w:rPr>
            </w:pPr>
            <w:r>
              <w:rPr>
                <w:rFonts w:hint="default" w:ascii="Times New Roman" w:hAnsi="Times New Roman" w:eastAsia="仿宋_GB2312" w:cs="Times New Roman"/>
                <w:sz w:val="22"/>
              </w:rPr>
              <w:t>旧村改造，污水并入市政污水管网</w:t>
            </w:r>
          </w:p>
        </w:tc>
        <w:tc>
          <w:tcPr>
            <w:tcW w:w="1035" w:type="dxa"/>
            <w:vMerge w:val="restart"/>
            <w:tcBorders>
              <w:top w:val="single" w:color="000000" w:sz="6" w:space="0"/>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w:t>
            </w: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417</w:t>
            </w:r>
          </w:p>
        </w:tc>
        <w:tc>
          <w:tcPr>
            <w:tcW w:w="885" w:type="dxa"/>
            <w:vMerge w:val="restart"/>
            <w:tcBorders>
              <w:left w:val="single" w:color="000000" w:sz="6" w:space="0"/>
              <w:right w:val="single" w:color="000000" w:sz="8"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98.14%</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479"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p>
        </w:tc>
        <w:tc>
          <w:tcPr>
            <w:tcW w:w="1042"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牛角沟</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126</w:t>
            </w:r>
          </w:p>
        </w:tc>
        <w:tc>
          <w:tcPr>
            <w:tcW w:w="1471"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 w:val="22"/>
              </w:rPr>
            </w:pPr>
          </w:p>
        </w:tc>
        <w:tc>
          <w:tcPr>
            <w:tcW w:w="1035"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430</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445"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p>
        </w:tc>
        <w:tc>
          <w:tcPr>
            <w:tcW w:w="1042"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西山口</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68</w:t>
            </w:r>
          </w:p>
        </w:tc>
        <w:tc>
          <w:tcPr>
            <w:tcW w:w="1471"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 w:val="22"/>
              </w:rPr>
            </w:pPr>
          </w:p>
        </w:tc>
        <w:tc>
          <w:tcPr>
            <w:tcW w:w="1035"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119</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411"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p>
        </w:tc>
        <w:tc>
          <w:tcPr>
            <w:tcW w:w="1042" w:type="dxa"/>
            <w:vMerge w:val="continue"/>
            <w:tcBorders>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北七夼</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275</w:t>
            </w:r>
          </w:p>
        </w:tc>
        <w:tc>
          <w:tcPr>
            <w:tcW w:w="1471" w:type="dxa"/>
            <w:vMerge w:val="continue"/>
            <w:tcBorders>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 w:val="22"/>
              </w:rPr>
            </w:pPr>
          </w:p>
        </w:tc>
        <w:tc>
          <w:tcPr>
            <w:tcW w:w="1035" w:type="dxa"/>
            <w:vMerge w:val="continue"/>
            <w:tcBorders>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443</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347"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p>
        </w:tc>
        <w:tc>
          <w:tcPr>
            <w:tcW w:w="1042" w:type="dxa"/>
            <w:vMerge w:val="restart"/>
            <w:tcBorders>
              <w:top w:val="single" w:color="000000" w:sz="6" w:space="0"/>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羊亭镇</w:t>
            </w:r>
          </w:p>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（3个）</w:t>
            </w: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羊亭</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987</w:t>
            </w:r>
          </w:p>
        </w:tc>
        <w:tc>
          <w:tcPr>
            <w:tcW w:w="1471" w:type="dxa"/>
            <w:vMerge w:val="restart"/>
            <w:tcBorders>
              <w:top w:val="single" w:color="000000" w:sz="6" w:space="0"/>
              <w:left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 w:val="22"/>
              </w:rPr>
            </w:pPr>
            <w:r>
              <w:rPr>
                <w:rFonts w:hint="default" w:ascii="Times New Roman" w:hAnsi="Times New Roman" w:eastAsia="仿宋_GB2312" w:cs="Times New Roman"/>
                <w:sz w:val="22"/>
              </w:rPr>
              <w:t>旧村改造，污水并入市政污水管网</w:t>
            </w:r>
          </w:p>
        </w:tc>
        <w:tc>
          <w:tcPr>
            <w:tcW w:w="1035" w:type="dxa"/>
            <w:vMerge w:val="restart"/>
            <w:tcBorders>
              <w:top w:val="single" w:color="000000" w:sz="6" w:space="0"/>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w:t>
            </w: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2692</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355"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p>
        </w:tc>
        <w:tc>
          <w:tcPr>
            <w:tcW w:w="1042"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鹿道口</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100</w:t>
            </w:r>
          </w:p>
        </w:tc>
        <w:tc>
          <w:tcPr>
            <w:tcW w:w="1471"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 w:val="22"/>
              </w:rPr>
            </w:pPr>
          </w:p>
        </w:tc>
        <w:tc>
          <w:tcPr>
            <w:tcW w:w="1035"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290</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207"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p>
        </w:tc>
        <w:tc>
          <w:tcPr>
            <w:tcW w:w="1042"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大西庄</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380</w:t>
            </w:r>
          </w:p>
        </w:tc>
        <w:tc>
          <w:tcPr>
            <w:tcW w:w="1471"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 w:val="22"/>
              </w:rPr>
            </w:pPr>
          </w:p>
        </w:tc>
        <w:tc>
          <w:tcPr>
            <w:tcW w:w="1035"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1068</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Cs w:val="21"/>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1161" w:type="dxa"/>
            <w:vMerge w:val="continue"/>
            <w:tcBorders>
              <w:left w:val="single" w:color="000000" w:sz="8"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kern w:val="0"/>
                <w:sz w:val="22"/>
              </w:rPr>
            </w:pPr>
          </w:p>
        </w:tc>
        <w:tc>
          <w:tcPr>
            <w:tcW w:w="1042" w:type="dxa"/>
            <w:vMerge w:val="continue"/>
            <w:tcBorders>
              <w:left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1043" w:type="dxa"/>
            <w:tcBorders>
              <w:top w:val="single" w:color="000000" w:sz="6" w:space="0"/>
              <w:left w:val="single" w:color="000000" w:sz="6" w:space="0"/>
              <w:bottom w:val="single" w:color="000000" w:sz="6" w:space="0"/>
              <w:right w:val="single" w:color="000000" w:sz="6" w:space="0"/>
            </w:tcBorders>
            <w:noWrap/>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港头</w:t>
            </w:r>
          </w:p>
        </w:tc>
        <w:tc>
          <w:tcPr>
            <w:tcW w:w="1043"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528</w:t>
            </w:r>
          </w:p>
        </w:tc>
        <w:tc>
          <w:tcPr>
            <w:tcW w:w="1471" w:type="dxa"/>
            <w:vMerge w:val="continue"/>
            <w:tcBorders>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sz w:val="22"/>
              </w:rPr>
            </w:pPr>
          </w:p>
        </w:tc>
        <w:tc>
          <w:tcPr>
            <w:tcW w:w="1035" w:type="dxa"/>
            <w:vMerge w:val="continue"/>
            <w:tcBorders>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p>
        </w:tc>
        <w:tc>
          <w:tcPr>
            <w:tcW w:w="930" w:type="dxa"/>
            <w:tcBorders>
              <w:top w:val="single" w:color="000000" w:sz="6" w:space="0"/>
              <w:left w:val="single" w:color="000000" w:sz="6" w:space="0"/>
              <w:bottom w:val="single" w:color="000000" w:sz="6" w:space="0"/>
              <w:right w:val="single" w:color="000000" w:sz="6"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sz w:val="22"/>
              </w:rPr>
              <w:t>1584</w:t>
            </w:r>
          </w:p>
        </w:tc>
        <w:tc>
          <w:tcPr>
            <w:tcW w:w="885" w:type="dxa"/>
            <w:vMerge w:val="continue"/>
            <w:tcBorders>
              <w:left w:val="single" w:color="000000" w:sz="6" w:space="0"/>
              <w:right w:val="single" w:color="000000" w:sz="8" w:space="0"/>
            </w:tcBorders>
            <w:tcMar>
              <w:top w:w="15" w:type="dxa"/>
              <w:left w:w="15" w:type="dxa"/>
              <w:right w:w="15" w:type="dxa"/>
            </w:tcMar>
            <w:vAlign w:val="center"/>
          </w:tcPr>
          <w:p>
            <w:pPr>
              <w:keepNext w:val="0"/>
              <w:keepLines w:val="0"/>
              <w:pageBreakBefore w:val="0"/>
              <w:widowControl/>
              <w:tabs>
                <w:tab w:val="left" w:pos="2844"/>
              </w:tabs>
              <w:kinsoku/>
              <w:wordWrap/>
              <w:overflowPunct/>
              <w:topLinePunct w:val="0"/>
              <w:bidi w:val="0"/>
              <w:snapToGrid/>
              <w:spacing w:line="600" w:lineRule="exact"/>
              <w:ind w:left="0" w:leftChars="0"/>
              <w:jc w:val="center"/>
              <w:textAlignment w:val="center"/>
              <w:rPr>
                <w:rFonts w:hint="default" w:ascii="Times New Roman" w:hAnsi="Times New Roman" w:eastAsia="仿宋_GB2312" w:cs="Times New Roman"/>
                <w:szCs w:val="21"/>
              </w:rPr>
            </w:pPr>
          </w:p>
        </w:tc>
      </w:tr>
    </w:tbl>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bCs/>
          <w:color w:val="000000"/>
          <w:sz w:val="32"/>
          <w:szCs w:val="32"/>
        </w:rPr>
      </w:pPr>
    </w:p>
    <w:p>
      <w:pPr>
        <w:keepNext w:val="0"/>
        <w:keepLines w:val="0"/>
        <w:pageBreakBefore w:val="0"/>
        <w:kinsoku/>
        <w:wordWrap/>
        <w:overflowPunct/>
        <w:topLinePunct w:val="0"/>
        <w:bidi w:val="0"/>
        <w:snapToGrid/>
        <w:spacing w:line="600" w:lineRule="exact"/>
        <w:ind w:left="0" w:leftChars="0"/>
        <w:jc w:val="left"/>
        <w:rPr>
          <w:rFonts w:hint="default" w:ascii="Times New Roman" w:hAnsi="Times New Roman" w:eastAsia="黑体" w:cs="Times New Roman"/>
          <w:sz w:val="32"/>
          <w:szCs w:val="32"/>
        </w:rPr>
      </w:pPr>
    </w:p>
    <w:p>
      <w:pPr>
        <w:keepNext w:val="0"/>
        <w:keepLines w:val="0"/>
        <w:pageBreakBefore w:val="0"/>
        <w:kinsoku/>
        <w:wordWrap/>
        <w:overflowPunct/>
        <w:topLinePunct w:val="0"/>
        <w:bidi w:val="0"/>
        <w:snapToGrid/>
        <w:spacing w:line="600" w:lineRule="exact"/>
        <w:ind w:left="0" w:leftChars="0"/>
        <w:jc w:val="left"/>
        <w:rPr>
          <w:rFonts w:hint="default" w:ascii="Times New Roman" w:hAnsi="Times New Roman" w:eastAsia="黑体" w:cs="Times New Roman"/>
          <w:sz w:val="32"/>
          <w:szCs w:val="32"/>
        </w:rPr>
      </w:pPr>
    </w:p>
    <w:p>
      <w:pPr>
        <w:keepNext w:val="0"/>
        <w:keepLines w:val="0"/>
        <w:pageBreakBefore w:val="0"/>
        <w:kinsoku/>
        <w:wordWrap/>
        <w:overflowPunct/>
        <w:topLinePunct w:val="0"/>
        <w:bidi w:val="0"/>
        <w:snapToGrid/>
        <w:spacing w:line="600" w:lineRule="exact"/>
        <w:ind w:left="0" w:leftChars="0"/>
        <w:jc w:val="left"/>
        <w:rPr>
          <w:rFonts w:hint="default" w:ascii="Times New Roman" w:hAnsi="Times New Roman" w:eastAsia="黑体" w:cs="Times New Roman"/>
          <w:sz w:val="32"/>
          <w:szCs w:val="32"/>
        </w:rPr>
      </w:pPr>
    </w:p>
    <w:p>
      <w:pPr>
        <w:keepNext w:val="0"/>
        <w:keepLines w:val="0"/>
        <w:pageBreakBefore w:val="0"/>
        <w:kinsoku/>
        <w:wordWrap/>
        <w:overflowPunct/>
        <w:topLinePunct w:val="0"/>
        <w:bidi w:val="0"/>
        <w:snapToGrid/>
        <w:spacing w:line="600" w:lineRule="exact"/>
        <w:ind w:left="0" w:leftChars="0"/>
        <w:jc w:val="left"/>
        <w:rPr>
          <w:rFonts w:hint="default" w:ascii="Times New Roman" w:hAnsi="Times New Roman" w:eastAsia="黑体" w:cs="Times New Roman"/>
          <w:sz w:val="32"/>
          <w:szCs w:val="32"/>
        </w:rPr>
      </w:pPr>
    </w:p>
    <w:p>
      <w:pPr>
        <w:keepNext w:val="0"/>
        <w:keepLines w:val="0"/>
        <w:pageBreakBefore w:val="0"/>
        <w:kinsoku/>
        <w:wordWrap/>
        <w:overflowPunct/>
        <w:topLinePunct w:val="0"/>
        <w:bidi w:val="0"/>
        <w:snapToGrid/>
        <w:spacing w:line="600" w:lineRule="exact"/>
        <w:ind w:left="0" w:leftChars="0"/>
        <w:jc w:val="left"/>
        <w:rPr>
          <w:rFonts w:hint="default" w:ascii="Times New Roman" w:hAnsi="Times New Roman" w:eastAsia="黑体" w:cs="Times New Roman"/>
          <w:sz w:val="32"/>
          <w:szCs w:val="32"/>
        </w:rPr>
      </w:pPr>
    </w:p>
    <w:p>
      <w:pPr>
        <w:keepNext w:val="0"/>
        <w:keepLines w:val="0"/>
        <w:pageBreakBefore w:val="0"/>
        <w:kinsoku/>
        <w:wordWrap/>
        <w:overflowPunct/>
        <w:topLinePunct w:val="0"/>
        <w:bidi w:val="0"/>
        <w:snapToGrid/>
        <w:spacing w:line="600" w:lineRule="exact"/>
        <w:ind w:left="0" w:leftChars="0"/>
        <w:jc w:val="left"/>
        <w:rPr>
          <w:rFonts w:hint="default" w:ascii="Times New Roman" w:hAnsi="Times New Roman" w:eastAsia="黑体" w:cs="Times New Roman"/>
          <w:sz w:val="32"/>
          <w:szCs w:val="32"/>
        </w:rPr>
      </w:pPr>
    </w:p>
    <w:p>
      <w:pPr>
        <w:keepNext w:val="0"/>
        <w:keepLines w:val="0"/>
        <w:pageBreakBefore w:val="0"/>
        <w:kinsoku/>
        <w:wordWrap/>
        <w:overflowPunct/>
        <w:topLinePunct w:val="0"/>
        <w:bidi w:val="0"/>
        <w:snapToGrid/>
        <w:spacing w:line="600" w:lineRule="exact"/>
        <w:ind w:left="0" w:leftChars="0"/>
        <w:jc w:val="left"/>
        <w:rPr>
          <w:rFonts w:hint="default" w:ascii="Times New Roman" w:hAnsi="Times New Roman" w:eastAsia="黑体" w:cs="Times New Roman"/>
          <w:sz w:val="32"/>
          <w:szCs w:val="32"/>
        </w:rPr>
      </w:pPr>
    </w:p>
    <w:p>
      <w:pPr>
        <w:keepNext w:val="0"/>
        <w:keepLines w:val="0"/>
        <w:pageBreakBefore w:val="0"/>
        <w:kinsoku/>
        <w:wordWrap/>
        <w:overflowPunct/>
        <w:topLinePunct w:val="0"/>
        <w:bidi w:val="0"/>
        <w:snapToGrid/>
        <w:spacing w:line="600" w:lineRule="exact"/>
        <w:ind w:left="0" w:leftChars="0"/>
        <w:jc w:val="left"/>
        <w:rPr>
          <w:rFonts w:hint="default" w:ascii="Times New Roman" w:hAnsi="Times New Roman" w:eastAsia="黑体" w:cs="Times New Roman"/>
          <w:sz w:val="32"/>
          <w:szCs w:val="32"/>
        </w:rPr>
      </w:pPr>
    </w:p>
    <w:p>
      <w:pPr>
        <w:keepNext w:val="0"/>
        <w:keepLines w:val="0"/>
        <w:pageBreakBefore w:val="0"/>
        <w:kinsoku/>
        <w:wordWrap/>
        <w:overflowPunct/>
        <w:topLinePunct w:val="0"/>
        <w:bidi w:val="0"/>
        <w:snapToGrid/>
        <w:spacing w:line="600" w:lineRule="exact"/>
        <w:ind w:left="0" w:leftChars="0"/>
        <w:jc w:val="left"/>
        <w:rPr>
          <w:rFonts w:hint="default" w:ascii="Times New Roman" w:hAnsi="Times New Roman" w:eastAsia="黑体" w:cs="Times New Roman"/>
          <w:sz w:val="32"/>
          <w:szCs w:val="32"/>
        </w:rPr>
      </w:pPr>
    </w:p>
    <w:p>
      <w:pPr>
        <w:keepNext w:val="0"/>
        <w:keepLines w:val="0"/>
        <w:pageBreakBefore w:val="0"/>
        <w:kinsoku/>
        <w:wordWrap/>
        <w:overflowPunct/>
        <w:topLinePunct w:val="0"/>
        <w:bidi w:val="0"/>
        <w:snapToGrid/>
        <w:spacing w:line="600" w:lineRule="exact"/>
        <w:ind w:left="0" w:leftChars="0"/>
        <w:jc w:val="left"/>
        <w:rPr>
          <w:rFonts w:hint="default" w:ascii="Times New Roman" w:hAnsi="Times New Roman" w:eastAsia="黑体" w:cs="Times New Roman"/>
          <w:sz w:val="32"/>
          <w:szCs w:val="32"/>
        </w:rPr>
      </w:pPr>
    </w:p>
    <w:p>
      <w:pPr>
        <w:keepNext w:val="0"/>
        <w:keepLines w:val="0"/>
        <w:pageBreakBefore w:val="0"/>
        <w:kinsoku/>
        <w:wordWrap/>
        <w:overflowPunct/>
        <w:topLinePunct w:val="0"/>
        <w:bidi w:val="0"/>
        <w:snapToGrid/>
        <w:spacing w:line="600" w:lineRule="exact"/>
        <w:ind w:left="0" w:leftChars="0"/>
        <w:jc w:val="left"/>
        <w:rPr>
          <w:rFonts w:hint="default" w:ascii="Times New Roman" w:hAnsi="Times New Roman" w:eastAsia="黑体" w:cs="Times New Roman"/>
          <w:sz w:val="32"/>
          <w:szCs w:val="32"/>
        </w:rPr>
      </w:pPr>
    </w:p>
    <w:p>
      <w:pPr>
        <w:keepNext w:val="0"/>
        <w:keepLines w:val="0"/>
        <w:pageBreakBefore w:val="0"/>
        <w:kinsoku/>
        <w:wordWrap/>
        <w:overflowPunct/>
        <w:topLinePunct w:val="0"/>
        <w:bidi w:val="0"/>
        <w:snapToGrid/>
        <w:spacing w:line="600" w:lineRule="exact"/>
        <w:ind w:left="0" w:left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附件3：</w:t>
      </w:r>
    </w:p>
    <w:p>
      <w:pPr>
        <w:keepNext w:val="0"/>
        <w:keepLines w:val="0"/>
        <w:pageBreakBefore w:val="0"/>
        <w:kinsoku/>
        <w:wordWrap/>
        <w:overflowPunct/>
        <w:topLinePunct w:val="0"/>
        <w:bidi w:val="0"/>
        <w:snapToGrid/>
        <w:spacing w:line="600" w:lineRule="exact"/>
        <w:ind w:left="0" w:leftChars="0"/>
        <w:jc w:val="left"/>
        <w:rPr>
          <w:rFonts w:hint="default" w:ascii="Times New Roman" w:hAnsi="Times New Roman" w:eastAsia="文星简小标宋" w:cs="Times New Roman"/>
          <w:sz w:val="32"/>
          <w:szCs w:val="32"/>
        </w:rPr>
      </w:pPr>
    </w:p>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文星简小标宋" w:cs="Times New Roman"/>
          <w:bCs/>
          <w:kern w:val="0"/>
          <w:sz w:val="44"/>
          <w:szCs w:val="44"/>
        </w:rPr>
      </w:pPr>
      <w:r>
        <w:rPr>
          <w:rFonts w:hint="default" w:ascii="Times New Roman" w:hAnsi="Times New Roman" w:eastAsia="文星简小标宋" w:cs="Times New Roman"/>
          <w:bCs/>
          <w:kern w:val="0"/>
          <w:sz w:val="44"/>
          <w:szCs w:val="44"/>
        </w:rPr>
        <w:t>环翠区农村生活污水治理工作进度汇总表</w:t>
      </w:r>
    </w:p>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文星简小标宋" w:cs="Times New Roman"/>
          <w:bCs/>
          <w:kern w:val="0"/>
          <w:sz w:val="44"/>
          <w:szCs w:val="44"/>
        </w:rPr>
      </w:pPr>
    </w:p>
    <w:tbl>
      <w:tblPr>
        <w:tblStyle w:val="1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6"/>
        <w:gridCol w:w="1410"/>
        <w:gridCol w:w="2280"/>
        <w:gridCol w:w="20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746"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bCs/>
                <w:color w:val="000000"/>
                <w:sz w:val="22"/>
                <w:szCs w:val="21"/>
              </w:rPr>
            </w:pPr>
            <w:r>
              <w:rPr>
                <w:rFonts w:hint="default" w:ascii="Times New Roman" w:hAnsi="Times New Roman" w:eastAsia="黑体" w:cs="Times New Roman"/>
                <w:bCs/>
                <w:color w:val="000000"/>
                <w:sz w:val="22"/>
                <w:szCs w:val="21"/>
              </w:rPr>
              <w:t>村庄类别</w:t>
            </w:r>
          </w:p>
        </w:tc>
        <w:tc>
          <w:tcPr>
            <w:tcW w:w="141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bCs/>
                <w:color w:val="000000"/>
                <w:sz w:val="22"/>
                <w:szCs w:val="21"/>
              </w:rPr>
            </w:pPr>
            <w:r>
              <w:rPr>
                <w:rFonts w:hint="default" w:ascii="Times New Roman" w:hAnsi="Times New Roman" w:eastAsia="黑体" w:cs="Times New Roman"/>
                <w:bCs/>
                <w:color w:val="000000"/>
                <w:sz w:val="22"/>
                <w:szCs w:val="21"/>
              </w:rPr>
              <w:t>年度</w:t>
            </w:r>
          </w:p>
        </w:tc>
        <w:tc>
          <w:tcPr>
            <w:tcW w:w="228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bCs/>
                <w:color w:val="000000"/>
                <w:sz w:val="22"/>
                <w:szCs w:val="21"/>
              </w:rPr>
            </w:pPr>
            <w:r>
              <w:rPr>
                <w:rFonts w:hint="default" w:ascii="Times New Roman" w:hAnsi="Times New Roman" w:eastAsia="黑体" w:cs="Times New Roman"/>
                <w:bCs/>
                <w:color w:val="000000"/>
                <w:sz w:val="22"/>
                <w:szCs w:val="21"/>
              </w:rPr>
              <w:t>对生活污水进行处理的行政村数量</w:t>
            </w:r>
          </w:p>
        </w:tc>
        <w:tc>
          <w:tcPr>
            <w:tcW w:w="2086" w:type="dxa"/>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黑体" w:cs="Times New Roman"/>
                <w:bCs/>
                <w:color w:val="000000"/>
                <w:sz w:val="22"/>
                <w:szCs w:val="21"/>
              </w:rPr>
            </w:pPr>
            <w:r>
              <w:rPr>
                <w:rFonts w:hint="default" w:ascii="Times New Roman" w:hAnsi="Times New Roman" w:eastAsia="黑体" w:cs="Times New Roman"/>
                <w:bCs/>
                <w:color w:val="000000"/>
                <w:sz w:val="22"/>
                <w:szCs w:val="21"/>
              </w:rPr>
              <w:t>对生活污水进行处理的行政村占本类别村庄的比例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2746" w:type="dxa"/>
            <w:vMerge w:val="restart"/>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生态敏感区范围内（南水北调东线核心保护区、重点保护区和一般保护区，饮用水水源地一、二级保护区和准保护区）（无）</w:t>
            </w:r>
          </w:p>
        </w:tc>
        <w:tc>
          <w:tcPr>
            <w:tcW w:w="141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2021年</w:t>
            </w:r>
          </w:p>
        </w:tc>
        <w:tc>
          <w:tcPr>
            <w:tcW w:w="228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cs="Times New Roman"/>
              </w:rPr>
            </w:pPr>
            <w:r>
              <w:rPr>
                <w:rFonts w:hint="default" w:ascii="Times New Roman" w:hAnsi="Times New Roman" w:eastAsia="仿宋_GB2312" w:cs="Times New Roman"/>
                <w:color w:val="000000"/>
                <w:sz w:val="22"/>
                <w:szCs w:val="21"/>
              </w:rPr>
              <w:t>/</w:t>
            </w:r>
          </w:p>
        </w:tc>
        <w:tc>
          <w:tcPr>
            <w:tcW w:w="2086"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cs="Times New Roman"/>
              </w:rPr>
            </w:pPr>
            <w:r>
              <w:rPr>
                <w:rFonts w:hint="default" w:ascii="Times New Roman" w:hAnsi="Times New Roman" w:eastAsia="仿宋_GB2312" w:cs="Times New Roman"/>
                <w:color w:val="000000"/>
                <w:sz w:val="22"/>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2746" w:type="dxa"/>
            <w:vMerge w:val="continue"/>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p>
        </w:tc>
        <w:tc>
          <w:tcPr>
            <w:tcW w:w="141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2022年</w:t>
            </w:r>
          </w:p>
        </w:tc>
        <w:tc>
          <w:tcPr>
            <w:tcW w:w="228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cs="Times New Roman"/>
              </w:rPr>
            </w:pPr>
            <w:r>
              <w:rPr>
                <w:rFonts w:hint="default" w:ascii="Times New Roman" w:hAnsi="Times New Roman" w:eastAsia="仿宋_GB2312" w:cs="Times New Roman"/>
                <w:color w:val="000000"/>
                <w:sz w:val="22"/>
                <w:szCs w:val="21"/>
              </w:rPr>
              <w:t>/</w:t>
            </w:r>
          </w:p>
        </w:tc>
        <w:tc>
          <w:tcPr>
            <w:tcW w:w="2086"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cs="Times New Roman"/>
              </w:rPr>
            </w:pPr>
            <w:r>
              <w:rPr>
                <w:rFonts w:hint="default" w:ascii="Times New Roman" w:hAnsi="Times New Roman" w:eastAsia="仿宋_GB2312" w:cs="Times New Roman"/>
                <w:color w:val="000000"/>
                <w:sz w:val="22"/>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2746" w:type="dxa"/>
            <w:vMerge w:val="continue"/>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p>
        </w:tc>
        <w:tc>
          <w:tcPr>
            <w:tcW w:w="141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2023年</w:t>
            </w:r>
          </w:p>
        </w:tc>
        <w:tc>
          <w:tcPr>
            <w:tcW w:w="228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cs="Times New Roman"/>
              </w:rPr>
            </w:pPr>
            <w:r>
              <w:rPr>
                <w:rFonts w:hint="default" w:ascii="Times New Roman" w:hAnsi="Times New Roman" w:eastAsia="仿宋_GB2312" w:cs="Times New Roman"/>
                <w:color w:val="000000"/>
                <w:sz w:val="22"/>
                <w:szCs w:val="21"/>
              </w:rPr>
              <w:t>/</w:t>
            </w:r>
          </w:p>
        </w:tc>
        <w:tc>
          <w:tcPr>
            <w:tcW w:w="2086"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cs="Times New Roman"/>
              </w:rPr>
            </w:pPr>
            <w:r>
              <w:rPr>
                <w:rFonts w:hint="default" w:ascii="Times New Roman" w:hAnsi="Times New Roman" w:eastAsia="仿宋_GB2312" w:cs="Times New Roman"/>
                <w:color w:val="000000"/>
                <w:sz w:val="22"/>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2746" w:type="dxa"/>
            <w:vMerge w:val="continue"/>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p>
        </w:tc>
        <w:tc>
          <w:tcPr>
            <w:tcW w:w="141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2024年</w:t>
            </w:r>
          </w:p>
        </w:tc>
        <w:tc>
          <w:tcPr>
            <w:tcW w:w="228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cs="Times New Roman"/>
              </w:rPr>
            </w:pPr>
            <w:r>
              <w:rPr>
                <w:rFonts w:hint="default" w:ascii="Times New Roman" w:hAnsi="Times New Roman" w:eastAsia="仿宋_GB2312" w:cs="Times New Roman"/>
                <w:color w:val="000000"/>
                <w:sz w:val="22"/>
                <w:szCs w:val="21"/>
              </w:rPr>
              <w:t>/</w:t>
            </w:r>
          </w:p>
        </w:tc>
        <w:tc>
          <w:tcPr>
            <w:tcW w:w="2086"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cs="Times New Roman"/>
              </w:rPr>
            </w:pPr>
            <w:r>
              <w:rPr>
                <w:rFonts w:hint="default" w:ascii="Times New Roman" w:hAnsi="Times New Roman" w:eastAsia="仿宋_GB2312" w:cs="Times New Roman"/>
                <w:color w:val="000000"/>
                <w:sz w:val="22"/>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2746" w:type="dxa"/>
            <w:vMerge w:val="continue"/>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p>
        </w:tc>
        <w:tc>
          <w:tcPr>
            <w:tcW w:w="141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2025年</w:t>
            </w:r>
          </w:p>
        </w:tc>
        <w:tc>
          <w:tcPr>
            <w:tcW w:w="228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cs="Times New Roman"/>
              </w:rPr>
            </w:pPr>
            <w:r>
              <w:rPr>
                <w:rFonts w:hint="default" w:ascii="Times New Roman" w:hAnsi="Times New Roman" w:eastAsia="仿宋_GB2312" w:cs="Times New Roman"/>
                <w:color w:val="000000"/>
                <w:sz w:val="22"/>
                <w:szCs w:val="21"/>
              </w:rPr>
              <w:t>/</w:t>
            </w:r>
          </w:p>
        </w:tc>
        <w:tc>
          <w:tcPr>
            <w:tcW w:w="2086"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cs="Times New Roman"/>
              </w:rPr>
            </w:pPr>
            <w:r>
              <w:rPr>
                <w:rFonts w:hint="default" w:ascii="Times New Roman" w:hAnsi="Times New Roman" w:eastAsia="仿宋_GB2312" w:cs="Times New Roman"/>
                <w:color w:val="000000"/>
                <w:sz w:val="22"/>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2746" w:type="dxa"/>
            <w:vMerge w:val="continue"/>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p>
        </w:tc>
        <w:tc>
          <w:tcPr>
            <w:tcW w:w="141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合计</w:t>
            </w:r>
          </w:p>
        </w:tc>
        <w:tc>
          <w:tcPr>
            <w:tcW w:w="228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w:t>
            </w:r>
          </w:p>
        </w:tc>
        <w:tc>
          <w:tcPr>
            <w:tcW w:w="2086"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cs="Times New Roman"/>
              </w:rPr>
            </w:pPr>
            <w:r>
              <w:rPr>
                <w:rFonts w:hint="default" w:ascii="Times New Roman" w:hAnsi="Times New Roman" w:eastAsia="仿宋_GB2312" w:cs="Times New Roman"/>
                <w:color w:val="000000"/>
                <w:sz w:val="22"/>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2746" w:type="dxa"/>
            <w:vMerge w:val="restart"/>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重点关注区范围内（环渤海区域）（无）</w:t>
            </w:r>
          </w:p>
        </w:tc>
        <w:tc>
          <w:tcPr>
            <w:tcW w:w="141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2021年</w:t>
            </w:r>
          </w:p>
        </w:tc>
        <w:tc>
          <w:tcPr>
            <w:tcW w:w="2280" w:type="dxa"/>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rPr>
            </w:pPr>
            <w:r>
              <w:rPr>
                <w:rFonts w:hint="default" w:ascii="Times New Roman" w:hAnsi="Times New Roman" w:eastAsia="仿宋_GB2312" w:cs="Times New Roman"/>
                <w:color w:val="000000"/>
                <w:sz w:val="22"/>
                <w:szCs w:val="21"/>
              </w:rPr>
              <w:t>/</w:t>
            </w:r>
          </w:p>
        </w:tc>
        <w:tc>
          <w:tcPr>
            <w:tcW w:w="2086" w:type="dxa"/>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rPr>
            </w:pPr>
            <w:r>
              <w:rPr>
                <w:rFonts w:hint="default" w:ascii="Times New Roman" w:hAnsi="Times New Roman" w:eastAsia="仿宋_GB2312" w:cs="Times New Roman"/>
                <w:color w:val="000000"/>
                <w:sz w:val="22"/>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2746" w:type="dxa"/>
            <w:vMerge w:val="continue"/>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p>
        </w:tc>
        <w:tc>
          <w:tcPr>
            <w:tcW w:w="141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2022年</w:t>
            </w:r>
          </w:p>
        </w:tc>
        <w:tc>
          <w:tcPr>
            <w:tcW w:w="2280" w:type="dxa"/>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rPr>
            </w:pPr>
            <w:r>
              <w:rPr>
                <w:rFonts w:hint="default" w:ascii="Times New Roman" w:hAnsi="Times New Roman" w:eastAsia="仿宋_GB2312" w:cs="Times New Roman"/>
                <w:color w:val="000000"/>
                <w:sz w:val="22"/>
                <w:szCs w:val="21"/>
              </w:rPr>
              <w:t>/</w:t>
            </w:r>
          </w:p>
        </w:tc>
        <w:tc>
          <w:tcPr>
            <w:tcW w:w="2086" w:type="dxa"/>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rPr>
            </w:pPr>
            <w:r>
              <w:rPr>
                <w:rFonts w:hint="default" w:ascii="Times New Roman" w:hAnsi="Times New Roman" w:eastAsia="仿宋_GB2312" w:cs="Times New Roman"/>
                <w:color w:val="000000"/>
                <w:sz w:val="22"/>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2746" w:type="dxa"/>
            <w:vMerge w:val="continue"/>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p>
        </w:tc>
        <w:tc>
          <w:tcPr>
            <w:tcW w:w="141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2023年</w:t>
            </w:r>
          </w:p>
        </w:tc>
        <w:tc>
          <w:tcPr>
            <w:tcW w:w="2280" w:type="dxa"/>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rPr>
            </w:pPr>
            <w:r>
              <w:rPr>
                <w:rFonts w:hint="default" w:ascii="Times New Roman" w:hAnsi="Times New Roman" w:eastAsia="仿宋_GB2312" w:cs="Times New Roman"/>
                <w:color w:val="000000"/>
                <w:sz w:val="22"/>
                <w:szCs w:val="21"/>
              </w:rPr>
              <w:t>/</w:t>
            </w:r>
          </w:p>
        </w:tc>
        <w:tc>
          <w:tcPr>
            <w:tcW w:w="2086" w:type="dxa"/>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rPr>
            </w:pPr>
            <w:r>
              <w:rPr>
                <w:rFonts w:hint="default" w:ascii="Times New Roman" w:hAnsi="Times New Roman" w:eastAsia="仿宋_GB2312" w:cs="Times New Roman"/>
                <w:color w:val="000000"/>
                <w:sz w:val="22"/>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2746" w:type="dxa"/>
            <w:vMerge w:val="continue"/>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p>
        </w:tc>
        <w:tc>
          <w:tcPr>
            <w:tcW w:w="141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2024年</w:t>
            </w:r>
          </w:p>
        </w:tc>
        <w:tc>
          <w:tcPr>
            <w:tcW w:w="2280" w:type="dxa"/>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rPr>
            </w:pPr>
            <w:r>
              <w:rPr>
                <w:rFonts w:hint="default" w:ascii="Times New Roman" w:hAnsi="Times New Roman" w:eastAsia="仿宋_GB2312" w:cs="Times New Roman"/>
                <w:color w:val="000000"/>
                <w:sz w:val="22"/>
                <w:szCs w:val="21"/>
              </w:rPr>
              <w:t>/</w:t>
            </w:r>
          </w:p>
        </w:tc>
        <w:tc>
          <w:tcPr>
            <w:tcW w:w="2086" w:type="dxa"/>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rPr>
            </w:pPr>
            <w:r>
              <w:rPr>
                <w:rFonts w:hint="default" w:ascii="Times New Roman" w:hAnsi="Times New Roman" w:eastAsia="仿宋_GB2312" w:cs="Times New Roman"/>
                <w:color w:val="000000"/>
                <w:sz w:val="22"/>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2746" w:type="dxa"/>
            <w:vMerge w:val="continue"/>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p>
        </w:tc>
        <w:tc>
          <w:tcPr>
            <w:tcW w:w="141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2025年</w:t>
            </w:r>
          </w:p>
        </w:tc>
        <w:tc>
          <w:tcPr>
            <w:tcW w:w="2280" w:type="dxa"/>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rPr>
            </w:pPr>
            <w:r>
              <w:rPr>
                <w:rFonts w:hint="default" w:ascii="Times New Roman" w:hAnsi="Times New Roman" w:eastAsia="仿宋_GB2312" w:cs="Times New Roman"/>
                <w:color w:val="000000"/>
                <w:sz w:val="22"/>
                <w:szCs w:val="21"/>
              </w:rPr>
              <w:t>/</w:t>
            </w:r>
          </w:p>
        </w:tc>
        <w:tc>
          <w:tcPr>
            <w:tcW w:w="2086" w:type="dxa"/>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rPr>
            </w:pPr>
            <w:r>
              <w:rPr>
                <w:rFonts w:hint="default" w:ascii="Times New Roman" w:hAnsi="Times New Roman" w:eastAsia="仿宋_GB2312" w:cs="Times New Roman"/>
                <w:color w:val="000000"/>
                <w:sz w:val="22"/>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2746" w:type="dxa"/>
            <w:vMerge w:val="continue"/>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p>
        </w:tc>
        <w:tc>
          <w:tcPr>
            <w:tcW w:w="141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合计</w:t>
            </w:r>
          </w:p>
        </w:tc>
        <w:tc>
          <w:tcPr>
            <w:tcW w:w="2280" w:type="dxa"/>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rPr>
            </w:pPr>
            <w:r>
              <w:rPr>
                <w:rFonts w:hint="default" w:ascii="Times New Roman" w:hAnsi="Times New Roman" w:eastAsia="仿宋_GB2312" w:cs="Times New Roman"/>
                <w:color w:val="000000"/>
                <w:sz w:val="22"/>
                <w:szCs w:val="21"/>
              </w:rPr>
              <w:t>/</w:t>
            </w:r>
          </w:p>
        </w:tc>
        <w:tc>
          <w:tcPr>
            <w:tcW w:w="2086" w:type="dxa"/>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rPr>
            </w:pPr>
            <w:r>
              <w:rPr>
                <w:rFonts w:hint="default" w:ascii="Times New Roman" w:hAnsi="Times New Roman" w:eastAsia="仿宋_GB2312" w:cs="Times New Roman"/>
                <w:color w:val="000000"/>
                <w:sz w:val="22"/>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746" w:type="dxa"/>
            <w:vMerge w:val="restart"/>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试点示范区范围内（乡村振兴“十百千”工程、美丽乡村、农村生活污水连片治理示范区、美丽村居建设省级试点、旅游特色村等）</w:t>
            </w:r>
          </w:p>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（4个）</w:t>
            </w:r>
          </w:p>
        </w:tc>
        <w:tc>
          <w:tcPr>
            <w:tcW w:w="141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2021年</w:t>
            </w:r>
          </w:p>
        </w:tc>
        <w:tc>
          <w:tcPr>
            <w:tcW w:w="228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rPr>
            </w:pPr>
            <w:r>
              <w:rPr>
                <w:rFonts w:hint="default" w:ascii="Times New Roman" w:hAnsi="Times New Roman" w:eastAsia="仿宋_GB2312" w:cs="Times New Roman"/>
                <w:color w:val="000000"/>
                <w:sz w:val="22"/>
                <w:szCs w:val="21"/>
              </w:rPr>
              <w:t>/</w:t>
            </w:r>
          </w:p>
        </w:tc>
        <w:tc>
          <w:tcPr>
            <w:tcW w:w="2086"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rPr>
            </w:pPr>
            <w:r>
              <w:rPr>
                <w:rFonts w:hint="default" w:ascii="Times New Roman" w:hAnsi="Times New Roman" w:eastAsia="仿宋_GB2312" w:cs="Times New Roman"/>
                <w:color w:val="000000"/>
                <w:sz w:val="22"/>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746" w:type="dxa"/>
            <w:vMerge w:val="continue"/>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p>
        </w:tc>
        <w:tc>
          <w:tcPr>
            <w:tcW w:w="141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2022年</w:t>
            </w:r>
          </w:p>
        </w:tc>
        <w:tc>
          <w:tcPr>
            <w:tcW w:w="228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rPr>
            </w:pPr>
            <w:r>
              <w:rPr>
                <w:rFonts w:hint="default" w:ascii="Times New Roman" w:hAnsi="Times New Roman" w:eastAsia="仿宋_GB2312" w:cs="Times New Roman"/>
                <w:color w:val="000000"/>
                <w:sz w:val="22"/>
                <w:szCs w:val="21"/>
              </w:rPr>
              <w:t>/</w:t>
            </w:r>
          </w:p>
        </w:tc>
        <w:tc>
          <w:tcPr>
            <w:tcW w:w="2086"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rPr>
            </w:pPr>
            <w:r>
              <w:rPr>
                <w:rFonts w:hint="default" w:ascii="Times New Roman" w:hAnsi="Times New Roman" w:eastAsia="仿宋_GB2312" w:cs="Times New Roman"/>
                <w:color w:val="000000"/>
                <w:sz w:val="22"/>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746" w:type="dxa"/>
            <w:vMerge w:val="continue"/>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p>
        </w:tc>
        <w:tc>
          <w:tcPr>
            <w:tcW w:w="141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2023年</w:t>
            </w:r>
          </w:p>
        </w:tc>
        <w:tc>
          <w:tcPr>
            <w:tcW w:w="228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p>
        </w:tc>
        <w:tc>
          <w:tcPr>
            <w:tcW w:w="2086"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746" w:type="dxa"/>
            <w:vMerge w:val="continue"/>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p>
        </w:tc>
        <w:tc>
          <w:tcPr>
            <w:tcW w:w="141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2024年</w:t>
            </w:r>
          </w:p>
        </w:tc>
        <w:tc>
          <w:tcPr>
            <w:tcW w:w="228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p>
        </w:tc>
        <w:tc>
          <w:tcPr>
            <w:tcW w:w="2086"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746" w:type="dxa"/>
            <w:vMerge w:val="continue"/>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p>
        </w:tc>
        <w:tc>
          <w:tcPr>
            <w:tcW w:w="141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2025年</w:t>
            </w:r>
          </w:p>
        </w:tc>
        <w:tc>
          <w:tcPr>
            <w:tcW w:w="228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rPr>
            </w:pPr>
            <w:r>
              <w:rPr>
                <w:rFonts w:hint="default" w:ascii="Times New Roman" w:hAnsi="Times New Roman" w:eastAsia="仿宋_GB2312" w:cs="Times New Roman"/>
                <w:color w:val="000000"/>
                <w:sz w:val="22"/>
                <w:szCs w:val="21"/>
              </w:rPr>
              <w:t>4</w:t>
            </w:r>
          </w:p>
        </w:tc>
        <w:tc>
          <w:tcPr>
            <w:tcW w:w="2086"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rPr>
            </w:pPr>
            <w:r>
              <w:rPr>
                <w:rFonts w:hint="default" w:ascii="Times New Roman" w:hAnsi="Times New Roman" w:eastAsia="仿宋_GB2312" w:cs="Times New Roman"/>
                <w:color w:val="000000"/>
                <w:sz w:val="22"/>
                <w:szCs w:val="21"/>
              </w:rPr>
              <w:t>11.42%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746" w:type="dxa"/>
            <w:vMerge w:val="continue"/>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p>
        </w:tc>
        <w:tc>
          <w:tcPr>
            <w:tcW w:w="141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合计</w:t>
            </w:r>
          </w:p>
        </w:tc>
        <w:tc>
          <w:tcPr>
            <w:tcW w:w="228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rPr>
            </w:pPr>
            <w:r>
              <w:rPr>
                <w:rFonts w:hint="default" w:ascii="Times New Roman" w:hAnsi="Times New Roman" w:eastAsia="仿宋_GB2312" w:cs="Times New Roman"/>
                <w:color w:val="000000"/>
                <w:sz w:val="22"/>
                <w:szCs w:val="21"/>
              </w:rPr>
              <w:t>4</w:t>
            </w:r>
          </w:p>
        </w:tc>
        <w:tc>
          <w:tcPr>
            <w:tcW w:w="2086"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rPr>
            </w:pPr>
            <w:r>
              <w:rPr>
                <w:rFonts w:hint="default" w:ascii="Times New Roman" w:hAnsi="Times New Roman" w:eastAsia="仿宋_GB2312" w:cs="Times New Roman"/>
                <w:color w:val="000000"/>
                <w:sz w:val="22"/>
                <w:szCs w:val="21"/>
              </w:rPr>
              <w:t>11.42%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2746" w:type="dxa"/>
            <w:vMerge w:val="restart"/>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其他村庄（52个）</w:t>
            </w:r>
          </w:p>
        </w:tc>
        <w:tc>
          <w:tcPr>
            <w:tcW w:w="141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2021年</w:t>
            </w:r>
          </w:p>
        </w:tc>
        <w:tc>
          <w:tcPr>
            <w:tcW w:w="228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12</w:t>
            </w:r>
          </w:p>
        </w:tc>
        <w:tc>
          <w:tcPr>
            <w:tcW w:w="2086"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23.07%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2746" w:type="dxa"/>
            <w:vMerge w:val="continue"/>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p>
        </w:tc>
        <w:tc>
          <w:tcPr>
            <w:tcW w:w="141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2022年</w:t>
            </w:r>
          </w:p>
        </w:tc>
        <w:tc>
          <w:tcPr>
            <w:tcW w:w="228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9</w:t>
            </w:r>
          </w:p>
        </w:tc>
        <w:tc>
          <w:tcPr>
            <w:tcW w:w="2086"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17.31%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2746" w:type="dxa"/>
            <w:vMerge w:val="continue"/>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p>
        </w:tc>
        <w:tc>
          <w:tcPr>
            <w:tcW w:w="141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2023年</w:t>
            </w:r>
          </w:p>
        </w:tc>
        <w:tc>
          <w:tcPr>
            <w:tcW w:w="228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13</w:t>
            </w:r>
          </w:p>
        </w:tc>
        <w:tc>
          <w:tcPr>
            <w:tcW w:w="2086"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2746" w:type="dxa"/>
            <w:vMerge w:val="continue"/>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p>
        </w:tc>
        <w:tc>
          <w:tcPr>
            <w:tcW w:w="141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2024年</w:t>
            </w:r>
          </w:p>
        </w:tc>
        <w:tc>
          <w:tcPr>
            <w:tcW w:w="228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14</w:t>
            </w:r>
          </w:p>
        </w:tc>
        <w:tc>
          <w:tcPr>
            <w:tcW w:w="2086"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26.92%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2746" w:type="dxa"/>
            <w:vMerge w:val="continue"/>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p>
        </w:tc>
        <w:tc>
          <w:tcPr>
            <w:tcW w:w="141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2025年</w:t>
            </w:r>
          </w:p>
        </w:tc>
        <w:tc>
          <w:tcPr>
            <w:tcW w:w="228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4</w:t>
            </w:r>
          </w:p>
        </w:tc>
        <w:tc>
          <w:tcPr>
            <w:tcW w:w="2086"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2746" w:type="dxa"/>
            <w:vMerge w:val="continue"/>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p>
        </w:tc>
        <w:tc>
          <w:tcPr>
            <w:tcW w:w="141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合计</w:t>
            </w:r>
          </w:p>
        </w:tc>
        <w:tc>
          <w:tcPr>
            <w:tcW w:w="228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52</w:t>
            </w:r>
          </w:p>
        </w:tc>
        <w:tc>
          <w:tcPr>
            <w:tcW w:w="2086"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2746" w:type="dxa"/>
            <w:vMerge w:val="restart"/>
            <w:vAlign w:val="center"/>
          </w:tcPr>
          <w:p>
            <w:pPr>
              <w:keepNext w:val="0"/>
              <w:keepLines w:val="0"/>
              <w:pageBreakBefore w:val="0"/>
              <w:kinsoku/>
              <w:wordWrap/>
              <w:overflowPunct/>
              <w:topLinePunct w:val="0"/>
              <w:bidi w:val="0"/>
              <w:snapToGrid/>
              <w:spacing w:line="600" w:lineRule="exact"/>
              <w:ind w:left="0" w:leftChars="0"/>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汇总（全区2025年前纳入处理的村庄共计56个）</w:t>
            </w:r>
          </w:p>
        </w:tc>
        <w:tc>
          <w:tcPr>
            <w:tcW w:w="141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2021年</w:t>
            </w:r>
          </w:p>
        </w:tc>
        <w:tc>
          <w:tcPr>
            <w:tcW w:w="228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12</w:t>
            </w:r>
          </w:p>
        </w:tc>
        <w:tc>
          <w:tcPr>
            <w:tcW w:w="2086"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21.43%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2746" w:type="dxa"/>
            <w:vMerge w:val="continue"/>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p>
        </w:tc>
        <w:tc>
          <w:tcPr>
            <w:tcW w:w="141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2022年</w:t>
            </w:r>
          </w:p>
        </w:tc>
        <w:tc>
          <w:tcPr>
            <w:tcW w:w="228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9</w:t>
            </w:r>
          </w:p>
        </w:tc>
        <w:tc>
          <w:tcPr>
            <w:tcW w:w="2086"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16.07%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2746" w:type="dxa"/>
            <w:vMerge w:val="continue"/>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p>
        </w:tc>
        <w:tc>
          <w:tcPr>
            <w:tcW w:w="141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2023年</w:t>
            </w:r>
          </w:p>
        </w:tc>
        <w:tc>
          <w:tcPr>
            <w:tcW w:w="228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13</w:t>
            </w:r>
          </w:p>
        </w:tc>
        <w:tc>
          <w:tcPr>
            <w:tcW w:w="2086"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23.21%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2746" w:type="dxa"/>
            <w:vMerge w:val="continue"/>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p>
        </w:tc>
        <w:tc>
          <w:tcPr>
            <w:tcW w:w="141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2024年</w:t>
            </w:r>
          </w:p>
        </w:tc>
        <w:tc>
          <w:tcPr>
            <w:tcW w:w="228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14</w:t>
            </w:r>
          </w:p>
        </w:tc>
        <w:tc>
          <w:tcPr>
            <w:tcW w:w="2086"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2746" w:type="dxa"/>
            <w:vMerge w:val="continue"/>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p>
        </w:tc>
        <w:tc>
          <w:tcPr>
            <w:tcW w:w="141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2025年</w:t>
            </w:r>
          </w:p>
        </w:tc>
        <w:tc>
          <w:tcPr>
            <w:tcW w:w="228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8</w:t>
            </w:r>
          </w:p>
        </w:tc>
        <w:tc>
          <w:tcPr>
            <w:tcW w:w="2086"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14.29%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2746" w:type="dxa"/>
            <w:vMerge w:val="continue"/>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p>
        </w:tc>
        <w:tc>
          <w:tcPr>
            <w:tcW w:w="141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合计</w:t>
            </w:r>
          </w:p>
        </w:tc>
        <w:tc>
          <w:tcPr>
            <w:tcW w:w="2280"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56</w:t>
            </w:r>
          </w:p>
        </w:tc>
        <w:tc>
          <w:tcPr>
            <w:tcW w:w="2086" w:type="dxa"/>
            <w:vAlign w:val="center"/>
          </w:tcPr>
          <w:p>
            <w:pPr>
              <w:keepNext w:val="0"/>
              <w:keepLines w:val="0"/>
              <w:pageBreakBefore w:val="0"/>
              <w:kinsoku/>
              <w:wordWrap/>
              <w:overflowPunct/>
              <w:topLinePunct w:val="0"/>
              <w:bidi w:val="0"/>
              <w:snapToGrid/>
              <w:spacing w:line="600" w:lineRule="exact"/>
              <w:ind w:left="0" w:leftChars="0"/>
              <w:jc w:val="center"/>
              <w:rPr>
                <w:rFonts w:hint="default" w:ascii="Times New Roman" w:hAnsi="Times New Roman" w:eastAsia="仿宋_GB2312" w:cs="Times New Roman"/>
                <w:color w:val="000000"/>
                <w:sz w:val="22"/>
                <w:szCs w:val="21"/>
              </w:rPr>
            </w:pPr>
            <w:r>
              <w:rPr>
                <w:rFonts w:hint="default" w:ascii="Times New Roman" w:hAnsi="Times New Roman" w:eastAsia="仿宋_GB2312" w:cs="Times New Roman"/>
                <w:color w:val="000000"/>
                <w:sz w:val="22"/>
                <w:szCs w:val="21"/>
              </w:rPr>
              <w:t>100%</w:t>
            </w:r>
          </w:p>
        </w:tc>
      </w:tr>
    </w:tbl>
    <w:p>
      <w:pPr>
        <w:keepNext w:val="0"/>
        <w:keepLines w:val="0"/>
        <w:pageBreakBefore w:val="0"/>
        <w:kinsoku/>
        <w:wordWrap/>
        <w:overflowPunct/>
        <w:topLinePunct w:val="0"/>
        <w:bidi w:val="0"/>
        <w:snapToGrid/>
        <w:spacing w:line="600" w:lineRule="exact"/>
        <w:ind w:left="0" w:leftChars="0"/>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80" w:lineRule="exact"/>
        <w:ind w:right="-2"/>
        <w:jc w:val="left"/>
        <w:textAlignment w:val="auto"/>
        <w:rPr>
          <w:rFonts w:hint="default" w:ascii="Times New Roman" w:hAnsi="Times New Roman" w:cs="Times New Roman"/>
        </w:rPr>
      </w:pPr>
    </w:p>
    <w:sectPr>
      <w:headerReference r:id="rId3" w:type="default"/>
      <w:footerReference r:id="rId4" w:type="default"/>
      <w:pgSz w:w="11906" w:h="16838"/>
      <w:pgMar w:top="1701" w:right="1417" w:bottom="1701" w:left="1417" w:header="851" w:footer="1474"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Calibri Light">
    <w:altName w:val="DejaVu Sans"/>
    <w:panose1 w:val="020F0302020204030204"/>
    <w:charset w:val="00"/>
    <w:family w:val="swiss"/>
    <w:pitch w:val="default"/>
    <w:sig w:usb0="00000000" w:usb1="00000000" w:usb2="00000000" w:usb3="00000000" w:csb0="2000019F" w:csb1="00000000"/>
  </w:font>
  <w:font w:name="文星简小标宋">
    <w:altName w:val="方正小标宋_GBK"/>
    <w:panose1 w:val="02010609000101010101"/>
    <w:charset w:val="86"/>
    <w:family w:val="modern"/>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Microsoft Yahei">
    <w:altName w:val="URW Bookman"/>
    <w:panose1 w:val="00000000000000000000"/>
    <w:charset w:val="00"/>
    <w:family w:val="auto"/>
    <w:pitch w:val="default"/>
    <w:sig w:usb0="00000000" w:usb1="00000000" w:usb2="00000000" w:usb3="00000000" w:csb0="00000000" w:csb1="00000000"/>
  </w:font>
  <w:font w:name="URW Bookman">
    <w:panose1 w:val="00000400000000000000"/>
    <w:charset w:val="00"/>
    <w:family w:val="auto"/>
    <w:pitch w:val="default"/>
    <w:sig w:usb0="00000287" w:usb1="00000800" w:usb2="00000000" w:usb3="00000000" w:csb0="6000009F"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6A6"/>
    <w:rsid w:val="00002FD3"/>
    <w:rsid w:val="000616A6"/>
    <w:rsid w:val="00065B83"/>
    <w:rsid w:val="001772D1"/>
    <w:rsid w:val="001D5FFA"/>
    <w:rsid w:val="00216473"/>
    <w:rsid w:val="00233B29"/>
    <w:rsid w:val="0031700B"/>
    <w:rsid w:val="00345EEA"/>
    <w:rsid w:val="003C07EC"/>
    <w:rsid w:val="00445809"/>
    <w:rsid w:val="004903B2"/>
    <w:rsid w:val="006454B6"/>
    <w:rsid w:val="00660979"/>
    <w:rsid w:val="0067263E"/>
    <w:rsid w:val="006B0A10"/>
    <w:rsid w:val="00725B04"/>
    <w:rsid w:val="0077288B"/>
    <w:rsid w:val="00796024"/>
    <w:rsid w:val="007A16A0"/>
    <w:rsid w:val="00846796"/>
    <w:rsid w:val="008A4F21"/>
    <w:rsid w:val="008A62E2"/>
    <w:rsid w:val="008C4B79"/>
    <w:rsid w:val="00923FCB"/>
    <w:rsid w:val="00955FE4"/>
    <w:rsid w:val="00956046"/>
    <w:rsid w:val="009F6744"/>
    <w:rsid w:val="00B07B1F"/>
    <w:rsid w:val="00B4017A"/>
    <w:rsid w:val="00B87BEC"/>
    <w:rsid w:val="00BC03A8"/>
    <w:rsid w:val="00BD3EA3"/>
    <w:rsid w:val="00C267F9"/>
    <w:rsid w:val="00CD6888"/>
    <w:rsid w:val="00D45B05"/>
    <w:rsid w:val="00D524E3"/>
    <w:rsid w:val="00D739BB"/>
    <w:rsid w:val="00D76A2F"/>
    <w:rsid w:val="00E05EF4"/>
    <w:rsid w:val="00E4439E"/>
    <w:rsid w:val="00E55D71"/>
    <w:rsid w:val="00EA0957"/>
    <w:rsid w:val="00F807B2"/>
    <w:rsid w:val="0DFFA191"/>
    <w:rsid w:val="2D0111DE"/>
    <w:rsid w:val="3D8E2FEB"/>
    <w:rsid w:val="561E2348"/>
    <w:rsid w:val="67774796"/>
    <w:rsid w:val="7ECF8639"/>
    <w:rsid w:val="7FB861E9"/>
    <w:rsid w:val="C6BCDE25"/>
    <w:rsid w:val="E7DBF735"/>
    <w:rsid w:val="F746958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0" w:semiHidden="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6">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7">
    <w:name w:val="heading 3"/>
    <w:basedOn w:val="1"/>
    <w:next w:val="1"/>
    <w:link w:val="28"/>
    <w:qFormat/>
    <w:uiPriority w:val="0"/>
    <w:pPr>
      <w:keepNext/>
      <w:keepLines/>
      <w:widowControl/>
      <w:adjustRightInd w:val="0"/>
      <w:snapToGrid w:val="0"/>
      <w:spacing w:beforeLines="50" w:afterLines="50" w:line="360" w:lineRule="auto"/>
      <w:jc w:val="left"/>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after="120" w:line="240" w:lineRule="auto"/>
      <w:ind w:left="420" w:leftChars="200" w:firstLine="420"/>
    </w:pPr>
  </w:style>
  <w:style w:type="paragraph" w:styleId="3">
    <w:name w:val="Body Text Indent"/>
    <w:basedOn w:val="1"/>
    <w:next w:val="4"/>
    <w:qFormat/>
    <w:uiPriority w:val="0"/>
    <w:pPr>
      <w:spacing w:line="580" w:lineRule="exact"/>
      <w:ind w:firstLine="200" w:firstLineChars="200"/>
    </w:pPr>
  </w:style>
  <w:style w:type="paragraph" w:styleId="4">
    <w:name w:val="header"/>
    <w:basedOn w:val="1"/>
    <w:next w:val="5"/>
    <w:link w:val="40"/>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5">
    <w:name w:val="footer"/>
    <w:basedOn w:val="1"/>
    <w:next w:val="1"/>
    <w:link w:val="39"/>
    <w:unhideWhenUsed/>
    <w:qFormat/>
    <w:uiPriority w:val="0"/>
    <w:pPr>
      <w:tabs>
        <w:tab w:val="center" w:pos="4153"/>
        <w:tab w:val="right" w:pos="8306"/>
      </w:tabs>
      <w:snapToGrid w:val="0"/>
      <w:jc w:val="left"/>
    </w:pPr>
    <w:rPr>
      <w:rFonts w:ascii="Calibri" w:hAnsi="Calibri"/>
      <w:sz w:val="18"/>
      <w:szCs w:val="18"/>
    </w:rPr>
  </w:style>
  <w:style w:type="paragraph" w:styleId="8">
    <w:name w:val="Document Map"/>
    <w:basedOn w:val="1"/>
    <w:link w:val="36"/>
    <w:unhideWhenUsed/>
    <w:qFormat/>
    <w:uiPriority w:val="99"/>
    <w:rPr>
      <w:rFonts w:ascii="宋体" w:hAnsi="Calibri" w:eastAsiaTheme="minorEastAsia"/>
      <w:sz w:val="18"/>
      <w:szCs w:val="18"/>
    </w:rPr>
  </w:style>
  <w:style w:type="paragraph" w:styleId="9">
    <w:name w:val="annotation text"/>
    <w:basedOn w:val="1"/>
    <w:link w:val="38"/>
    <w:unhideWhenUsed/>
    <w:qFormat/>
    <w:uiPriority w:val="99"/>
    <w:pPr>
      <w:jc w:val="left"/>
    </w:pPr>
    <w:rPr>
      <w:rFonts w:ascii="Calibri" w:hAnsi="Calibri"/>
    </w:rPr>
  </w:style>
  <w:style w:type="paragraph" w:styleId="10">
    <w:name w:val="Body Text"/>
    <w:basedOn w:val="1"/>
    <w:unhideWhenUsed/>
    <w:qFormat/>
    <w:uiPriority w:val="1"/>
    <w:pPr>
      <w:spacing w:before="31"/>
      <w:ind w:left="108" w:firstLine="638"/>
    </w:pPr>
    <w:rPr>
      <w:rFonts w:hint="eastAsia" w:ascii="宋体" w:hAnsi="宋体"/>
      <w:sz w:val="32"/>
      <w:szCs w:val="24"/>
    </w:rPr>
  </w:style>
  <w:style w:type="paragraph" w:styleId="11">
    <w:name w:val="Block Text"/>
    <w:basedOn w:val="1"/>
    <w:qFormat/>
    <w:uiPriority w:val="0"/>
    <w:pPr>
      <w:ind w:left="584" w:leftChars="101" w:right="100" w:rightChars="100" w:hanging="483" w:hangingChars="483"/>
    </w:pPr>
    <w:rPr>
      <w:rFonts w:eastAsia="仿宋_GB2312"/>
      <w:sz w:val="32"/>
    </w:rPr>
  </w:style>
  <w:style w:type="paragraph" w:styleId="12">
    <w:name w:val="toc 3"/>
    <w:basedOn w:val="1"/>
    <w:next w:val="1"/>
    <w:unhideWhenUsed/>
    <w:qFormat/>
    <w:uiPriority w:val="39"/>
    <w:pPr>
      <w:widowControl/>
      <w:spacing w:after="100" w:line="259" w:lineRule="auto"/>
      <w:ind w:left="440"/>
      <w:jc w:val="left"/>
    </w:pPr>
    <w:rPr>
      <w:kern w:val="0"/>
      <w:sz w:val="22"/>
    </w:rPr>
  </w:style>
  <w:style w:type="paragraph" w:styleId="13">
    <w:name w:val="Balloon Text"/>
    <w:basedOn w:val="1"/>
    <w:link w:val="37"/>
    <w:unhideWhenUsed/>
    <w:qFormat/>
    <w:uiPriority w:val="99"/>
    <w:rPr>
      <w:rFonts w:ascii="Calibri" w:hAnsi="Calibri"/>
      <w:sz w:val="18"/>
      <w:szCs w:val="18"/>
    </w:rPr>
  </w:style>
  <w:style w:type="paragraph" w:styleId="14">
    <w:name w:val="toc 1"/>
    <w:basedOn w:val="1"/>
    <w:next w:val="1"/>
    <w:unhideWhenUsed/>
    <w:qFormat/>
    <w:uiPriority w:val="39"/>
    <w:pPr>
      <w:widowControl/>
      <w:jc w:val="left"/>
    </w:pPr>
    <w:rPr>
      <w:rFonts w:eastAsia="仿宋_GB2312"/>
      <w:b/>
      <w:kern w:val="0"/>
      <w:sz w:val="28"/>
    </w:rPr>
  </w:style>
  <w:style w:type="paragraph" w:styleId="15">
    <w:name w:val="toc 2"/>
    <w:basedOn w:val="1"/>
    <w:next w:val="1"/>
    <w:unhideWhenUsed/>
    <w:qFormat/>
    <w:uiPriority w:val="39"/>
    <w:pPr>
      <w:widowControl/>
      <w:spacing w:after="100" w:line="259" w:lineRule="auto"/>
      <w:ind w:left="220"/>
      <w:jc w:val="left"/>
    </w:pPr>
    <w:rPr>
      <w:kern w:val="0"/>
      <w:sz w:val="22"/>
    </w:rPr>
  </w:style>
  <w:style w:type="paragraph" w:styleId="16">
    <w:name w:val="Normal (Web)"/>
    <w:basedOn w:val="1"/>
    <w:unhideWhenUsed/>
    <w:qFormat/>
    <w:uiPriority w:val="0"/>
    <w:pPr>
      <w:spacing w:beforeAutospacing="1" w:afterAutospacing="1"/>
      <w:jc w:val="left"/>
    </w:pPr>
    <w:rPr>
      <w:kern w:val="0"/>
      <w:sz w:val="24"/>
    </w:rPr>
  </w:style>
  <w:style w:type="paragraph" w:styleId="17">
    <w:name w:val="annotation subject"/>
    <w:basedOn w:val="9"/>
    <w:next w:val="9"/>
    <w:link w:val="41"/>
    <w:unhideWhenUsed/>
    <w:qFormat/>
    <w:uiPriority w:val="99"/>
    <w:rPr>
      <w:b/>
      <w:bCs/>
    </w:rPr>
  </w:style>
  <w:style w:type="table" w:styleId="19">
    <w:name w:val="Table Grid"/>
    <w:basedOn w:val="18"/>
    <w:qFormat/>
    <w:uiPriority w:val="59"/>
    <w:rPr>
      <w:rFonts w:ascii="Times New Roman" w:hAnsi="Times New Roman" w:eastAsia="微软雅黑" w:cs="Times New Roman"/>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page number"/>
    <w:basedOn w:val="20"/>
    <w:qFormat/>
    <w:uiPriority w:val="0"/>
  </w:style>
  <w:style w:type="character" w:styleId="22">
    <w:name w:val="FollowedHyperlink"/>
    <w:basedOn w:val="20"/>
    <w:unhideWhenUsed/>
    <w:qFormat/>
    <w:uiPriority w:val="99"/>
    <w:rPr>
      <w:color w:val="333333"/>
      <w:u w:val="none"/>
    </w:rPr>
  </w:style>
  <w:style w:type="character" w:styleId="23">
    <w:name w:val="Emphasis"/>
    <w:basedOn w:val="20"/>
    <w:qFormat/>
    <w:uiPriority w:val="20"/>
  </w:style>
  <w:style w:type="character" w:styleId="24">
    <w:name w:val="Hyperlink"/>
    <w:unhideWhenUsed/>
    <w:qFormat/>
    <w:uiPriority w:val="99"/>
    <w:rPr>
      <w:color w:val="0563C1"/>
      <w:u w:val="single"/>
    </w:rPr>
  </w:style>
  <w:style w:type="character" w:styleId="25">
    <w:name w:val="annotation reference"/>
    <w:unhideWhenUsed/>
    <w:qFormat/>
    <w:uiPriority w:val="99"/>
    <w:rPr>
      <w:sz w:val="21"/>
      <w:szCs w:val="21"/>
    </w:rPr>
  </w:style>
  <w:style w:type="paragraph" w:customStyle="1" w:styleId="26">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27">
    <w:name w:val="标题 1 Char"/>
    <w:basedOn w:val="20"/>
    <w:link w:val="6"/>
    <w:qFormat/>
    <w:uiPriority w:val="9"/>
    <w:rPr>
      <w:rFonts w:ascii="Times New Roman" w:hAnsi="Times New Roman" w:eastAsia="宋体" w:cs="Times New Roman"/>
      <w:b/>
      <w:bCs/>
      <w:kern w:val="44"/>
      <w:sz w:val="44"/>
      <w:szCs w:val="44"/>
    </w:rPr>
  </w:style>
  <w:style w:type="character" w:customStyle="1" w:styleId="28">
    <w:name w:val="标题 3 Char"/>
    <w:basedOn w:val="20"/>
    <w:link w:val="7"/>
    <w:qFormat/>
    <w:uiPriority w:val="0"/>
    <w:rPr>
      <w:rFonts w:ascii="Times New Roman" w:hAnsi="Times New Roman" w:eastAsia="宋体" w:cs="Times New Roman"/>
      <w:b/>
      <w:bCs/>
      <w:kern w:val="0"/>
      <w:sz w:val="32"/>
      <w:szCs w:val="32"/>
    </w:rPr>
  </w:style>
  <w:style w:type="character" w:customStyle="1" w:styleId="29">
    <w:name w:val="文档结构图 Char"/>
    <w:link w:val="8"/>
    <w:qFormat/>
    <w:uiPriority w:val="99"/>
    <w:rPr>
      <w:rFonts w:ascii="宋体" w:hAnsi="Calibri" w:cs="Times New Roman"/>
      <w:sz w:val="18"/>
      <w:szCs w:val="18"/>
    </w:rPr>
  </w:style>
  <w:style w:type="character" w:customStyle="1" w:styleId="30">
    <w:name w:val="页脚 Char"/>
    <w:link w:val="5"/>
    <w:qFormat/>
    <w:uiPriority w:val="0"/>
    <w:rPr>
      <w:rFonts w:ascii="Calibri" w:hAnsi="Calibri" w:eastAsia="宋体" w:cs="Times New Roman"/>
      <w:sz w:val="18"/>
      <w:szCs w:val="18"/>
    </w:rPr>
  </w:style>
  <w:style w:type="character" w:customStyle="1" w:styleId="31">
    <w:name w:val="批注主题 Char"/>
    <w:link w:val="17"/>
    <w:qFormat/>
    <w:uiPriority w:val="99"/>
    <w:rPr>
      <w:rFonts w:ascii="Calibri" w:hAnsi="Calibri" w:eastAsia="宋体" w:cs="Times New Roman"/>
      <w:b/>
      <w:bCs/>
    </w:rPr>
  </w:style>
  <w:style w:type="character" w:customStyle="1" w:styleId="32">
    <w:name w:val="页眉 Char"/>
    <w:link w:val="4"/>
    <w:qFormat/>
    <w:uiPriority w:val="99"/>
    <w:rPr>
      <w:rFonts w:ascii="Calibri" w:hAnsi="Calibri" w:eastAsia="宋体" w:cs="Times New Roman"/>
      <w:sz w:val="18"/>
      <w:szCs w:val="18"/>
    </w:rPr>
  </w:style>
  <w:style w:type="character" w:customStyle="1" w:styleId="33">
    <w:name w:val="批注框文本 Char"/>
    <w:link w:val="13"/>
    <w:qFormat/>
    <w:uiPriority w:val="99"/>
    <w:rPr>
      <w:rFonts w:ascii="Calibri" w:hAnsi="Calibri" w:eastAsia="宋体" w:cs="Times New Roman"/>
      <w:sz w:val="18"/>
      <w:szCs w:val="18"/>
    </w:rPr>
  </w:style>
  <w:style w:type="character" w:customStyle="1" w:styleId="34">
    <w:name w:val="bsharetext"/>
    <w:basedOn w:val="20"/>
    <w:qFormat/>
    <w:uiPriority w:val="0"/>
  </w:style>
  <w:style w:type="character" w:customStyle="1" w:styleId="35">
    <w:name w:val="批注文字 Char"/>
    <w:link w:val="9"/>
    <w:qFormat/>
    <w:uiPriority w:val="99"/>
    <w:rPr>
      <w:rFonts w:ascii="Calibri" w:hAnsi="Calibri" w:eastAsia="宋体" w:cs="Times New Roman"/>
    </w:rPr>
  </w:style>
  <w:style w:type="character" w:customStyle="1" w:styleId="36">
    <w:name w:val="文档结构图 Char1"/>
    <w:basedOn w:val="20"/>
    <w:link w:val="8"/>
    <w:semiHidden/>
    <w:qFormat/>
    <w:uiPriority w:val="99"/>
    <w:rPr>
      <w:rFonts w:ascii="宋体" w:hAnsi="Times New Roman" w:eastAsia="宋体" w:cs="Times New Roman"/>
      <w:sz w:val="18"/>
      <w:szCs w:val="18"/>
    </w:rPr>
  </w:style>
  <w:style w:type="character" w:customStyle="1" w:styleId="37">
    <w:name w:val="批注框文本 Char1"/>
    <w:basedOn w:val="20"/>
    <w:link w:val="13"/>
    <w:semiHidden/>
    <w:qFormat/>
    <w:uiPriority w:val="99"/>
    <w:rPr>
      <w:rFonts w:ascii="Times New Roman" w:hAnsi="Times New Roman" w:eastAsia="宋体" w:cs="Times New Roman"/>
      <w:sz w:val="18"/>
      <w:szCs w:val="18"/>
    </w:rPr>
  </w:style>
  <w:style w:type="character" w:customStyle="1" w:styleId="38">
    <w:name w:val="批注文字 Char1"/>
    <w:basedOn w:val="20"/>
    <w:link w:val="9"/>
    <w:semiHidden/>
    <w:qFormat/>
    <w:uiPriority w:val="99"/>
    <w:rPr>
      <w:rFonts w:ascii="Times New Roman" w:hAnsi="Times New Roman" w:eastAsia="宋体" w:cs="Times New Roman"/>
    </w:rPr>
  </w:style>
  <w:style w:type="character" w:customStyle="1" w:styleId="39">
    <w:name w:val="页脚 Char1"/>
    <w:basedOn w:val="20"/>
    <w:link w:val="5"/>
    <w:semiHidden/>
    <w:qFormat/>
    <w:uiPriority w:val="99"/>
    <w:rPr>
      <w:rFonts w:ascii="Times New Roman" w:hAnsi="Times New Roman" w:eastAsia="宋体" w:cs="Times New Roman"/>
      <w:sz w:val="18"/>
      <w:szCs w:val="18"/>
    </w:rPr>
  </w:style>
  <w:style w:type="character" w:customStyle="1" w:styleId="40">
    <w:name w:val="页眉 Char1"/>
    <w:basedOn w:val="20"/>
    <w:link w:val="4"/>
    <w:semiHidden/>
    <w:qFormat/>
    <w:uiPriority w:val="99"/>
    <w:rPr>
      <w:rFonts w:ascii="Times New Roman" w:hAnsi="Times New Roman" w:eastAsia="宋体" w:cs="Times New Roman"/>
      <w:sz w:val="18"/>
      <w:szCs w:val="18"/>
    </w:rPr>
  </w:style>
  <w:style w:type="character" w:customStyle="1" w:styleId="41">
    <w:name w:val="批注主题 Char1"/>
    <w:basedOn w:val="38"/>
    <w:link w:val="17"/>
    <w:semiHidden/>
    <w:qFormat/>
    <w:uiPriority w:val="99"/>
    <w:rPr>
      <w:b/>
      <w:bCs/>
    </w:rPr>
  </w:style>
  <w:style w:type="paragraph" w:customStyle="1" w:styleId="42">
    <w:name w:val="TOC 标题1"/>
    <w:basedOn w:val="6"/>
    <w:next w:val="1"/>
    <w:unhideWhenUsed/>
    <w:qFormat/>
    <w:uiPriority w:val="39"/>
    <w:pPr>
      <w:widowControl/>
      <w:spacing w:before="240" w:after="0" w:line="259" w:lineRule="auto"/>
      <w:jc w:val="left"/>
      <w:outlineLvl w:val="9"/>
    </w:pPr>
    <w:rPr>
      <w:rFonts w:ascii="Calibri Light" w:hAnsi="Calibri Light"/>
      <w:b w:val="0"/>
      <w:bCs w:val="0"/>
      <w:color w:val="2E75B5"/>
      <w:kern w:val="0"/>
      <w:sz w:val="32"/>
      <w:szCs w:val="32"/>
    </w:rPr>
  </w:style>
  <w:style w:type="paragraph" w:customStyle="1" w:styleId="43">
    <w:name w:val="_Style 4"/>
    <w:basedOn w:val="1"/>
    <w:qFormat/>
    <w:uiPriority w:val="0"/>
    <w:pPr>
      <w:snapToGrid w:val="0"/>
      <w:spacing w:line="360" w:lineRule="auto"/>
      <w:ind w:firstLine="200" w:firstLineChars="200"/>
    </w:pPr>
  </w:style>
  <w:style w:type="paragraph" w:customStyle="1" w:styleId="44">
    <w:name w:val="默认段落字体 Para Char Char Char Char Char Char Char"/>
    <w:basedOn w:val="1"/>
    <w:qFormat/>
    <w:uiPriority w:val="0"/>
    <w:rPr>
      <w:rFonts w:ascii="Calibri" w:hAnsi="Calibri"/>
      <w:szCs w:val="24"/>
    </w:rPr>
  </w:style>
  <w:style w:type="paragraph" w:customStyle="1" w:styleId="45">
    <w:name w:val="列出段落1"/>
    <w:basedOn w:val="1"/>
    <w:qFormat/>
    <w:uiPriority w:val="34"/>
    <w:pPr>
      <w:ind w:firstLine="420" w:firstLineChars="200"/>
    </w:pPr>
  </w:style>
  <w:style w:type="table" w:customStyle="1" w:styleId="46">
    <w:name w:val="网格型1"/>
    <w:basedOn w:val="18"/>
    <w:qFormat/>
    <w:uiPriority w:val="0"/>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21</Pages>
  <Words>6311</Words>
  <Characters>7185</Characters>
  <Lines>57</Lines>
  <Paragraphs>16</Paragraphs>
  <TotalTime>13</TotalTime>
  <ScaleCrop>false</ScaleCrop>
  <LinksUpToDate>false</LinksUpToDate>
  <CharactersWithSpaces>7249</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2022-06-28T15:06:00Z</dcterms:created>
  <dc:creator>Windows User</dc:creator>
  <cp:lastModifiedBy>WPS_1528096066</cp:lastModifiedBy>
  <cp:lastPrinted>2022-07-06T11:07:00Z</cp:lastPrinted>
  <dcterms:modified xsi:type="dcterms:W3CDTF">2022-11-15T10:36:03Z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