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874666">
      <w:pPr>
        <w:jc w:val="center"/>
        <w:rPr>
          <w:rFonts w:hint="eastAsia" w:ascii="宋体" w:hAnsi="宋体" w:cs="宋体"/>
          <w:sz w:val="36"/>
          <w:szCs w:val="32"/>
          <w:lang w:eastAsia="zh-CN"/>
        </w:rPr>
      </w:pPr>
    </w:p>
    <w:p w14:paraId="04F802FE">
      <w:pPr>
        <w:jc w:val="center"/>
        <w:rPr>
          <w:rFonts w:hint="eastAsia" w:ascii="宋体" w:hAnsi="宋体" w:cs="宋体"/>
          <w:sz w:val="36"/>
          <w:szCs w:val="32"/>
          <w:lang w:eastAsia="zh-CN"/>
        </w:rPr>
      </w:pPr>
    </w:p>
    <w:p w14:paraId="3F75D233">
      <w:pPr>
        <w:jc w:val="center"/>
        <w:rPr>
          <w:rFonts w:eastAsia="黑体"/>
          <w:sz w:val="52"/>
          <w:szCs w:val="52"/>
        </w:rPr>
      </w:pPr>
      <w:bookmarkStart w:id="25" w:name="_GoBack"/>
      <w:r>
        <w:rPr>
          <w:rFonts w:hint="eastAsia" w:ascii="宋体" w:hAnsi="宋体" w:cs="宋体"/>
          <w:sz w:val="36"/>
          <w:szCs w:val="32"/>
          <w:lang w:eastAsia="zh-CN"/>
        </w:rPr>
        <w:t>环翠区污水处理厂排河工程（</w:t>
      </w:r>
      <w:r>
        <w:rPr>
          <w:rFonts w:hint="eastAsia" w:ascii="宋体" w:hAnsi="宋体" w:cs="宋体"/>
          <w:sz w:val="36"/>
          <w:szCs w:val="32"/>
          <w:lang w:val="en-US" w:eastAsia="zh-CN"/>
        </w:rPr>
        <w:t>草案）</w:t>
      </w:r>
      <w:r>
        <w:rPr>
          <w:rFonts w:eastAsia="黑体"/>
          <w:sz w:val="52"/>
          <w:szCs w:val="52"/>
        </w:rPr>
        <w:t xml:space="preserve"> </w:t>
      </w:r>
    </w:p>
    <w:p w14:paraId="6BB28D44">
      <w:pPr>
        <w:jc w:val="center"/>
        <w:rPr>
          <w:rFonts w:eastAsia="黑体"/>
          <w:sz w:val="52"/>
          <w:szCs w:val="52"/>
        </w:rPr>
      </w:pPr>
    </w:p>
    <w:p w14:paraId="48CAE846">
      <w:pPr>
        <w:jc w:val="center"/>
        <w:rPr>
          <w:rFonts w:eastAsia="黑体"/>
          <w:sz w:val="72"/>
          <w:szCs w:val="72"/>
        </w:rPr>
      </w:pPr>
      <w:r>
        <w:rPr>
          <w:rFonts w:hint="eastAsia" w:eastAsia="黑体"/>
          <w:sz w:val="72"/>
          <w:szCs w:val="72"/>
        </w:rPr>
        <w:t>社会稳定风险评估报告</w:t>
      </w:r>
      <w:bookmarkEnd w:id="25"/>
    </w:p>
    <w:p w14:paraId="29EF80F1">
      <w:pPr>
        <w:ind w:firstLine="562"/>
        <w:rPr>
          <w:b/>
          <w:spacing w:val="20"/>
          <w:highlight w:val="yellow"/>
        </w:rPr>
      </w:pPr>
    </w:p>
    <w:p w14:paraId="296EB24C">
      <w:pPr>
        <w:ind w:firstLine="562"/>
        <w:rPr>
          <w:b/>
          <w:spacing w:val="20"/>
          <w:highlight w:val="yellow"/>
        </w:rPr>
      </w:pPr>
    </w:p>
    <w:p w14:paraId="295021B1">
      <w:pPr>
        <w:ind w:firstLine="562"/>
        <w:rPr>
          <w:b/>
          <w:spacing w:val="20"/>
          <w:highlight w:val="yellow"/>
        </w:rPr>
      </w:pPr>
    </w:p>
    <w:p w14:paraId="23267D1B">
      <w:pPr>
        <w:ind w:firstLine="480"/>
        <w:rPr>
          <w:highlight w:val="yellow"/>
        </w:rPr>
      </w:pPr>
    </w:p>
    <w:p w14:paraId="13BC618A">
      <w:pPr>
        <w:ind w:firstLine="562"/>
        <w:rPr>
          <w:b/>
          <w:spacing w:val="20"/>
          <w:highlight w:val="yellow"/>
        </w:rPr>
      </w:pPr>
    </w:p>
    <w:p w14:paraId="57DC40FD">
      <w:pPr>
        <w:ind w:firstLine="480"/>
        <w:rPr>
          <w:highlight w:val="yellow"/>
        </w:rPr>
      </w:pPr>
    </w:p>
    <w:p w14:paraId="3601F8AC">
      <w:pPr>
        <w:ind w:firstLine="562"/>
        <w:rPr>
          <w:b/>
          <w:spacing w:val="20"/>
          <w:highlight w:val="yellow"/>
        </w:rPr>
      </w:pPr>
    </w:p>
    <w:p w14:paraId="74499DB6">
      <w:pPr>
        <w:pStyle w:val="3"/>
        <w:numPr>
          <w:ilvl w:val="0"/>
          <w:numId w:val="0"/>
        </w:numPr>
        <w:ind w:left="432" w:leftChars="0"/>
        <w:jc w:val="both"/>
        <w:outlineLvl w:val="9"/>
      </w:pPr>
    </w:p>
    <w:p w14:paraId="3B198E13">
      <w:pPr>
        <w:pStyle w:val="3"/>
        <w:numPr>
          <w:ilvl w:val="0"/>
          <w:numId w:val="0"/>
        </w:numPr>
        <w:ind w:left="432" w:leftChars="0"/>
        <w:jc w:val="both"/>
      </w:pPr>
    </w:p>
    <w:p w14:paraId="531D1CE7"/>
    <w:p w14:paraId="3F7646FE">
      <w:pPr>
        <w:pStyle w:val="3"/>
        <w:numPr>
          <w:ilvl w:val="0"/>
          <w:numId w:val="0"/>
        </w:numPr>
        <w:ind w:left="432" w:leftChars="0"/>
        <w:jc w:val="both"/>
      </w:pPr>
    </w:p>
    <w:p w14:paraId="156576BF"/>
    <w:p w14:paraId="4638CA1D">
      <w:pPr>
        <w:pStyle w:val="3"/>
        <w:numPr>
          <w:ilvl w:val="0"/>
          <w:numId w:val="0"/>
        </w:numPr>
        <w:ind w:left="432" w:leftChars="0"/>
        <w:jc w:val="both"/>
      </w:pPr>
    </w:p>
    <w:p w14:paraId="660E754A"/>
    <w:p w14:paraId="394BC18F">
      <w:pPr>
        <w:pStyle w:val="3"/>
        <w:numPr>
          <w:ilvl w:val="0"/>
          <w:numId w:val="0"/>
        </w:numPr>
        <w:ind w:left="432" w:leftChars="0"/>
        <w:jc w:val="both"/>
      </w:pPr>
    </w:p>
    <w:p w14:paraId="13CF9851"/>
    <w:p w14:paraId="409EF08E">
      <w:pPr>
        <w:pStyle w:val="3"/>
        <w:numPr>
          <w:ilvl w:val="0"/>
          <w:numId w:val="0"/>
        </w:numPr>
        <w:ind w:left="432" w:leftChars="0"/>
        <w:jc w:val="both"/>
      </w:pPr>
    </w:p>
    <w:p w14:paraId="5E7DFD98"/>
    <w:p w14:paraId="6A123A16">
      <w:pPr>
        <w:pStyle w:val="3"/>
        <w:numPr>
          <w:ilvl w:val="0"/>
          <w:numId w:val="0"/>
        </w:numPr>
        <w:ind w:left="432" w:leftChars="0"/>
        <w:jc w:val="both"/>
      </w:pPr>
    </w:p>
    <w:p w14:paraId="7B27885F">
      <w:pPr>
        <w:pStyle w:val="3"/>
        <w:numPr>
          <w:ilvl w:val="0"/>
          <w:numId w:val="0"/>
        </w:numPr>
        <w:jc w:val="both"/>
      </w:pPr>
    </w:p>
    <w:p w14:paraId="00F178E6">
      <w:pPr>
        <w:ind w:firstLine="480"/>
        <w:rPr>
          <w:highlight w:val="yellow"/>
        </w:rPr>
      </w:pPr>
    </w:p>
    <w:p w14:paraId="3F3ED342">
      <w:pPr>
        <w:ind w:firstLine="480"/>
        <w:rPr>
          <w:sz w:val="20"/>
          <w:szCs w:val="22"/>
          <w:highlight w:val="yellow"/>
        </w:rPr>
      </w:pPr>
    </w:p>
    <w:p w14:paraId="4A147D76">
      <w:pPr>
        <w:keepNext w:val="0"/>
        <w:keepLines w:val="0"/>
        <w:pageBreakBefore w:val="0"/>
        <w:widowControl w:val="0"/>
        <w:kinsoku/>
        <w:wordWrap/>
        <w:overflowPunct/>
        <w:topLinePunct w:val="0"/>
        <w:autoSpaceDE/>
        <w:autoSpaceDN/>
        <w:bidi w:val="0"/>
        <w:adjustRightInd/>
        <w:snapToGrid/>
        <w:spacing w:line="480" w:lineRule="auto"/>
        <w:ind w:firstLine="640" w:firstLineChars="200"/>
        <w:jc w:val="center"/>
        <w:textAlignment w:val="auto"/>
        <w:rPr>
          <w:sz w:val="32"/>
          <w:szCs w:val="40"/>
        </w:rPr>
      </w:pPr>
      <w:r>
        <w:rPr>
          <w:rFonts w:hint="eastAsia"/>
          <w:sz w:val="32"/>
          <w:szCs w:val="40"/>
        </w:rPr>
        <w:t>建</w:t>
      </w:r>
      <w:r>
        <w:rPr>
          <w:sz w:val="32"/>
          <w:szCs w:val="40"/>
        </w:rPr>
        <w:t xml:space="preserve"> </w:t>
      </w:r>
      <w:r>
        <w:rPr>
          <w:rFonts w:hint="eastAsia"/>
          <w:sz w:val="32"/>
          <w:szCs w:val="40"/>
        </w:rPr>
        <w:t>设</w:t>
      </w:r>
      <w:r>
        <w:rPr>
          <w:sz w:val="32"/>
          <w:szCs w:val="40"/>
        </w:rPr>
        <w:t xml:space="preserve"> </w:t>
      </w:r>
      <w:r>
        <w:rPr>
          <w:rFonts w:hint="eastAsia"/>
          <w:sz w:val="32"/>
          <w:szCs w:val="40"/>
        </w:rPr>
        <w:t>单</w:t>
      </w:r>
      <w:r>
        <w:rPr>
          <w:sz w:val="32"/>
          <w:szCs w:val="40"/>
        </w:rPr>
        <w:t xml:space="preserve"> </w:t>
      </w:r>
      <w:r>
        <w:rPr>
          <w:rFonts w:hint="eastAsia"/>
          <w:sz w:val="32"/>
          <w:szCs w:val="40"/>
        </w:rPr>
        <w:t>位：</w:t>
      </w:r>
      <w:r>
        <w:rPr>
          <w:rFonts w:hint="eastAsia"/>
          <w:sz w:val="32"/>
          <w:szCs w:val="40"/>
          <w:lang w:eastAsia="zh-CN"/>
        </w:rPr>
        <w:t>威海市环翠区水利局</w:t>
      </w:r>
    </w:p>
    <w:p w14:paraId="31069B3B">
      <w:pPr>
        <w:jc w:val="center"/>
        <w:rPr>
          <w:rFonts w:hint="eastAsia"/>
          <w:sz w:val="32"/>
          <w:szCs w:val="40"/>
          <w:lang w:val="en-US" w:eastAsia="zh-CN"/>
        </w:rPr>
      </w:pPr>
      <w:r>
        <w:rPr>
          <w:rFonts w:hint="eastAsia"/>
          <w:sz w:val="32"/>
          <w:szCs w:val="40"/>
          <w:lang w:val="en-US" w:eastAsia="zh-CN"/>
        </w:rPr>
        <w:t>2025年2月</w:t>
      </w:r>
      <w:r>
        <w:rPr>
          <w:rFonts w:hint="eastAsia"/>
          <w:sz w:val="32"/>
          <w:szCs w:val="40"/>
          <w:lang w:val="en-US" w:eastAsia="zh-CN"/>
        </w:rPr>
        <w:br w:type="page"/>
      </w:r>
    </w:p>
    <w:sdt>
      <w:sdtPr>
        <w:rPr>
          <w:rFonts w:ascii="宋体" w:hAnsi="宋体" w:eastAsia="宋体" w:cs="Times New Roman"/>
          <w:kern w:val="2"/>
          <w:sz w:val="21"/>
          <w:szCs w:val="24"/>
          <w:lang w:val="en-US" w:eastAsia="zh-CN" w:bidi="ar-SA"/>
        </w:rPr>
        <w:id w:val="147466540"/>
        <w15:color w:val="DBDBDB"/>
        <w:docPartObj>
          <w:docPartGallery w:val="Table of Contents"/>
          <w:docPartUnique/>
        </w:docPartObj>
      </w:sdtPr>
      <w:sdtEndPr>
        <w:rPr>
          <w:rFonts w:ascii="宋体" w:hAnsi="宋体" w:eastAsia="宋体" w:cs="Times New Roman"/>
          <w:b/>
          <w:kern w:val="2"/>
          <w:sz w:val="24"/>
          <w:szCs w:val="32"/>
          <w:lang w:val="en-US" w:eastAsia="zh-CN" w:bidi="ar-SA"/>
        </w:rPr>
      </w:sdtEndPr>
      <w:sdtContent>
        <w:p w14:paraId="7BDA68C4">
          <w:pPr>
            <w:jc w:val="center"/>
            <w:rPr>
              <w:rFonts w:ascii="宋体" w:hAnsi="宋体" w:eastAsia="宋体" w:cs="Times New Roman"/>
              <w:kern w:val="2"/>
              <w:sz w:val="21"/>
              <w:szCs w:val="24"/>
              <w:lang w:val="en-US" w:eastAsia="zh-CN" w:bidi="ar-SA"/>
            </w:rPr>
            <w:sectPr>
              <w:headerReference r:id="rId3" w:type="default"/>
              <w:footerReference r:id="rId4" w:type="default"/>
              <w:pgSz w:w="11906" w:h="16838"/>
              <w:pgMar w:top="1440" w:right="1797" w:bottom="1440" w:left="1797" w:header="851" w:footer="992" w:gutter="0"/>
              <w:pgBorders>
                <w:top w:val="none" w:sz="0" w:space="0"/>
                <w:left w:val="none" w:sz="0" w:space="0"/>
                <w:bottom w:val="none" w:sz="0" w:space="0"/>
                <w:right w:val="none" w:sz="0" w:space="0"/>
              </w:pgBorders>
              <w:pgNumType w:fmt="decimal" w:start="1"/>
              <w:cols w:space="720" w:num="1"/>
              <w:docGrid w:linePitch="312" w:charSpace="0"/>
            </w:sectPr>
          </w:pPr>
          <w:bookmarkStart w:id="0" w:name="_Toc66919728"/>
          <w:bookmarkStart w:id="1" w:name="_Toc65171605"/>
        </w:p>
        <w:p w14:paraId="5A866CD3">
          <w:pPr>
            <w:jc w:val="center"/>
            <w:rPr>
              <w:rFonts w:hint="eastAsia" w:ascii="黑体" w:hAnsi="黑体" w:eastAsia="黑体" w:cs="Times New Roman"/>
              <w:sz w:val="44"/>
              <w:szCs w:val="44"/>
            </w:rPr>
          </w:pPr>
          <w:r>
            <w:rPr>
              <w:rFonts w:hint="eastAsia" w:ascii="黑体" w:hAnsi="黑体" w:eastAsia="黑体" w:cs="Times New Roman"/>
              <w:sz w:val="44"/>
              <w:szCs w:val="44"/>
            </w:rPr>
            <w:t>目录</w:t>
          </w:r>
        </w:p>
        <w:p w14:paraId="3F015A6B">
          <w:pPr>
            <w:pStyle w:val="2"/>
            <w:tabs>
              <w:tab w:val="right" w:leader="dot" w:pos="8312"/>
              <w:tab w:val="clear" w:pos="8296"/>
            </w:tabs>
            <w:rPr>
              <w:sz w:val="32"/>
              <w:szCs w:val="32"/>
            </w:rPr>
          </w:pPr>
          <w:r>
            <w:rPr>
              <w:sz w:val="40"/>
              <w:szCs w:val="40"/>
            </w:rPr>
            <w:fldChar w:fldCharType="begin"/>
          </w:r>
          <w:r>
            <w:rPr>
              <w:sz w:val="40"/>
              <w:szCs w:val="40"/>
            </w:rPr>
            <w:instrText xml:space="preserve">TOC \o "1-2" \h \u </w:instrText>
          </w:r>
          <w:r>
            <w:rPr>
              <w:sz w:val="40"/>
              <w:szCs w:val="40"/>
            </w:rPr>
            <w:fldChar w:fldCharType="separate"/>
          </w:r>
          <w:r>
            <w:rPr>
              <w:sz w:val="32"/>
              <w:szCs w:val="48"/>
            </w:rPr>
            <w:fldChar w:fldCharType="begin"/>
          </w:r>
          <w:r>
            <w:rPr>
              <w:sz w:val="32"/>
              <w:szCs w:val="48"/>
            </w:rPr>
            <w:instrText xml:space="preserve"> HYPERLINK \l _Toc9051 </w:instrText>
          </w:r>
          <w:r>
            <w:rPr>
              <w:sz w:val="32"/>
              <w:szCs w:val="48"/>
            </w:rPr>
            <w:fldChar w:fldCharType="separate"/>
          </w:r>
          <w:r>
            <w:rPr>
              <w:rFonts w:hint="default"/>
              <w:sz w:val="32"/>
              <w:szCs w:val="32"/>
            </w:rPr>
            <w:t xml:space="preserve">1. </w:t>
          </w:r>
          <w:r>
            <w:rPr>
              <w:rFonts w:hint="eastAsia"/>
              <w:sz w:val="32"/>
              <w:szCs w:val="32"/>
              <w:lang w:val="en-US" w:eastAsia="zh-CN"/>
            </w:rPr>
            <w:t>基本情况</w:t>
          </w:r>
          <w:r>
            <w:rPr>
              <w:sz w:val="32"/>
              <w:szCs w:val="32"/>
            </w:rPr>
            <w:tab/>
          </w:r>
          <w:r>
            <w:rPr>
              <w:sz w:val="32"/>
              <w:szCs w:val="32"/>
            </w:rPr>
            <w:fldChar w:fldCharType="begin"/>
          </w:r>
          <w:r>
            <w:rPr>
              <w:sz w:val="32"/>
              <w:szCs w:val="32"/>
            </w:rPr>
            <w:instrText xml:space="preserve"> PAGEREF _Toc9051 \h </w:instrText>
          </w:r>
          <w:r>
            <w:rPr>
              <w:sz w:val="32"/>
              <w:szCs w:val="32"/>
            </w:rPr>
            <w:fldChar w:fldCharType="separate"/>
          </w:r>
          <w:r>
            <w:rPr>
              <w:sz w:val="32"/>
              <w:szCs w:val="32"/>
            </w:rPr>
            <w:t>1</w:t>
          </w:r>
          <w:r>
            <w:rPr>
              <w:sz w:val="32"/>
              <w:szCs w:val="32"/>
            </w:rPr>
            <w:fldChar w:fldCharType="end"/>
          </w:r>
          <w:r>
            <w:rPr>
              <w:sz w:val="32"/>
              <w:szCs w:val="48"/>
            </w:rPr>
            <w:fldChar w:fldCharType="end"/>
          </w:r>
        </w:p>
        <w:p w14:paraId="34EB5925">
          <w:pPr>
            <w:pStyle w:val="18"/>
            <w:tabs>
              <w:tab w:val="right" w:leader="dot" w:pos="8312"/>
              <w:tab w:val="clear" w:pos="8296"/>
            </w:tabs>
            <w:rPr>
              <w:sz w:val="24"/>
              <w:szCs w:val="32"/>
            </w:rPr>
          </w:pPr>
          <w:r>
            <w:rPr>
              <w:sz w:val="24"/>
              <w:szCs w:val="36"/>
            </w:rPr>
            <w:fldChar w:fldCharType="begin"/>
          </w:r>
          <w:r>
            <w:rPr>
              <w:sz w:val="24"/>
              <w:szCs w:val="36"/>
            </w:rPr>
            <w:instrText xml:space="preserve"> HYPERLINK \l _Toc10281 </w:instrText>
          </w:r>
          <w:r>
            <w:rPr>
              <w:sz w:val="24"/>
              <w:szCs w:val="36"/>
            </w:rPr>
            <w:fldChar w:fldCharType="separate"/>
          </w:r>
          <w:r>
            <w:rPr>
              <w:rFonts w:hint="default"/>
              <w:sz w:val="24"/>
              <w:szCs w:val="32"/>
            </w:rPr>
            <w:t xml:space="preserve">1.1. </w:t>
          </w:r>
          <w:r>
            <w:rPr>
              <w:rFonts w:hint="eastAsia"/>
              <w:sz w:val="24"/>
              <w:szCs w:val="32"/>
            </w:rPr>
            <w:t>项目</w:t>
          </w:r>
          <w:r>
            <w:rPr>
              <w:rFonts w:hint="eastAsia"/>
              <w:sz w:val="24"/>
              <w:szCs w:val="32"/>
              <w:lang w:val="en-US" w:eastAsia="zh-CN"/>
            </w:rPr>
            <w:t>概况</w:t>
          </w:r>
          <w:r>
            <w:rPr>
              <w:sz w:val="24"/>
              <w:szCs w:val="32"/>
            </w:rPr>
            <w:tab/>
          </w:r>
          <w:r>
            <w:rPr>
              <w:sz w:val="24"/>
              <w:szCs w:val="32"/>
            </w:rPr>
            <w:fldChar w:fldCharType="begin"/>
          </w:r>
          <w:r>
            <w:rPr>
              <w:sz w:val="24"/>
              <w:szCs w:val="32"/>
            </w:rPr>
            <w:instrText xml:space="preserve"> PAGEREF _Toc10281 \h </w:instrText>
          </w:r>
          <w:r>
            <w:rPr>
              <w:sz w:val="24"/>
              <w:szCs w:val="32"/>
            </w:rPr>
            <w:fldChar w:fldCharType="separate"/>
          </w:r>
          <w:r>
            <w:rPr>
              <w:sz w:val="24"/>
              <w:szCs w:val="32"/>
            </w:rPr>
            <w:t>1</w:t>
          </w:r>
          <w:r>
            <w:rPr>
              <w:sz w:val="24"/>
              <w:szCs w:val="32"/>
            </w:rPr>
            <w:fldChar w:fldCharType="end"/>
          </w:r>
          <w:r>
            <w:rPr>
              <w:sz w:val="24"/>
              <w:szCs w:val="36"/>
            </w:rPr>
            <w:fldChar w:fldCharType="end"/>
          </w:r>
        </w:p>
        <w:p w14:paraId="574F34DA">
          <w:pPr>
            <w:pStyle w:val="18"/>
            <w:tabs>
              <w:tab w:val="right" w:leader="dot" w:pos="8312"/>
              <w:tab w:val="clear" w:pos="8296"/>
            </w:tabs>
            <w:rPr>
              <w:sz w:val="24"/>
              <w:szCs w:val="32"/>
            </w:rPr>
          </w:pPr>
          <w:r>
            <w:rPr>
              <w:sz w:val="24"/>
              <w:szCs w:val="36"/>
            </w:rPr>
            <w:fldChar w:fldCharType="begin"/>
          </w:r>
          <w:r>
            <w:rPr>
              <w:sz w:val="24"/>
              <w:szCs w:val="36"/>
            </w:rPr>
            <w:instrText xml:space="preserve"> HYPERLINK \l _Toc8644 </w:instrText>
          </w:r>
          <w:r>
            <w:rPr>
              <w:sz w:val="24"/>
              <w:szCs w:val="36"/>
            </w:rPr>
            <w:fldChar w:fldCharType="separate"/>
          </w:r>
          <w:r>
            <w:rPr>
              <w:rFonts w:hint="default"/>
              <w:sz w:val="24"/>
              <w:szCs w:val="32"/>
            </w:rPr>
            <w:t xml:space="preserve">1.2. </w:t>
          </w:r>
          <w:r>
            <w:rPr>
              <w:rFonts w:hint="eastAsia"/>
              <w:sz w:val="24"/>
              <w:szCs w:val="32"/>
              <w:lang w:val="en-US" w:eastAsia="zh-CN"/>
            </w:rPr>
            <w:t>评估依据</w:t>
          </w:r>
          <w:r>
            <w:rPr>
              <w:sz w:val="24"/>
              <w:szCs w:val="32"/>
            </w:rPr>
            <w:tab/>
          </w:r>
          <w:r>
            <w:rPr>
              <w:sz w:val="24"/>
              <w:szCs w:val="32"/>
            </w:rPr>
            <w:fldChar w:fldCharType="begin"/>
          </w:r>
          <w:r>
            <w:rPr>
              <w:sz w:val="24"/>
              <w:szCs w:val="32"/>
            </w:rPr>
            <w:instrText xml:space="preserve"> PAGEREF _Toc8644 \h </w:instrText>
          </w:r>
          <w:r>
            <w:rPr>
              <w:sz w:val="24"/>
              <w:szCs w:val="32"/>
            </w:rPr>
            <w:fldChar w:fldCharType="separate"/>
          </w:r>
          <w:r>
            <w:rPr>
              <w:sz w:val="24"/>
              <w:szCs w:val="32"/>
            </w:rPr>
            <w:t>13</w:t>
          </w:r>
          <w:r>
            <w:rPr>
              <w:sz w:val="24"/>
              <w:szCs w:val="32"/>
            </w:rPr>
            <w:fldChar w:fldCharType="end"/>
          </w:r>
          <w:r>
            <w:rPr>
              <w:sz w:val="24"/>
              <w:szCs w:val="36"/>
            </w:rPr>
            <w:fldChar w:fldCharType="end"/>
          </w:r>
        </w:p>
        <w:p w14:paraId="756E3629">
          <w:pPr>
            <w:pStyle w:val="18"/>
            <w:tabs>
              <w:tab w:val="right" w:leader="dot" w:pos="8312"/>
              <w:tab w:val="clear" w:pos="8296"/>
            </w:tabs>
            <w:rPr>
              <w:sz w:val="24"/>
              <w:szCs w:val="32"/>
            </w:rPr>
          </w:pPr>
          <w:r>
            <w:rPr>
              <w:sz w:val="24"/>
              <w:szCs w:val="36"/>
            </w:rPr>
            <w:fldChar w:fldCharType="begin"/>
          </w:r>
          <w:r>
            <w:rPr>
              <w:sz w:val="24"/>
              <w:szCs w:val="36"/>
            </w:rPr>
            <w:instrText xml:space="preserve"> HYPERLINK \l _Toc20829 </w:instrText>
          </w:r>
          <w:r>
            <w:rPr>
              <w:sz w:val="24"/>
              <w:szCs w:val="36"/>
            </w:rPr>
            <w:fldChar w:fldCharType="separate"/>
          </w:r>
          <w:r>
            <w:rPr>
              <w:rFonts w:hint="default"/>
              <w:sz w:val="24"/>
              <w:szCs w:val="32"/>
              <w:lang w:val="en-US" w:eastAsia="zh-CN"/>
            </w:rPr>
            <w:t xml:space="preserve">1.3. </w:t>
          </w:r>
          <w:r>
            <w:rPr>
              <w:rFonts w:hint="eastAsia"/>
              <w:sz w:val="24"/>
              <w:szCs w:val="32"/>
              <w:lang w:val="en-US" w:eastAsia="zh-CN"/>
            </w:rPr>
            <w:t>评估主体</w:t>
          </w:r>
          <w:r>
            <w:rPr>
              <w:sz w:val="24"/>
              <w:szCs w:val="32"/>
            </w:rPr>
            <w:tab/>
          </w:r>
          <w:r>
            <w:rPr>
              <w:sz w:val="24"/>
              <w:szCs w:val="32"/>
            </w:rPr>
            <w:fldChar w:fldCharType="begin"/>
          </w:r>
          <w:r>
            <w:rPr>
              <w:sz w:val="24"/>
              <w:szCs w:val="32"/>
            </w:rPr>
            <w:instrText xml:space="preserve"> PAGEREF _Toc20829 \h </w:instrText>
          </w:r>
          <w:r>
            <w:rPr>
              <w:sz w:val="24"/>
              <w:szCs w:val="32"/>
            </w:rPr>
            <w:fldChar w:fldCharType="separate"/>
          </w:r>
          <w:r>
            <w:rPr>
              <w:sz w:val="24"/>
              <w:szCs w:val="32"/>
            </w:rPr>
            <w:t>14</w:t>
          </w:r>
          <w:r>
            <w:rPr>
              <w:sz w:val="24"/>
              <w:szCs w:val="32"/>
            </w:rPr>
            <w:fldChar w:fldCharType="end"/>
          </w:r>
          <w:r>
            <w:rPr>
              <w:sz w:val="24"/>
              <w:szCs w:val="36"/>
            </w:rPr>
            <w:fldChar w:fldCharType="end"/>
          </w:r>
        </w:p>
        <w:p w14:paraId="34202D60">
          <w:pPr>
            <w:pStyle w:val="18"/>
            <w:tabs>
              <w:tab w:val="right" w:leader="dot" w:pos="8312"/>
              <w:tab w:val="clear" w:pos="8296"/>
            </w:tabs>
            <w:rPr>
              <w:sz w:val="24"/>
              <w:szCs w:val="32"/>
            </w:rPr>
          </w:pPr>
          <w:r>
            <w:rPr>
              <w:sz w:val="24"/>
              <w:szCs w:val="36"/>
            </w:rPr>
            <w:fldChar w:fldCharType="begin"/>
          </w:r>
          <w:r>
            <w:rPr>
              <w:sz w:val="24"/>
              <w:szCs w:val="36"/>
            </w:rPr>
            <w:instrText xml:space="preserve"> HYPERLINK \l _Toc4522 </w:instrText>
          </w:r>
          <w:r>
            <w:rPr>
              <w:sz w:val="24"/>
              <w:szCs w:val="36"/>
            </w:rPr>
            <w:fldChar w:fldCharType="separate"/>
          </w:r>
          <w:r>
            <w:rPr>
              <w:rFonts w:hint="default"/>
              <w:sz w:val="24"/>
              <w:szCs w:val="32"/>
              <w:lang w:val="en-US" w:eastAsia="zh-CN"/>
            </w:rPr>
            <w:t xml:space="preserve">1.4. </w:t>
          </w:r>
          <w:r>
            <w:rPr>
              <w:rFonts w:hint="eastAsia"/>
              <w:sz w:val="24"/>
              <w:szCs w:val="32"/>
              <w:lang w:val="en-US" w:eastAsia="zh-CN"/>
            </w:rPr>
            <w:t>评估过程和方法</w:t>
          </w:r>
          <w:r>
            <w:rPr>
              <w:sz w:val="24"/>
              <w:szCs w:val="32"/>
            </w:rPr>
            <w:tab/>
          </w:r>
          <w:r>
            <w:rPr>
              <w:sz w:val="24"/>
              <w:szCs w:val="32"/>
            </w:rPr>
            <w:fldChar w:fldCharType="begin"/>
          </w:r>
          <w:r>
            <w:rPr>
              <w:sz w:val="24"/>
              <w:szCs w:val="32"/>
            </w:rPr>
            <w:instrText xml:space="preserve"> PAGEREF _Toc4522 \h </w:instrText>
          </w:r>
          <w:r>
            <w:rPr>
              <w:sz w:val="24"/>
              <w:szCs w:val="32"/>
            </w:rPr>
            <w:fldChar w:fldCharType="separate"/>
          </w:r>
          <w:r>
            <w:rPr>
              <w:sz w:val="24"/>
              <w:szCs w:val="32"/>
            </w:rPr>
            <w:t>14</w:t>
          </w:r>
          <w:r>
            <w:rPr>
              <w:sz w:val="24"/>
              <w:szCs w:val="32"/>
            </w:rPr>
            <w:fldChar w:fldCharType="end"/>
          </w:r>
          <w:r>
            <w:rPr>
              <w:sz w:val="24"/>
              <w:szCs w:val="36"/>
            </w:rPr>
            <w:fldChar w:fldCharType="end"/>
          </w:r>
        </w:p>
        <w:p w14:paraId="421ED523">
          <w:pPr>
            <w:pStyle w:val="2"/>
            <w:tabs>
              <w:tab w:val="right" w:leader="dot" w:pos="8312"/>
              <w:tab w:val="clear" w:pos="8296"/>
            </w:tabs>
            <w:rPr>
              <w:sz w:val="32"/>
              <w:szCs w:val="32"/>
            </w:rPr>
          </w:pPr>
          <w:r>
            <w:rPr>
              <w:sz w:val="32"/>
              <w:szCs w:val="36"/>
            </w:rPr>
            <w:fldChar w:fldCharType="begin"/>
          </w:r>
          <w:r>
            <w:rPr>
              <w:sz w:val="32"/>
              <w:szCs w:val="36"/>
            </w:rPr>
            <w:instrText xml:space="preserve"> HYPERLINK \l _Toc25320 </w:instrText>
          </w:r>
          <w:r>
            <w:rPr>
              <w:sz w:val="32"/>
              <w:szCs w:val="36"/>
            </w:rPr>
            <w:fldChar w:fldCharType="separate"/>
          </w:r>
          <w:r>
            <w:rPr>
              <w:rFonts w:hint="default"/>
              <w:sz w:val="32"/>
              <w:szCs w:val="32"/>
            </w:rPr>
            <w:t xml:space="preserve">2. </w:t>
          </w:r>
          <w:r>
            <w:rPr>
              <w:rFonts w:hint="eastAsia"/>
              <w:sz w:val="32"/>
              <w:szCs w:val="32"/>
              <w:lang w:val="en-US" w:eastAsia="zh-CN"/>
            </w:rPr>
            <w:t>评估内容</w:t>
          </w:r>
          <w:r>
            <w:rPr>
              <w:sz w:val="32"/>
              <w:szCs w:val="32"/>
            </w:rPr>
            <w:tab/>
          </w:r>
          <w:r>
            <w:rPr>
              <w:sz w:val="32"/>
              <w:szCs w:val="32"/>
            </w:rPr>
            <w:fldChar w:fldCharType="begin"/>
          </w:r>
          <w:r>
            <w:rPr>
              <w:sz w:val="32"/>
              <w:szCs w:val="32"/>
            </w:rPr>
            <w:instrText xml:space="preserve"> PAGEREF _Toc25320 \h </w:instrText>
          </w:r>
          <w:r>
            <w:rPr>
              <w:sz w:val="32"/>
              <w:szCs w:val="32"/>
            </w:rPr>
            <w:fldChar w:fldCharType="separate"/>
          </w:r>
          <w:r>
            <w:rPr>
              <w:sz w:val="32"/>
              <w:szCs w:val="32"/>
            </w:rPr>
            <w:t>16</w:t>
          </w:r>
          <w:r>
            <w:rPr>
              <w:sz w:val="32"/>
              <w:szCs w:val="32"/>
            </w:rPr>
            <w:fldChar w:fldCharType="end"/>
          </w:r>
          <w:r>
            <w:rPr>
              <w:sz w:val="32"/>
              <w:szCs w:val="36"/>
            </w:rPr>
            <w:fldChar w:fldCharType="end"/>
          </w:r>
        </w:p>
        <w:p w14:paraId="253DDFB0">
          <w:pPr>
            <w:pStyle w:val="18"/>
            <w:tabs>
              <w:tab w:val="right" w:leader="dot" w:pos="8312"/>
              <w:tab w:val="clear" w:pos="8296"/>
            </w:tabs>
            <w:rPr>
              <w:sz w:val="24"/>
              <w:szCs w:val="32"/>
            </w:rPr>
          </w:pPr>
          <w:r>
            <w:rPr>
              <w:sz w:val="24"/>
              <w:szCs w:val="36"/>
            </w:rPr>
            <w:fldChar w:fldCharType="begin"/>
          </w:r>
          <w:r>
            <w:rPr>
              <w:sz w:val="24"/>
              <w:szCs w:val="36"/>
            </w:rPr>
            <w:instrText xml:space="preserve"> HYPERLINK \l _Toc31345 </w:instrText>
          </w:r>
          <w:r>
            <w:rPr>
              <w:sz w:val="24"/>
              <w:szCs w:val="36"/>
            </w:rPr>
            <w:fldChar w:fldCharType="separate"/>
          </w:r>
          <w:r>
            <w:rPr>
              <w:rFonts w:hint="default"/>
              <w:sz w:val="24"/>
              <w:szCs w:val="32"/>
              <w:lang w:val="en-US" w:eastAsia="zh-CN"/>
            </w:rPr>
            <w:t xml:space="preserve">2.1. </w:t>
          </w:r>
          <w:r>
            <w:rPr>
              <w:rFonts w:hint="eastAsia"/>
              <w:sz w:val="24"/>
              <w:szCs w:val="32"/>
              <w:lang w:val="en-US" w:eastAsia="zh-CN"/>
            </w:rPr>
            <w:t>风险调查评估及各方意见采纳情况</w:t>
          </w:r>
          <w:r>
            <w:rPr>
              <w:sz w:val="24"/>
              <w:szCs w:val="32"/>
            </w:rPr>
            <w:tab/>
          </w:r>
          <w:r>
            <w:rPr>
              <w:sz w:val="24"/>
              <w:szCs w:val="32"/>
            </w:rPr>
            <w:fldChar w:fldCharType="begin"/>
          </w:r>
          <w:r>
            <w:rPr>
              <w:sz w:val="24"/>
              <w:szCs w:val="32"/>
            </w:rPr>
            <w:instrText xml:space="preserve"> PAGEREF _Toc31345 \h </w:instrText>
          </w:r>
          <w:r>
            <w:rPr>
              <w:sz w:val="24"/>
              <w:szCs w:val="32"/>
            </w:rPr>
            <w:fldChar w:fldCharType="separate"/>
          </w:r>
          <w:r>
            <w:rPr>
              <w:sz w:val="24"/>
              <w:szCs w:val="32"/>
            </w:rPr>
            <w:t>16</w:t>
          </w:r>
          <w:r>
            <w:rPr>
              <w:sz w:val="24"/>
              <w:szCs w:val="32"/>
            </w:rPr>
            <w:fldChar w:fldCharType="end"/>
          </w:r>
          <w:r>
            <w:rPr>
              <w:sz w:val="24"/>
              <w:szCs w:val="36"/>
            </w:rPr>
            <w:fldChar w:fldCharType="end"/>
          </w:r>
        </w:p>
        <w:p w14:paraId="76C366B2">
          <w:pPr>
            <w:pStyle w:val="18"/>
            <w:tabs>
              <w:tab w:val="right" w:leader="dot" w:pos="8312"/>
              <w:tab w:val="clear" w:pos="8296"/>
            </w:tabs>
            <w:rPr>
              <w:sz w:val="24"/>
              <w:szCs w:val="32"/>
            </w:rPr>
          </w:pPr>
          <w:r>
            <w:rPr>
              <w:sz w:val="24"/>
              <w:szCs w:val="36"/>
            </w:rPr>
            <w:fldChar w:fldCharType="begin"/>
          </w:r>
          <w:r>
            <w:rPr>
              <w:sz w:val="24"/>
              <w:szCs w:val="36"/>
            </w:rPr>
            <w:instrText xml:space="preserve"> HYPERLINK \l _Toc3327 </w:instrText>
          </w:r>
          <w:r>
            <w:rPr>
              <w:sz w:val="24"/>
              <w:szCs w:val="36"/>
            </w:rPr>
            <w:fldChar w:fldCharType="separate"/>
          </w:r>
          <w:r>
            <w:rPr>
              <w:rFonts w:hint="default"/>
              <w:sz w:val="24"/>
              <w:szCs w:val="32"/>
              <w:lang w:val="en-US" w:eastAsia="zh-CN"/>
            </w:rPr>
            <w:t xml:space="preserve">2.2. </w:t>
          </w:r>
          <w:r>
            <w:rPr>
              <w:rFonts w:hint="eastAsia"/>
              <w:sz w:val="24"/>
              <w:szCs w:val="32"/>
              <w:lang w:val="en-US" w:eastAsia="zh-CN"/>
            </w:rPr>
            <w:t>风险识别和估计的评估</w:t>
          </w:r>
          <w:r>
            <w:rPr>
              <w:sz w:val="24"/>
              <w:szCs w:val="32"/>
            </w:rPr>
            <w:tab/>
          </w:r>
          <w:r>
            <w:rPr>
              <w:sz w:val="24"/>
              <w:szCs w:val="32"/>
            </w:rPr>
            <w:fldChar w:fldCharType="begin"/>
          </w:r>
          <w:r>
            <w:rPr>
              <w:sz w:val="24"/>
              <w:szCs w:val="32"/>
            </w:rPr>
            <w:instrText xml:space="preserve"> PAGEREF _Toc3327 \h </w:instrText>
          </w:r>
          <w:r>
            <w:rPr>
              <w:sz w:val="24"/>
              <w:szCs w:val="32"/>
            </w:rPr>
            <w:fldChar w:fldCharType="separate"/>
          </w:r>
          <w:r>
            <w:rPr>
              <w:sz w:val="24"/>
              <w:szCs w:val="32"/>
            </w:rPr>
            <w:t xml:space="preserve">16 </w:t>
          </w:r>
          <w:r>
            <w:rPr>
              <w:sz w:val="24"/>
              <w:szCs w:val="32"/>
            </w:rPr>
            <w:fldChar w:fldCharType="end"/>
          </w:r>
          <w:r>
            <w:rPr>
              <w:sz w:val="24"/>
              <w:szCs w:val="36"/>
            </w:rPr>
            <w:fldChar w:fldCharType="end"/>
          </w:r>
        </w:p>
        <w:p w14:paraId="019821F9">
          <w:pPr>
            <w:pStyle w:val="18"/>
            <w:tabs>
              <w:tab w:val="right" w:leader="dot" w:pos="8312"/>
              <w:tab w:val="clear" w:pos="8296"/>
            </w:tabs>
            <w:rPr>
              <w:sz w:val="24"/>
              <w:szCs w:val="32"/>
            </w:rPr>
          </w:pPr>
          <w:r>
            <w:rPr>
              <w:sz w:val="24"/>
              <w:szCs w:val="36"/>
            </w:rPr>
            <w:fldChar w:fldCharType="begin"/>
          </w:r>
          <w:r>
            <w:rPr>
              <w:sz w:val="24"/>
              <w:szCs w:val="36"/>
            </w:rPr>
            <w:instrText xml:space="preserve"> HYPERLINK \l _Toc6406 </w:instrText>
          </w:r>
          <w:r>
            <w:rPr>
              <w:sz w:val="24"/>
              <w:szCs w:val="36"/>
            </w:rPr>
            <w:fldChar w:fldCharType="separate"/>
          </w:r>
          <w:r>
            <w:rPr>
              <w:rFonts w:hint="default"/>
              <w:sz w:val="24"/>
              <w:szCs w:val="32"/>
              <w:lang w:val="en-US" w:eastAsia="zh-CN"/>
            </w:rPr>
            <w:t xml:space="preserve">2.3. </w:t>
          </w:r>
          <w:r>
            <w:rPr>
              <w:rFonts w:hint="eastAsia"/>
              <w:sz w:val="24"/>
              <w:szCs w:val="32"/>
              <w:lang w:val="en-US" w:eastAsia="zh-CN"/>
            </w:rPr>
            <w:t>风险防范和化解措施的评估。</w:t>
          </w:r>
          <w:r>
            <w:rPr>
              <w:sz w:val="24"/>
              <w:szCs w:val="32"/>
            </w:rPr>
            <w:tab/>
          </w:r>
          <w:r>
            <w:rPr>
              <w:sz w:val="24"/>
              <w:szCs w:val="32"/>
            </w:rPr>
            <w:fldChar w:fldCharType="begin"/>
          </w:r>
          <w:r>
            <w:rPr>
              <w:sz w:val="24"/>
              <w:szCs w:val="32"/>
            </w:rPr>
            <w:instrText xml:space="preserve"> PAGEREF _Toc6406 \h </w:instrText>
          </w:r>
          <w:r>
            <w:rPr>
              <w:sz w:val="24"/>
              <w:szCs w:val="32"/>
            </w:rPr>
            <w:fldChar w:fldCharType="separate"/>
          </w:r>
          <w:r>
            <w:rPr>
              <w:sz w:val="24"/>
              <w:szCs w:val="32"/>
            </w:rPr>
            <w:t xml:space="preserve">17 </w:t>
          </w:r>
          <w:r>
            <w:rPr>
              <w:sz w:val="24"/>
              <w:szCs w:val="32"/>
            </w:rPr>
            <w:fldChar w:fldCharType="end"/>
          </w:r>
          <w:r>
            <w:rPr>
              <w:sz w:val="24"/>
              <w:szCs w:val="36"/>
            </w:rPr>
            <w:fldChar w:fldCharType="end"/>
          </w:r>
        </w:p>
        <w:p w14:paraId="157E0811">
          <w:pPr>
            <w:pStyle w:val="18"/>
            <w:tabs>
              <w:tab w:val="right" w:leader="dot" w:pos="8312"/>
              <w:tab w:val="clear" w:pos="8296"/>
            </w:tabs>
            <w:rPr>
              <w:sz w:val="24"/>
              <w:szCs w:val="32"/>
            </w:rPr>
          </w:pPr>
          <w:r>
            <w:rPr>
              <w:sz w:val="24"/>
              <w:szCs w:val="36"/>
            </w:rPr>
            <w:fldChar w:fldCharType="begin"/>
          </w:r>
          <w:r>
            <w:rPr>
              <w:sz w:val="24"/>
              <w:szCs w:val="36"/>
            </w:rPr>
            <w:instrText xml:space="preserve"> HYPERLINK \l _Toc31819 </w:instrText>
          </w:r>
          <w:r>
            <w:rPr>
              <w:sz w:val="24"/>
              <w:szCs w:val="36"/>
            </w:rPr>
            <w:fldChar w:fldCharType="separate"/>
          </w:r>
          <w:r>
            <w:rPr>
              <w:rFonts w:hint="default"/>
              <w:sz w:val="24"/>
              <w:szCs w:val="32"/>
              <w:lang w:val="en-US" w:eastAsia="zh-CN"/>
            </w:rPr>
            <w:t xml:space="preserve">2.4. </w:t>
          </w:r>
          <w:r>
            <w:rPr>
              <w:rFonts w:hint="eastAsia"/>
              <w:sz w:val="24"/>
              <w:szCs w:val="32"/>
              <w:lang w:val="en-US" w:eastAsia="zh-CN"/>
            </w:rPr>
            <w:t>落实措施后的风险等级确定</w:t>
          </w:r>
          <w:r>
            <w:rPr>
              <w:sz w:val="24"/>
              <w:szCs w:val="32"/>
            </w:rPr>
            <w:tab/>
          </w:r>
          <w:r>
            <w:rPr>
              <w:sz w:val="24"/>
              <w:szCs w:val="32"/>
            </w:rPr>
            <w:fldChar w:fldCharType="begin"/>
          </w:r>
          <w:r>
            <w:rPr>
              <w:sz w:val="24"/>
              <w:szCs w:val="32"/>
            </w:rPr>
            <w:instrText xml:space="preserve"> PAGEREF _Toc31819 \h </w:instrText>
          </w:r>
          <w:r>
            <w:rPr>
              <w:sz w:val="24"/>
              <w:szCs w:val="32"/>
            </w:rPr>
            <w:fldChar w:fldCharType="separate"/>
          </w:r>
          <w:r>
            <w:rPr>
              <w:sz w:val="24"/>
              <w:szCs w:val="32"/>
            </w:rPr>
            <w:t>20</w:t>
          </w:r>
          <w:r>
            <w:rPr>
              <w:sz w:val="24"/>
              <w:szCs w:val="32"/>
            </w:rPr>
            <w:fldChar w:fldCharType="end"/>
          </w:r>
          <w:r>
            <w:rPr>
              <w:sz w:val="24"/>
              <w:szCs w:val="36"/>
            </w:rPr>
            <w:fldChar w:fldCharType="end"/>
          </w:r>
        </w:p>
        <w:p w14:paraId="4660FDAE">
          <w:pPr>
            <w:pStyle w:val="2"/>
            <w:tabs>
              <w:tab w:val="right" w:leader="dot" w:pos="8312"/>
              <w:tab w:val="clear" w:pos="8296"/>
            </w:tabs>
            <w:rPr>
              <w:sz w:val="32"/>
              <w:szCs w:val="32"/>
            </w:rPr>
          </w:pPr>
          <w:r>
            <w:rPr>
              <w:sz w:val="32"/>
              <w:szCs w:val="36"/>
            </w:rPr>
            <w:fldChar w:fldCharType="begin"/>
          </w:r>
          <w:r>
            <w:rPr>
              <w:sz w:val="32"/>
              <w:szCs w:val="36"/>
            </w:rPr>
            <w:instrText xml:space="preserve"> HYPERLINK \l _Toc14513 </w:instrText>
          </w:r>
          <w:r>
            <w:rPr>
              <w:sz w:val="32"/>
              <w:szCs w:val="36"/>
            </w:rPr>
            <w:fldChar w:fldCharType="separate"/>
          </w:r>
          <w:r>
            <w:rPr>
              <w:rFonts w:hint="default"/>
              <w:sz w:val="32"/>
              <w:szCs w:val="32"/>
              <w:lang w:val="en-US" w:eastAsia="zh-CN"/>
            </w:rPr>
            <w:t xml:space="preserve">3. </w:t>
          </w:r>
          <w:r>
            <w:rPr>
              <w:rFonts w:hint="eastAsia"/>
              <w:sz w:val="32"/>
              <w:szCs w:val="32"/>
              <w:lang w:val="en-US" w:eastAsia="zh-CN"/>
            </w:rPr>
            <w:t>评估结论</w:t>
          </w:r>
          <w:r>
            <w:rPr>
              <w:sz w:val="32"/>
              <w:szCs w:val="32"/>
            </w:rPr>
            <w:tab/>
          </w:r>
          <w:r>
            <w:rPr>
              <w:sz w:val="32"/>
              <w:szCs w:val="32"/>
            </w:rPr>
            <w:fldChar w:fldCharType="begin"/>
          </w:r>
          <w:r>
            <w:rPr>
              <w:sz w:val="32"/>
              <w:szCs w:val="32"/>
            </w:rPr>
            <w:instrText xml:space="preserve"> PAGEREF _Toc14513 \h </w:instrText>
          </w:r>
          <w:r>
            <w:rPr>
              <w:sz w:val="32"/>
              <w:szCs w:val="32"/>
            </w:rPr>
            <w:fldChar w:fldCharType="separate"/>
          </w:r>
          <w:r>
            <w:rPr>
              <w:sz w:val="32"/>
              <w:szCs w:val="32"/>
            </w:rPr>
            <w:t>28</w:t>
          </w:r>
          <w:r>
            <w:rPr>
              <w:sz w:val="32"/>
              <w:szCs w:val="32"/>
            </w:rPr>
            <w:fldChar w:fldCharType="end"/>
          </w:r>
          <w:r>
            <w:rPr>
              <w:sz w:val="32"/>
              <w:szCs w:val="36"/>
            </w:rPr>
            <w:fldChar w:fldCharType="end"/>
          </w:r>
        </w:p>
        <w:p w14:paraId="12B2DEA5">
          <w:pPr>
            <w:pStyle w:val="18"/>
            <w:tabs>
              <w:tab w:val="right" w:leader="dot" w:pos="8312"/>
              <w:tab w:val="clear" w:pos="8296"/>
            </w:tabs>
            <w:rPr>
              <w:sz w:val="24"/>
              <w:szCs w:val="32"/>
            </w:rPr>
          </w:pPr>
          <w:r>
            <w:rPr>
              <w:sz w:val="24"/>
              <w:szCs w:val="36"/>
            </w:rPr>
            <w:fldChar w:fldCharType="begin"/>
          </w:r>
          <w:r>
            <w:rPr>
              <w:sz w:val="24"/>
              <w:szCs w:val="36"/>
            </w:rPr>
            <w:instrText xml:space="preserve"> HYPERLINK \l _Toc16896 </w:instrText>
          </w:r>
          <w:r>
            <w:rPr>
              <w:sz w:val="24"/>
              <w:szCs w:val="36"/>
            </w:rPr>
            <w:fldChar w:fldCharType="separate"/>
          </w:r>
          <w:r>
            <w:rPr>
              <w:rFonts w:hint="default"/>
              <w:sz w:val="24"/>
              <w:szCs w:val="32"/>
              <w:lang w:val="en-US" w:eastAsia="zh-CN"/>
            </w:rPr>
            <w:t xml:space="preserve">3.1. </w:t>
          </w:r>
          <w:r>
            <w:rPr>
              <w:rFonts w:hint="eastAsia"/>
              <w:sz w:val="24"/>
              <w:szCs w:val="32"/>
              <w:lang w:val="en-US" w:eastAsia="zh-CN"/>
            </w:rPr>
            <w:t>拟建项目存在的主要风险因素</w:t>
          </w:r>
          <w:r>
            <w:rPr>
              <w:sz w:val="24"/>
              <w:szCs w:val="32"/>
            </w:rPr>
            <w:tab/>
          </w:r>
          <w:r>
            <w:rPr>
              <w:sz w:val="24"/>
              <w:szCs w:val="32"/>
            </w:rPr>
            <w:fldChar w:fldCharType="begin"/>
          </w:r>
          <w:r>
            <w:rPr>
              <w:sz w:val="24"/>
              <w:szCs w:val="32"/>
            </w:rPr>
            <w:instrText xml:space="preserve"> PAGEREF _Toc16896 \h </w:instrText>
          </w:r>
          <w:r>
            <w:rPr>
              <w:sz w:val="24"/>
              <w:szCs w:val="32"/>
            </w:rPr>
            <w:fldChar w:fldCharType="separate"/>
          </w:r>
          <w:r>
            <w:rPr>
              <w:sz w:val="24"/>
              <w:szCs w:val="32"/>
            </w:rPr>
            <w:t>28</w:t>
          </w:r>
          <w:r>
            <w:rPr>
              <w:sz w:val="24"/>
              <w:szCs w:val="32"/>
            </w:rPr>
            <w:fldChar w:fldCharType="end"/>
          </w:r>
          <w:r>
            <w:rPr>
              <w:sz w:val="24"/>
              <w:szCs w:val="36"/>
            </w:rPr>
            <w:fldChar w:fldCharType="end"/>
          </w:r>
        </w:p>
        <w:p w14:paraId="0FE4B92A">
          <w:pPr>
            <w:pStyle w:val="18"/>
            <w:tabs>
              <w:tab w:val="right" w:leader="dot" w:pos="8312"/>
              <w:tab w:val="clear" w:pos="8296"/>
            </w:tabs>
            <w:rPr>
              <w:sz w:val="24"/>
              <w:szCs w:val="32"/>
            </w:rPr>
          </w:pPr>
          <w:r>
            <w:rPr>
              <w:sz w:val="24"/>
              <w:szCs w:val="36"/>
            </w:rPr>
            <w:fldChar w:fldCharType="begin"/>
          </w:r>
          <w:r>
            <w:rPr>
              <w:sz w:val="24"/>
              <w:szCs w:val="36"/>
            </w:rPr>
            <w:instrText xml:space="preserve"> HYPERLINK \l _Toc20336 </w:instrText>
          </w:r>
          <w:r>
            <w:rPr>
              <w:sz w:val="24"/>
              <w:szCs w:val="36"/>
            </w:rPr>
            <w:fldChar w:fldCharType="separate"/>
          </w:r>
          <w:r>
            <w:rPr>
              <w:rFonts w:hint="default"/>
              <w:sz w:val="24"/>
              <w:szCs w:val="32"/>
              <w:lang w:val="en-US" w:eastAsia="zh-CN"/>
            </w:rPr>
            <w:t xml:space="preserve">3.2. </w:t>
          </w:r>
          <w:r>
            <w:rPr>
              <w:rFonts w:hint="eastAsia"/>
              <w:sz w:val="24"/>
              <w:szCs w:val="32"/>
              <w:lang w:val="en-US" w:eastAsia="zh-CN"/>
            </w:rPr>
            <w:t>拟建项目合法性、合理性、可行性、可控性评估结论</w:t>
          </w:r>
          <w:r>
            <w:rPr>
              <w:sz w:val="24"/>
              <w:szCs w:val="32"/>
            </w:rPr>
            <w:tab/>
          </w:r>
          <w:r>
            <w:rPr>
              <w:sz w:val="24"/>
              <w:szCs w:val="32"/>
            </w:rPr>
            <w:fldChar w:fldCharType="begin"/>
          </w:r>
          <w:r>
            <w:rPr>
              <w:sz w:val="24"/>
              <w:szCs w:val="32"/>
            </w:rPr>
            <w:instrText xml:space="preserve"> PAGEREF _Toc20336 \h </w:instrText>
          </w:r>
          <w:r>
            <w:rPr>
              <w:sz w:val="24"/>
              <w:szCs w:val="32"/>
            </w:rPr>
            <w:fldChar w:fldCharType="separate"/>
          </w:r>
          <w:r>
            <w:rPr>
              <w:sz w:val="24"/>
              <w:szCs w:val="32"/>
            </w:rPr>
            <w:t>28</w:t>
          </w:r>
          <w:r>
            <w:rPr>
              <w:sz w:val="24"/>
              <w:szCs w:val="32"/>
            </w:rPr>
            <w:fldChar w:fldCharType="end"/>
          </w:r>
          <w:r>
            <w:rPr>
              <w:sz w:val="24"/>
              <w:szCs w:val="36"/>
            </w:rPr>
            <w:fldChar w:fldCharType="end"/>
          </w:r>
        </w:p>
        <w:p w14:paraId="60BF4B16">
          <w:pPr>
            <w:pStyle w:val="18"/>
            <w:tabs>
              <w:tab w:val="right" w:leader="dot" w:pos="8312"/>
              <w:tab w:val="clear" w:pos="8296"/>
            </w:tabs>
            <w:rPr>
              <w:sz w:val="24"/>
              <w:szCs w:val="32"/>
            </w:rPr>
          </w:pPr>
          <w:r>
            <w:rPr>
              <w:sz w:val="24"/>
              <w:szCs w:val="36"/>
            </w:rPr>
            <w:fldChar w:fldCharType="begin"/>
          </w:r>
          <w:r>
            <w:rPr>
              <w:sz w:val="24"/>
              <w:szCs w:val="36"/>
            </w:rPr>
            <w:instrText xml:space="preserve"> HYPERLINK \l _Toc10937 </w:instrText>
          </w:r>
          <w:r>
            <w:rPr>
              <w:sz w:val="24"/>
              <w:szCs w:val="36"/>
            </w:rPr>
            <w:fldChar w:fldCharType="separate"/>
          </w:r>
          <w:r>
            <w:rPr>
              <w:rFonts w:hint="default"/>
              <w:sz w:val="24"/>
              <w:szCs w:val="32"/>
              <w:lang w:val="en-US" w:eastAsia="zh-CN"/>
            </w:rPr>
            <w:t xml:space="preserve">3.3. </w:t>
          </w:r>
          <w:r>
            <w:rPr>
              <w:rFonts w:hint="eastAsia"/>
              <w:sz w:val="24"/>
              <w:szCs w:val="32"/>
              <w:lang w:val="en-US" w:eastAsia="zh-CN"/>
            </w:rPr>
            <w:t>拟建项目风险等级</w:t>
          </w:r>
          <w:r>
            <w:rPr>
              <w:sz w:val="24"/>
              <w:szCs w:val="32"/>
            </w:rPr>
            <w:tab/>
          </w:r>
          <w:r>
            <w:rPr>
              <w:sz w:val="24"/>
              <w:szCs w:val="32"/>
            </w:rPr>
            <w:fldChar w:fldCharType="begin"/>
          </w:r>
          <w:r>
            <w:rPr>
              <w:sz w:val="24"/>
              <w:szCs w:val="32"/>
            </w:rPr>
            <w:instrText xml:space="preserve"> PAGEREF _Toc10937 \h </w:instrText>
          </w:r>
          <w:r>
            <w:rPr>
              <w:sz w:val="24"/>
              <w:szCs w:val="32"/>
            </w:rPr>
            <w:fldChar w:fldCharType="separate"/>
          </w:r>
          <w:r>
            <w:rPr>
              <w:sz w:val="24"/>
              <w:szCs w:val="32"/>
            </w:rPr>
            <w:t>29</w:t>
          </w:r>
          <w:r>
            <w:rPr>
              <w:sz w:val="24"/>
              <w:szCs w:val="32"/>
            </w:rPr>
            <w:fldChar w:fldCharType="end"/>
          </w:r>
          <w:r>
            <w:rPr>
              <w:sz w:val="24"/>
              <w:szCs w:val="36"/>
            </w:rPr>
            <w:fldChar w:fldCharType="end"/>
          </w:r>
        </w:p>
        <w:p w14:paraId="220DEF78">
          <w:pPr>
            <w:pStyle w:val="18"/>
            <w:tabs>
              <w:tab w:val="right" w:leader="dot" w:pos="8312"/>
              <w:tab w:val="clear" w:pos="8296"/>
            </w:tabs>
            <w:rPr>
              <w:sz w:val="24"/>
              <w:szCs w:val="32"/>
            </w:rPr>
          </w:pPr>
          <w:r>
            <w:rPr>
              <w:sz w:val="24"/>
              <w:szCs w:val="36"/>
            </w:rPr>
            <w:fldChar w:fldCharType="begin"/>
          </w:r>
          <w:r>
            <w:rPr>
              <w:sz w:val="24"/>
              <w:szCs w:val="36"/>
            </w:rPr>
            <w:instrText xml:space="preserve"> HYPERLINK \l _Toc20220 </w:instrText>
          </w:r>
          <w:r>
            <w:rPr>
              <w:sz w:val="24"/>
              <w:szCs w:val="36"/>
            </w:rPr>
            <w:fldChar w:fldCharType="separate"/>
          </w:r>
          <w:r>
            <w:rPr>
              <w:rFonts w:hint="default"/>
              <w:sz w:val="24"/>
              <w:szCs w:val="32"/>
              <w:lang w:val="en-US" w:eastAsia="zh-CN"/>
            </w:rPr>
            <w:t xml:space="preserve">3.4. </w:t>
          </w:r>
          <w:r>
            <w:rPr>
              <w:rFonts w:hint="eastAsia"/>
              <w:sz w:val="24"/>
              <w:szCs w:val="32"/>
              <w:lang w:val="en-US" w:eastAsia="zh-CN"/>
            </w:rPr>
            <w:t>拟建项目的主要风险防范、化解措施</w:t>
          </w:r>
          <w:r>
            <w:rPr>
              <w:sz w:val="24"/>
              <w:szCs w:val="32"/>
            </w:rPr>
            <w:tab/>
          </w:r>
          <w:r>
            <w:rPr>
              <w:sz w:val="24"/>
              <w:szCs w:val="32"/>
            </w:rPr>
            <w:fldChar w:fldCharType="begin"/>
          </w:r>
          <w:r>
            <w:rPr>
              <w:sz w:val="24"/>
              <w:szCs w:val="32"/>
            </w:rPr>
            <w:instrText xml:space="preserve"> PAGEREF _Toc20220 \h </w:instrText>
          </w:r>
          <w:r>
            <w:rPr>
              <w:sz w:val="24"/>
              <w:szCs w:val="32"/>
            </w:rPr>
            <w:fldChar w:fldCharType="separate"/>
          </w:r>
          <w:r>
            <w:rPr>
              <w:sz w:val="24"/>
              <w:szCs w:val="32"/>
            </w:rPr>
            <w:t>29</w:t>
          </w:r>
          <w:r>
            <w:rPr>
              <w:sz w:val="24"/>
              <w:szCs w:val="32"/>
            </w:rPr>
            <w:fldChar w:fldCharType="end"/>
          </w:r>
          <w:r>
            <w:rPr>
              <w:sz w:val="24"/>
              <w:szCs w:val="36"/>
            </w:rPr>
            <w:fldChar w:fldCharType="end"/>
          </w:r>
        </w:p>
        <w:p w14:paraId="21ECA018">
          <w:pPr>
            <w:pStyle w:val="18"/>
            <w:tabs>
              <w:tab w:val="right" w:leader="dot" w:pos="8312"/>
              <w:tab w:val="clear" w:pos="8296"/>
            </w:tabs>
          </w:pPr>
          <w:r>
            <w:rPr>
              <w:sz w:val="24"/>
              <w:szCs w:val="36"/>
            </w:rPr>
            <w:fldChar w:fldCharType="begin"/>
          </w:r>
          <w:r>
            <w:rPr>
              <w:sz w:val="24"/>
              <w:szCs w:val="36"/>
            </w:rPr>
            <w:instrText xml:space="preserve"> HYPERLINK \l _Toc15627 </w:instrText>
          </w:r>
          <w:r>
            <w:rPr>
              <w:sz w:val="24"/>
              <w:szCs w:val="36"/>
            </w:rPr>
            <w:fldChar w:fldCharType="separate"/>
          </w:r>
          <w:r>
            <w:rPr>
              <w:rFonts w:hint="default"/>
              <w:sz w:val="24"/>
              <w:szCs w:val="32"/>
              <w:lang w:val="en-US" w:eastAsia="zh-CN"/>
            </w:rPr>
            <w:t xml:space="preserve">3.5. </w:t>
          </w:r>
          <w:r>
            <w:rPr>
              <w:rFonts w:hint="eastAsia"/>
              <w:sz w:val="24"/>
              <w:szCs w:val="32"/>
              <w:lang w:val="en-US" w:eastAsia="zh-CN"/>
            </w:rPr>
            <w:t>应急预案和建议</w:t>
          </w:r>
          <w:r>
            <w:rPr>
              <w:sz w:val="24"/>
              <w:szCs w:val="32"/>
            </w:rPr>
            <w:tab/>
          </w:r>
          <w:r>
            <w:rPr>
              <w:sz w:val="24"/>
              <w:szCs w:val="32"/>
            </w:rPr>
            <w:fldChar w:fldCharType="begin"/>
          </w:r>
          <w:r>
            <w:rPr>
              <w:sz w:val="24"/>
              <w:szCs w:val="32"/>
            </w:rPr>
            <w:instrText xml:space="preserve"> PAGEREF _Toc15627 \h </w:instrText>
          </w:r>
          <w:r>
            <w:rPr>
              <w:sz w:val="24"/>
              <w:szCs w:val="32"/>
            </w:rPr>
            <w:fldChar w:fldCharType="separate"/>
          </w:r>
          <w:r>
            <w:rPr>
              <w:sz w:val="24"/>
              <w:szCs w:val="32"/>
            </w:rPr>
            <w:t>30</w:t>
          </w:r>
          <w:r>
            <w:rPr>
              <w:sz w:val="24"/>
              <w:szCs w:val="32"/>
            </w:rPr>
            <w:fldChar w:fldCharType="end"/>
          </w:r>
          <w:r>
            <w:rPr>
              <w:sz w:val="24"/>
              <w:szCs w:val="36"/>
            </w:rPr>
            <w:fldChar w:fldCharType="end"/>
          </w:r>
        </w:p>
        <w:p w14:paraId="75235DBE">
          <w:pPr>
            <w:rPr>
              <w:sz w:val="24"/>
              <w:szCs w:val="32"/>
            </w:rPr>
          </w:pPr>
          <w:r>
            <w:rPr>
              <w:szCs w:val="28"/>
            </w:rPr>
            <w:fldChar w:fldCharType="end"/>
          </w:r>
        </w:p>
      </w:sdtContent>
    </w:sdt>
    <w:p w14:paraId="022D6598">
      <w:pPr>
        <w:pStyle w:val="3"/>
        <w:jc w:val="center"/>
        <w:rPr>
          <w:sz w:val="44"/>
          <w:szCs w:val="52"/>
        </w:rPr>
        <w:sectPr>
          <w:pgSz w:w="11906" w:h="16838"/>
          <w:pgMar w:top="1440" w:right="1797" w:bottom="1440" w:left="1797" w:header="851" w:footer="992" w:gutter="0"/>
          <w:pgBorders>
            <w:top w:val="none" w:sz="0" w:space="0"/>
            <w:left w:val="none" w:sz="0" w:space="0"/>
            <w:bottom w:val="none" w:sz="0" w:space="0"/>
            <w:right w:val="none" w:sz="0" w:space="0"/>
          </w:pgBorders>
          <w:pgNumType w:fmt="decimal" w:start="1"/>
          <w:cols w:space="720" w:num="1"/>
          <w:docGrid w:linePitch="312" w:charSpace="0"/>
        </w:sectPr>
      </w:pPr>
    </w:p>
    <w:bookmarkEnd w:id="0"/>
    <w:bookmarkEnd w:id="1"/>
    <w:p w14:paraId="4A9D086E">
      <w:pPr>
        <w:rPr>
          <w:rFonts w:hint="eastAsia"/>
          <w:b/>
          <w:bCs/>
          <w:sz w:val="36"/>
          <w:szCs w:val="36"/>
          <w:lang w:val="en-US" w:eastAsia="zh-CN"/>
        </w:rPr>
      </w:pPr>
      <w:r>
        <w:rPr>
          <w:rFonts w:hint="eastAsia"/>
          <w:b/>
          <w:bCs/>
          <w:sz w:val="36"/>
          <w:szCs w:val="36"/>
          <w:lang w:val="en-US" w:eastAsia="zh-CN"/>
        </w:rPr>
        <w:br w:type="page"/>
      </w:r>
    </w:p>
    <w:p w14:paraId="2E9775EA">
      <w:pPr>
        <w:keepNext w:val="0"/>
        <w:keepLines w:val="0"/>
        <w:pageBreakBefore w:val="0"/>
        <w:widowControl w:val="0"/>
        <w:kinsoku/>
        <w:wordWrap/>
        <w:overflowPunct/>
        <w:topLinePunct w:val="0"/>
        <w:autoSpaceDE/>
        <w:autoSpaceDN/>
        <w:bidi w:val="0"/>
        <w:adjustRightInd/>
        <w:snapToGrid/>
        <w:spacing w:before="157" w:beforeLines="50" w:after="313" w:afterLines="100" w:line="560" w:lineRule="exact"/>
        <w:jc w:val="center"/>
        <w:textAlignment w:val="auto"/>
        <w:rPr>
          <w:rFonts w:hint="eastAsia" w:ascii="黑体" w:hAnsi="黑体" w:eastAsia="黑体" w:cs="黑体"/>
          <w:b/>
          <w:bCs/>
          <w:sz w:val="36"/>
          <w:szCs w:val="36"/>
          <w:lang w:val="en-US" w:eastAsia="zh-CN"/>
        </w:rPr>
      </w:pPr>
      <w:r>
        <w:rPr>
          <w:rFonts w:hint="eastAsia" w:ascii="黑体" w:hAnsi="黑体" w:eastAsia="黑体" w:cs="黑体"/>
          <w:b/>
          <w:bCs/>
          <w:sz w:val="36"/>
          <w:szCs w:val="36"/>
          <w:lang w:val="en-US" w:eastAsia="zh-CN"/>
        </w:rPr>
        <w:t>前言</w:t>
      </w:r>
    </w:p>
    <w:p w14:paraId="3BBD2FC0">
      <w:pPr>
        <w:spacing w:line="540" w:lineRule="exact"/>
        <w:ind w:firstLine="560" w:firstLineChars="200"/>
        <w:jc w:val="left"/>
        <w:rPr>
          <w:rFonts w:hint="eastAsia" w:ascii="仿宋" w:hAnsi="仿宋" w:eastAsia="仿宋"/>
          <w:bCs/>
          <w:sz w:val="28"/>
          <w:lang w:val="en-US" w:eastAsia="zh-CN"/>
        </w:rPr>
      </w:pPr>
      <w:r>
        <w:rPr>
          <w:rFonts w:hint="eastAsia" w:ascii="仿宋" w:hAnsi="仿宋" w:eastAsia="仿宋"/>
          <w:bCs/>
          <w:sz w:val="28"/>
          <w:lang w:val="en-US" w:eastAsia="zh-CN"/>
        </w:rPr>
        <w:t>为增强环翠区污水处理厂的尾水处理能力，满足当前城镇化进程中的排污需求，进一步提升环翠区污水管理高质量精细化发展，威海市环翠区水利局组织建设环翠区污水处理厂排河工程项目（以下简称“项目”）。为确保项目合法合规、有效管用、平稳运行，按照《威海市环翠区人民政府重大行政决策程序规定》等文件要求，威海市环翠区水利局委托顺风建筑规划设计有限公司组建了评估小组，采取了审查资料、调研测算数据、听取公众意见、邀请专家进行座谈等方式对该项目进行了社会稳定风险评估，在上述工作基础上，通过综合分析研究和论证，形成了本评估报告。</w:t>
      </w:r>
    </w:p>
    <w:p w14:paraId="3EBA94FB">
      <w:pPr>
        <w:pStyle w:val="3"/>
        <w:jc w:val="center"/>
        <w:sectPr>
          <w:headerReference r:id="rId5" w:type="default"/>
          <w:footerReference r:id="rId6" w:type="default"/>
          <w:pgSz w:w="11906" w:h="16838"/>
          <w:pgMar w:top="1440" w:right="1797" w:bottom="1440" w:left="1797" w:header="851" w:footer="992" w:gutter="0"/>
          <w:pgBorders>
            <w:top w:val="none" w:sz="0" w:space="0"/>
            <w:left w:val="none" w:sz="0" w:space="0"/>
            <w:bottom w:val="none" w:sz="0" w:space="0"/>
            <w:right w:val="none" w:sz="0" w:space="0"/>
          </w:pgBorders>
          <w:pgNumType w:fmt="decimal" w:start="1"/>
          <w:cols w:space="720" w:num="1"/>
          <w:docGrid w:linePitch="312" w:charSpace="0"/>
        </w:sectPr>
      </w:pPr>
    </w:p>
    <w:p w14:paraId="19CB8E8B">
      <w:pPr>
        <w:sectPr>
          <w:pgSz w:w="11906" w:h="16838"/>
          <w:pgMar w:top="1440" w:right="1797" w:bottom="1440" w:left="1797" w:header="851" w:footer="992" w:gutter="0"/>
          <w:pgBorders>
            <w:top w:val="none" w:sz="0" w:space="0"/>
            <w:left w:val="none" w:sz="0" w:space="0"/>
            <w:bottom w:val="none" w:sz="0" w:space="0"/>
            <w:right w:val="none" w:sz="0" w:space="0"/>
          </w:pgBorders>
          <w:pgNumType w:fmt="decimal" w:start="1"/>
          <w:cols w:space="720" w:num="1"/>
          <w:docGrid w:linePitch="312" w:charSpace="0"/>
        </w:sectPr>
      </w:pPr>
    </w:p>
    <w:p w14:paraId="427B93EF">
      <w:pPr>
        <w:pStyle w:val="3"/>
        <w:bidi w:val="0"/>
        <w:ind w:left="432" w:leftChars="0" w:hanging="432" w:firstLineChars="0"/>
      </w:pPr>
      <w:bookmarkStart w:id="2" w:name="_Toc9051"/>
      <w:r>
        <w:rPr>
          <w:rFonts w:hint="eastAsia"/>
          <w:lang w:val="en-US" w:eastAsia="zh-CN"/>
        </w:rPr>
        <w:t>基本情况</w:t>
      </w:r>
      <w:bookmarkEnd w:id="2"/>
    </w:p>
    <w:p w14:paraId="39D80211">
      <w:pPr>
        <w:pStyle w:val="5"/>
        <w:bidi w:val="0"/>
        <w:ind w:left="995" w:leftChars="0" w:hanging="575" w:firstLineChars="0"/>
      </w:pPr>
      <w:bookmarkStart w:id="3" w:name="_Toc10281"/>
      <w:r>
        <w:rPr>
          <w:rFonts w:hint="eastAsia"/>
        </w:rPr>
        <w:t>项目</w:t>
      </w:r>
      <w:r>
        <w:rPr>
          <w:rFonts w:hint="eastAsia"/>
          <w:lang w:val="en-US" w:eastAsia="zh-CN"/>
        </w:rPr>
        <w:t>概况</w:t>
      </w:r>
      <w:bookmarkEnd w:id="3"/>
    </w:p>
    <w:p w14:paraId="552B6B7F">
      <w:pPr>
        <w:pStyle w:val="6"/>
        <w:bidi w:val="0"/>
        <w:ind w:left="720" w:leftChars="0" w:hanging="300" w:firstLineChars="0"/>
        <w:rPr>
          <w:rFonts w:hint="default"/>
          <w:lang w:val="en-US"/>
        </w:rPr>
      </w:pPr>
      <w:r>
        <w:rPr>
          <w:rFonts w:hint="eastAsia"/>
          <w:lang w:val="en-US" w:eastAsia="zh-CN"/>
        </w:rPr>
        <w:t>项目基本情况</w:t>
      </w:r>
    </w:p>
    <w:p w14:paraId="08E96DA6">
      <w:pPr>
        <w:spacing w:line="540" w:lineRule="exact"/>
        <w:ind w:firstLine="560" w:firstLineChars="200"/>
        <w:jc w:val="left"/>
        <w:rPr>
          <w:rFonts w:hint="eastAsia" w:ascii="仿宋" w:hAnsi="仿宋" w:eastAsia="仿宋"/>
          <w:bCs/>
          <w:sz w:val="28"/>
          <w:lang w:val="en-US" w:eastAsia="zh-CN"/>
        </w:rPr>
      </w:pPr>
      <w:r>
        <w:rPr>
          <w:rFonts w:hint="eastAsia" w:ascii="仿宋" w:hAnsi="仿宋" w:eastAsia="仿宋"/>
          <w:bCs/>
          <w:sz w:val="28"/>
          <w:lang w:val="en-US" w:eastAsia="zh-CN"/>
        </w:rPr>
        <w:t>环翠区污水处理厂排河工程项目建设单位为威海市环翠区水利局，项目主要将位于环翠区羊亭镇运海路西、旺海路北的环翠区污水处理厂达标的排放尾水，通过DN1000专用污水管道输送至张村镇嘉祥景苑东侧500米处的张村河左岸。项目建设内容包括新建消力池、排水口及敷设约11.3千米的排水管道，以构建完整的尾水排放系统。</w:t>
      </w:r>
    </w:p>
    <w:p w14:paraId="7F8AFC10">
      <w:pPr>
        <w:pStyle w:val="6"/>
        <w:bidi w:val="0"/>
        <w:ind w:left="720" w:leftChars="0" w:hanging="300" w:firstLineChars="0"/>
        <w:rPr>
          <w:rFonts w:hint="default"/>
          <w:lang w:val="en-US" w:eastAsia="zh-CN"/>
        </w:rPr>
      </w:pPr>
      <w:r>
        <w:rPr>
          <w:rFonts w:hint="eastAsia"/>
          <w:lang w:val="en-US" w:eastAsia="zh-CN"/>
        </w:rPr>
        <w:t>建设必要性</w:t>
      </w:r>
    </w:p>
    <w:p w14:paraId="2A20D5A7">
      <w:pPr>
        <w:spacing w:line="540" w:lineRule="exact"/>
        <w:ind w:firstLine="560" w:firstLineChars="200"/>
        <w:jc w:val="left"/>
        <w:rPr>
          <w:rFonts w:hint="eastAsia" w:ascii="仿宋" w:hAnsi="仿宋" w:eastAsia="仿宋"/>
          <w:bCs/>
          <w:sz w:val="28"/>
        </w:rPr>
      </w:pPr>
      <w:r>
        <w:rPr>
          <w:rFonts w:hint="eastAsia" w:ascii="仿宋" w:hAnsi="仿宋" w:eastAsia="仿宋"/>
          <w:bCs/>
          <w:sz w:val="28"/>
          <w:lang w:val="en-US" w:eastAsia="zh-CN"/>
        </w:rPr>
        <w:t>项目</w:t>
      </w:r>
      <w:r>
        <w:rPr>
          <w:rFonts w:hint="eastAsia" w:ascii="仿宋" w:hAnsi="仿宋" w:eastAsia="仿宋"/>
          <w:bCs/>
          <w:sz w:val="28"/>
        </w:rPr>
        <w:t>建设的必要性主要体现在以下几个方面：</w:t>
      </w:r>
    </w:p>
    <w:p w14:paraId="00272F41">
      <w:pPr>
        <w:spacing w:line="540" w:lineRule="exact"/>
        <w:ind w:firstLine="560" w:firstLineChars="200"/>
        <w:jc w:val="left"/>
        <w:rPr>
          <w:rFonts w:hint="eastAsia" w:ascii="仿宋" w:hAnsi="仿宋" w:eastAsia="仿宋"/>
          <w:bCs/>
          <w:sz w:val="28"/>
        </w:rPr>
      </w:pPr>
      <w:r>
        <w:rPr>
          <w:rFonts w:hint="eastAsia" w:ascii="仿宋" w:hAnsi="仿宋" w:eastAsia="仿宋"/>
          <w:bCs/>
          <w:sz w:val="28"/>
        </w:rPr>
        <w:t>一、提升污水治理能力的需求</w:t>
      </w:r>
    </w:p>
    <w:p w14:paraId="77395B6C">
      <w:pPr>
        <w:spacing w:line="540" w:lineRule="exact"/>
        <w:ind w:firstLine="560" w:firstLineChars="200"/>
        <w:jc w:val="left"/>
        <w:rPr>
          <w:rFonts w:hint="eastAsia" w:ascii="仿宋" w:hAnsi="仿宋" w:eastAsia="仿宋"/>
          <w:bCs/>
          <w:sz w:val="28"/>
          <w:lang w:eastAsia="zh-CN"/>
        </w:rPr>
      </w:pPr>
      <w:r>
        <w:rPr>
          <w:rFonts w:hint="eastAsia" w:ascii="仿宋" w:hAnsi="仿宋" w:eastAsia="仿宋"/>
          <w:bCs/>
          <w:sz w:val="28"/>
        </w:rPr>
        <w:t>项目的建设是威海市污水治理工作的重要组成部分，有助于进一步提升污水治理能力，确保污水得到有效处理和排放</w:t>
      </w:r>
      <w:r>
        <w:rPr>
          <w:rFonts w:hint="eastAsia" w:ascii="仿宋" w:hAnsi="仿宋" w:eastAsia="仿宋"/>
          <w:bCs/>
          <w:sz w:val="28"/>
          <w:lang w:eastAsia="zh-CN"/>
        </w:rPr>
        <w:t>。项目构建了规范化的尾水排放系统，解决了现有污水处理设施与受纳水体间输送能力不足的问题，避免因管网缺失导致的溢流或渗漏风险，保障污水处理全流程的完整性和安全性。</w:t>
      </w:r>
    </w:p>
    <w:p w14:paraId="2C7066E1">
      <w:pPr>
        <w:spacing w:line="540" w:lineRule="exact"/>
        <w:ind w:firstLine="560" w:firstLineChars="200"/>
        <w:jc w:val="left"/>
        <w:rPr>
          <w:rFonts w:hint="eastAsia" w:ascii="仿宋" w:hAnsi="仿宋" w:eastAsia="仿宋"/>
          <w:bCs/>
          <w:sz w:val="28"/>
        </w:rPr>
      </w:pPr>
      <w:r>
        <w:rPr>
          <w:rFonts w:hint="eastAsia" w:ascii="仿宋" w:hAnsi="仿宋" w:eastAsia="仿宋"/>
          <w:bCs/>
          <w:sz w:val="28"/>
        </w:rPr>
        <w:t>二、促进生态环境持续发展的需求</w:t>
      </w:r>
    </w:p>
    <w:p w14:paraId="31079B7D">
      <w:pPr>
        <w:spacing w:line="540" w:lineRule="exact"/>
        <w:ind w:firstLine="560" w:firstLineChars="200"/>
        <w:jc w:val="left"/>
        <w:rPr>
          <w:rFonts w:hint="eastAsia" w:ascii="仿宋" w:hAnsi="仿宋" w:eastAsia="仿宋"/>
          <w:bCs/>
          <w:sz w:val="28"/>
        </w:rPr>
      </w:pPr>
      <w:r>
        <w:rPr>
          <w:rFonts w:hint="eastAsia" w:ascii="仿宋" w:hAnsi="仿宋" w:eastAsia="仿宋"/>
          <w:bCs/>
          <w:sz w:val="28"/>
        </w:rPr>
        <w:t>通过建设本项目，可以将环翠区污水处理厂处理后的尾水有序排放至张村河，避免污水直接排放对河流造成污染，有助于促进周边生态环境的持续良好发展。作为城市排水系统的重要延伸，该工程与污水处理厂共同构成环境治理基础设施网络，既满足当前城镇化进程中的排污需求，又通过科学规划适应未来城市扩容需求，为区域高质量发展提供长效支撑。</w:t>
      </w:r>
    </w:p>
    <w:p w14:paraId="18FFB491">
      <w:pPr>
        <w:spacing w:line="540" w:lineRule="exact"/>
        <w:ind w:firstLine="560" w:firstLineChars="200"/>
        <w:jc w:val="left"/>
        <w:rPr>
          <w:rFonts w:hint="eastAsia" w:ascii="仿宋" w:hAnsi="仿宋" w:eastAsia="仿宋"/>
          <w:bCs/>
          <w:sz w:val="28"/>
        </w:rPr>
      </w:pPr>
      <w:r>
        <w:rPr>
          <w:rFonts w:hint="eastAsia" w:ascii="仿宋" w:hAnsi="仿宋" w:eastAsia="仿宋"/>
          <w:bCs/>
          <w:sz w:val="28"/>
        </w:rPr>
        <w:t>三、符合国家政策导向和地方法规的要求</w:t>
      </w:r>
    </w:p>
    <w:p w14:paraId="4CA71D2A">
      <w:pPr>
        <w:spacing w:line="540" w:lineRule="exact"/>
        <w:ind w:firstLine="560" w:firstLineChars="200"/>
        <w:jc w:val="left"/>
        <w:rPr>
          <w:rFonts w:hint="eastAsia" w:ascii="仿宋" w:hAnsi="仿宋" w:eastAsia="仿宋"/>
          <w:bCs/>
          <w:sz w:val="28"/>
        </w:rPr>
      </w:pPr>
      <w:r>
        <w:rPr>
          <w:rFonts w:hint="eastAsia" w:ascii="仿宋" w:hAnsi="仿宋" w:eastAsia="仿宋"/>
          <w:bCs/>
          <w:sz w:val="28"/>
        </w:rPr>
        <w:t>威海市环翠区总体规划中的城市基础设施建设，将环翠区污水处理厂及周边污水管网建设纳入其中，并明确建设环翠区污水处理厂，收集区域散排污水进行集中处理，改善周边水环境。《威海市城市污水工程专项规划（2019-2035）》提出：张村-羊亭污水分区汇水面积 66.60km²,分区主要包括羊亭部分，该分区北部以张村河为界，南部以羊亭河为界，东部以 S301 为界，西部以环湾东路为界，该分区污水进威海市环翠区污水处理厂处理。相关水资源保护规划，将区域河流综合治理列入其中，提出了区域、流域污水处理、中水回用等具体方案。因此，环翠区污水处理厂入河排污口的设置符合当地流域或区域的综合规划、水资源保护等专业规划要求。</w:t>
      </w:r>
    </w:p>
    <w:p w14:paraId="3F1CACEE">
      <w:pPr>
        <w:spacing w:line="540" w:lineRule="exact"/>
        <w:ind w:firstLine="560" w:firstLineChars="200"/>
        <w:jc w:val="left"/>
        <w:rPr>
          <w:rFonts w:hint="eastAsia" w:ascii="仿宋" w:hAnsi="仿宋" w:eastAsia="仿宋"/>
          <w:bCs/>
          <w:sz w:val="28"/>
        </w:rPr>
      </w:pPr>
      <w:r>
        <w:rPr>
          <w:rFonts w:hint="eastAsia" w:ascii="仿宋" w:hAnsi="仿宋" w:eastAsia="仿宋"/>
          <w:bCs/>
          <w:sz w:val="28"/>
        </w:rPr>
        <w:t>威海市近年来积极推进污水排水管理向高质量精细化方向发展，并出台了《威海市污水排水管理办法》等法规。</w:t>
      </w:r>
      <w:r>
        <w:rPr>
          <w:rFonts w:hint="eastAsia" w:ascii="仿宋" w:hAnsi="仿宋" w:eastAsia="仿宋"/>
          <w:bCs/>
          <w:sz w:val="28"/>
          <w:lang w:val="en-US" w:eastAsia="zh-CN"/>
        </w:rPr>
        <w:t>项目</w:t>
      </w:r>
      <w:r>
        <w:rPr>
          <w:rFonts w:hint="eastAsia" w:ascii="仿宋" w:hAnsi="仿宋" w:eastAsia="仿宋"/>
          <w:bCs/>
          <w:sz w:val="28"/>
        </w:rPr>
        <w:t>建设符合政策导向和法规要求，是落实污水排水管理、保障污水排水与处理设施安全运行的重要举措。</w:t>
      </w:r>
    </w:p>
    <w:p w14:paraId="3443BCCA">
      <w:pPr>
        <w:spacing w:line="540" w:lineRule="exact"/>
        <w:ind w:firstLine="560" w:firstLineChars="200"/>
        <w:jc w:val="left"/>
        <w:rPr>
          <w:rFonts w:hint="eastAsia" w:ascii="仿宋" w:hAnsi="仿宋" w:eastAsia="仿宋"/>
          <w:bCs/>
          <w:sz w:val="28"/>
        </w:rPr>
      </w:pPr>
      <w:r>
        <w:rPr>
          <w:rFonts w:hint="eastAsia" w:ascii="仿宋" w:hAnsi="仿宋" w:eastAsia="仿宋"/>
          <w:bCs/>
          <w:sz w:val="28"/>
        </w:rPr>
        <w:t>四、提升城市供排水保障能力的需求</w:t>
      </w:r>
    </w:p>
    <w:p w14:paraId="0C871974">
      <w:pPr>
        <w:spacing w:line="540" w:lineRule="exact"/>
        <w:ind w:firstLine="560" w:firstLineChars="200"/>
        <w:jc w:val="left"/>
        <w:rPr>
          <w:rFonts w:hint="eastAsia" w:ascii="仿宋" w:hAnsi="仿宋" w:eastAsia="仿宋"/>
          <w:bCs/>
          <w:sz w:val="28"/>
        </w:rPr>
      </w:pPr>
      <w:r>
        <w:rPr>
          <w:rFonts w:hint="eastAsia" w:ascii="仿宋" w:hAnsi="仿宋" w:eastAsia="仿宋"/>
          <w:bCs/>
          <w:sz w:val="28"/>
        </w:rPr>
        <w:t>作为城市基础设施的重要组成部分，</w:t>
      </w:r>
      <w:r>
        <w:rPr>
          <w:rFonts w:hint="eastAsia" w:ascii="仿宋" w:hAnsi="仿宋" w:eastAsia="仿宋"/>
          <w:bCs/>
          <w:sz w:val="28"/>
          <w:lang w:val="en-US" w:eastAsia="zh-CN"/>
        </w:rPr>
        <w:t>项目</w:t>
      </w:r>
      <w:r>
        <w:rPr>
          <w:rFonts w:hint="eastAsia" w:ascii="仿宋" w:hAnsi="仿宋" w:eastAsia="仿宋"/>
          <w:bCs/>
          <w:sz w:val="28"/>
        </w:rPr>
        <w:t>的建设将进一步提升威海市环翠区的城市供、排水保障能力，为城市的可持续发展提供有力支撑。</w:t>
      </w:r>
    </w:p>
    <w:p w14:paraId="5BCE2F87">
      <w:pPr>
        <w:spacing w:line="540" w:lineRule="exact"/>
        <w:ind w:firstLine="560" w:firstLineChars="200"/>
        <w:jc w:val="left"/>
        <w:rPr>
          <w:rFonts w:hint="eastAsia" w:ascii="仿宋" w:hAnsi="仿宋" w:eastAsia="仿宋"/>
          <w:bCs/>
          <w:sz w:val="28"/>
        </w:rPr>
      </w:pPr>
      <w:r>
        <w:rPr>
          <w:rFonts w:hint="eastAsia" w:ascii="仿宋" w:hAnsi="仿宋" w:eastAsia="仿宋"/>
          <w:bCs/>
          <w:sz w:val="28"/>
        </w:rPr>
        <w:t>五、促进经济可持续发展的需求</w:t>
      </w:r>
    </w:p>
    <w:p w14:paraId="5F9216F0">
      <w:pPr>
        <w:spacing w:line="540" w:lineRule="exact"/>
        <w:ind w:firstLine="560" w:firstLineChars="200"/>
        <w:jc w:val="left"/>
        <w:rPr>
          <w:rFonts w:hint="eastAsia" w:ascii="仿宋" w:hAnsi="仿宋" w:eastAsia="仿宋"/>
          <w:bCs/>
          <w:sz w:val="28"/>
        </w:rPr>
      </w:pPr>
      <w:r>
        <w:rPr>
          <w:rFonts w:hint="eastAsia" w:ascii="仿宋" w:hAnsi="仿宋" w:eastAsia="仿宋"/>
          <w:bCs/>
          <w:sz w:val="28"/>
          <w:lang w:val="en-US" w:eastAsia="zh-CN"/>
        </w:rPr>
        <w:t>项目</w:t>
      </w:r>
      <w:r>
        <w:rPr>
          <w:rFonts w:hint="eastAsia" w:ascii="仿宋" w:hAnsi="仿宋" w:eastAsia="仿宋"/>
          <w:bCs/>
          <w:sz w:val="28"/>
        </w:rPr>
        <w:t>实现</w:t>
      </w:r>
      <w:r>
        <w:rPr>
          <w:rFonts w:hint="eastAsia" w:ascii="仿宋" w:hAnsi="仿宋" w:eastAsia="仿宋"/>
          <w:bCs/>
          <w:sz w:val="28"/>
          <w:lang w:eastAsia="zh-CN"/>
        </w:rPr>
        <w:t>了</w:t>
      </w:r>
      <w:r>
        <w:rPr>
          <w:rFonts w:hint="eastAsia" w:ascii="仿宋" w:hAnsi="仿宋" w:eastAsia="仿宋"/>
          <w:bCs/>
          <w:sz w:val="28"/>
        </w:rPr>
        <w:t>污水处理厂尾水排放的精准调控，避免水资源浪费，为后续中水回用（如生态补水、市政</w:t>
      </w:r>
      <w:r>
        <w:rPr>
          <w:rFonts w:hint="eastAsia" w:ascii="仿宋" w:hAnsi="仿宋" w:eastAsia="仿宋"/>
          <w:bCs/>
          <w:sz w:val="28"/>
          <w:lang w:val="en-US" w:eastAsia="zh-CN"/>
        </w:rPr>
        <w:t>用水</w:t>
      </w:r>
      <w:r>
        <w:rPr>
          <w:rFonts w:hint="eastAsia" w:ascii="仿宋" w:hAnsi="仿宋" w:eastAsia="仿宋"/>
          <w:bCs/>
          <w:sz w:val="28"/>
        </w:rPr>
        <w:t>）提供稳定水源，推动“处理-回用-再生”的闭环循环模式。规范化的尾水排放系统可减少因管网渗漏或溢流导致的环境修复支出，同时避免污染事件对农业、旅游业等周边产业的潜在经济损失。</w:t>
      </w:r>
    </w:p>
    <w:p w14:paraId="68C1E36F">
      <w:pPr>
        <w:spacing w:line="540" w:lineRule="exact"/>
        <w:ind w:firstLine="560" w:firstLineChars="200"/>
        <w:jc w:val="left"/>
        <w:rPr>
          <w:rFonts w:hint="eastAsia" w:ascii="仿宋" w:hAnsi="仿宋" w:eastAsia="仿宋"/>
          <w:bCs/>
          <w:sz w:val="28"/>
        </w:rPr>
      </w:pPr>
      <w:r>
        <w:rPr>
          <w:rFonts w:hint="eastAsia" w:ascii="仿宋" w:hAnsi="仿宋" w:eastAsia="仿宋"/>
          <w:bCs/>
          <w:sz w:val="28"/>
        </w:rPr>
        <w:t>完善的排水管网系统能够为城市创造更好的投资环境，吸引更多的资本和人才流入，能有效地带动城区的开发建设和经济发展，吸引更多的工业企业落户并形成规模化发展。</w:t>
      </w:r>
    </w:p>
    <w:p w14:paraId="2A3539BB">
      <w:pPr>
        <w:spacing w:line="540" w:lineRule="exact"/>
        <w:ind w:firstLine="560" w:firstLineChars="200"/>
        <w:jc w:val="left"/>
        <w:rPr>
          <w:rFonts w:hint="eastAsia" w:ascii="仿宋" w:hAnsi="仿宋" w:eastAsia="仿宋"/>
          <w:bCs/>
          <w:sz w:val="28"/>
        </w:rPr>
      </w:pPr>
      <w:r>
        <w:rPr>
          <w:rFonts w:hint="eastAsia" w:ascii="仿宋" w:hAnsi="仿宋" w:eastAsia="仿宋"/>
          <w:bCs/>
          <w:sz w:val="28"/>
        </w:rPr>
        <w:t>综上所述，本项目的建设，对于提升污水治理能力、促进生态环境持续发展</w:t>
      </w:r>
      <w:r>
        <w:rPr>
          <w:rFonts w:hint="eastAsia" w:ascii="仿宋" w:hAnsi="仿宋" w:eastAsia="仿宋"/>
          <w:bCs/>
          <w:sz w:val="28"/>
          <w:lang w:val="en-US" w:eastAsia="zh-CN"/>
        </w:rPr>
        <w:t>具有重要意义。项目</w:t>
      </w:r>
      <w:r>
        <w:rPr>
          <w:rFonts w:hint="eastAsia" w:ascii="仿宋" w:hAnsi="仿宋" w:eastAsia="仿宋"/>
          <w:bCs/>
          <w:sz w:val="28"/>
        </w:rPr>
        <w:t>符合国家的相关政策导向和法规要求以及威海市</w:t>
      </w:r>
      <w:r>
        <w:rPr>
          <w:rFonts w:hint="eastAsia" w:ascii="仿宋" w:hAnsi="仿宋" w:eastAsia="仿宋"/>
          <w:bCs/>
          <w:sz w:val="28"/>
          <w:lang w:val="en-US" w:eastAsia="zh-CN"/>
        </w:rPr>
        <w:t>总体基础建设规划目标</w:t>
      </w:r>
      <w:r>
        <w:rPr>
          <w:rFonts w:hint="eastAsia" w:ascii="仿宋" w:hAnsi="仿宋" w:eastAsia="仿宋"/>
          <w:bCs/>
          <w:sz w:val="28"/>
        </w:rPr>
        <w:t>，</w:t>
      </w:r>
      <w:r>
        <w:rPr>
          <w:rFonts w:hint="eastAsia" w:ascii="仿宋" w:hAnsi="仿宋" w:eastAsia="仿宋"/>
          <w:bCs/>
          <w:sz w:val="28"/>
          <w:lang w:val="en-US" w:eastAsia="zh-CN"/>
        </w:rPr>
        <w:t>对于</w:t>
      </w:r>
      <w:r>
        <w:rPr>
          <w:rFonts w:hint="eastAsia" w:ascii="仿宋" w:hAnsi="仿宋" w:eastAsia="仿宋"/>
          <w:bCs/>
          <w:sz w:val="28"/>
        </w:rPr>
        <w:t>改善该区域居民生活环境，对促进环翠区经济发展等方面都具有</w:t>
      </w:r>
      <w:r>
        <w:rPr>
          <w:rFonts w:hint="eastAsia" w:ascii="仿宋" w:hAnsi="仿宋" w:eastAsia="仿宋"/>
          <w:bCs/>
          <w:sz w:val="28"/>
          <w:lang w:val="en-US" w:eastAsia="zh-CN"/>
        </w:rPr>
        <w:t>重大影响</w:t>
      </w:r>
      <w:r>
        <w:rPr>
          <w:rFonts w:hint="eastAsia" w:ascii="仿宋" w:hAnsi="仿宋" w:eastAsia="仿宋"/>
          <w:bCs/>
          <w:sz w:val="28"/>
        </w:rPr>
        <w:t>。因此，该项目的建设是必要的。</w:t>
      </w:r>
    </w:p>
    <w:p w14:paraId="1A88D5E8">
      <w:pPr>
        <w:pStyle w:val="6"/>
        <w:bidi w:val="0"/>
        <w:ind w:left="720" w:leftChars="0" w:hanging="300" w:firstLineChars="0"/>
        <w:rPr>
          <w:rFonts w:hint="eastAsia"/>
          <w:lang w:val="en-US" w:eastAsia="zh-CN"/>
        </w:rPr>
      </w:pPr>
      <w:r>
        <w:rPr>
          <w:rFonts w:hint="eastAsia"/>
          <w:lang w:val="en-US" w:eastAsia="zh-CN"/>
        </w:rPr>
        <w:t>建设方案</w:t>
      </w:r>
    </w:p>
    <w:p w14:paraId="3FFE34BF">
      <w:pPr>
        <w:pStyle w:val="4"/>
        <w:spacing w:line="540" w:lineRule="exact"/>
        <w:ind w:firstLine="56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环翠区污水处理厂近期设计规模为4万m</w:t>
      </w:r>
      <w:r>
        <w:rPr>
          <w:rFonts w:hint="eastAsia" w:ascii="仿宋" w:hAnsi="仿宋" w:eastAsia="仿宋"/>
          <w:kern w:val="0"/>
          <w:sz w:val="28"/>
          <w:szCs w:val="32"/>
          <w:vertAlign w:val="superscript"/>
          <w:lang w:val="en-US" w:eastAsia="zh-CN"/>
        </w:rPr>
        <w:t>3</w:t>
      </w:r>
      <w:r>
        <w:rPr>
          <w:rFonts w:hint="eastAsia" w:ascii="仿宋" w:hAnsi="仿宋" w:eastAsia="仿宋"/>
          <w:kern w:val="0"/>
          <w:sz w:val="28"/>
          <w:szCs w:val="32"/>
          <w:lang w:val="en-US" w:eastAsia="zh-CN"/>
        </w:rPr>
        <w:t>/d，远期总设计规模8 万m</w:t>
      </w:r>
      <w:r>
        <w:rPr>
          <w:rFonts w:hint="eastAsia" w:ascii="仿宋" w:hAnsi="仿宋" w:eastAsia="仿宋"/>
          <w:kern w:val="0"/>
          <w:sz w:val="28"/>
          <w:szCs w:val="32"/>
          <w:vertAlign w:val="superscript"/>
          <w:lang w:val="en-US" w:eastAsia="zh-CN"/>
        </w:rPr>
        <w:t>3</w:t>
      </w:r>
      <w:r>
        <w:rPr>
          <w:rFonts w:hint="eastAsia" w:ascii="仿宋" w:hAnsi="仿宋" w:eastAsia="仿宋"/>
          <w:kern w:val="0"/>
          <w:sz w:val="28"/>
          <w:szCs w:val="32"/>
          <w:lang w:val="en-US" w:eastAsia="zh-CN"/>
        </w:rPr>
        <w:t>/d；近期工程分两阶段实施：一期阶段设计规模2万m</w:t>
      </w:r>
      <w:r>
        <w:rPr>
          <w:rFonts w:hint="eastAsia" w:ascii="仿宋" w:hAnsi="仿宋" w:eastAsia="仿宋"/>
          <w:kern w:val="0"/>
          <w:sz w:val="28"/>
          <w:szCs w:val="32"/>
          <w:vertAlign w:val="superscript"/>
          <w:lang w:val="en-US" w:eastAsia="zh-CN"/>
        </w:rPr>
        <w:t>3</w:t>
      </w:r>
      <w:r>
        <w:rPr>
          <w:rFonts w:hint="eastAsia" w:ascii="仿宋" w:hAnsi="仿宋" w:eastAsia="仿宋"/>
          <w:kern w:val="0"/>
          <w:sz w:val="28"/>
          <w:szCs w:val="32"/>
          <w:lang w:val="en-US" w:eastAsia="zh-CN"/>
        </w:rPr>
        <w:t>/d，实施年份2025年；二期阶段设计规模2万m</w:t>
      </w:r>
      <w:r>
        <w:rPr>
          <w:rFonts w:hint="eastAsia" w:ascii="仿宋" w:hAnsi="仿宋" w:eastAsia="仿宋"/>
          <w:kern w:val="0"/>
          <w:sz w:val="28"/>
          <w:szCs w:val="32"/>
          <w:vertAlign w:val="superscript"/>
          <w:lang w:val="en-US" w:eastAsia="zh-CN"/>
        </w:rPr>
        <w:t>3</w:t>
      </w:r>
      <w:r>
        <w:rPr>
          <w:rFonts w:hint="eastAsia" w:ascii="仿宋" w:hAnsi="仿宋" w:eastAsia="仿宋"/>
          <w:kern w:val="0"/>
          <w:sz w:val="28"/>
          <w:szCs w:val="32"/>
          <w:lang w:val="en-US" w:eastAsia="zh-CN"/>
        </w:rPr>
        <w:t>/d，实施年份2028 年，届时总设计规模将达到4万m</w:t>
      </w:r>
      <w:r>
        <w:rPr>
          <w:rFonts w:hint="eastAsia" w:ascii="仿宋" w:hAnsi="仿宋" w:eastAsia="仿宋"/>
          <w:kern w:val="0"/>
          <w:sz w:val="28"/>
          <w:szCs w:val="32"/>
          <w:vertAlign w:val="superscript"/>
          <w:lang w:val="en-US" w:eastAsia="zh-CN"/>
        </w:rPr>
        <w:t>3</w:t>
      </w:r>
      <w:r>
        <w:rPr>
          <w:rFonts w:hint="eastAsia" w:ascii="仿宋" w:hAnsi="仿宋" w:eastAsia="仿宋"/>
          <w:kern w:val="0"/>
          <w:sz w:val="28"/>
          <w:szCs w:val="32"/>
          <w:lang w:val="en-US" w:eastAsia="zh-CN"/>
        </w:rPr>
        <w:t>/d。</w:t>
      </w:r>
    </w:p>
    <w:p w14:paraId="46612CC6">
      <w:pPr>
        <w:pStyle w:val="4"/>
        <w:spacing w:line="540" w:lineRule="exact"/>
        <w:ind w:firstLine="56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一、施工方案</w:t>
      </w:r>
    </w:p>
    <w:p w14:paraId="13A15801">
      <w:pPr>
        <w:pStyle w:val="4"/>
        <w:spacing w:line="540" w:lineRule="exact"/>
        <w:ind w:firstLine="56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1、前期准备</w:t>
      </w:r>
    </w:p>
    <w:p w14:paraId="3E20499D">
      <w:pPr>
        <w:pStyle w:val="4"/>
        <w:spacing w:line="540" w:lineRule="exact"/>
        <w:ind w:firstLine="56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1）确定施工范围和管道布局，制定详细的施工计划；</w:t>
      </w:r>
    </w:p>
    <w:p w14:paraId="72B99EAF">
      <w:pPr>
        <w:pStyle w:val="4"/>
        <w:spacing w:line="540" w:lineRule="exact"/>
        <w:ind w:firstLine="56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2）进行地质勘察和土质测试，评估施工地点的地质条件；</w:t>
      </w:r>
    </w:p>
    <w:p w14:paraId="5949AD36">
      <w:pPr>
        <w:pStyle w:val="4"/>
        <w:spacing w:line="540" w:lineRule="exact"/>
        <w:ind w:firstLine="56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3）与相关部门沟通办理施工审批，确保施工符合法规和环保要求。</w:t>
      </w:r>
    </w:p>
    <w:p w14:paraId="5E8AD38B">
      <w:pPr>
        <w:pStyle w:val="4"/>
        <w:spacing w:line="540" w:lineRule="exact"/>
        <w:ind w:firstLine="56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2、管道施工工艺</w:t>
      </w:r>
    </w:p>
    <w:p w14:paraId="1C98D0B2">
      <w:pPr>
        <w:pStyle w:val="4"/>
        <w:spacing w:line="540" w:lineRule="exact"/>
        <w:ind w:firstLine="56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1）开挖：根据管道布局图，使用合适的机械设备进行开挖作业，确保开挖深度和宽度符合设计要求；</w:t>
      </w:r>
    </w:p>
    <w:p w14:paraId="6388A540">
      <w:pPr>
        <w:pStyle w:val="4"/>
        <w:spacing w:line="540" w:lineRule="exact"/>
        <w:ind w:firstLine="56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2）管道敷设：按照设计要求，将管道进行逐段敷设，确保管道连接紧密、平整；</w:t>
      </w:r>
    </w:p>
    <w:p w14:paraId="485EB79F">
      <w:pPr>
        <w:pStyle w:val="4"/>
        <w:spacing w:line="540" w:lineRule="exact"/>
        <w:ind w:firstLine="56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3）管道连接：采用合适的连接方式，如橡胶密封圈、焊接等，确保连接坚固、密封；</w:t>
      </w:r>
    </w:p>
    <w:p w14:paraId="6316B80F">
      <w:pPr>
        <w:pStyle w:val="4"/>
        <w:spacing w:line="540" w:lineRule="exact"/>
        <w:ind w:firstLine="56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4）管道测试：在管道敷设完毕后，进行压力测试和漏水测试，确保管道质量合格；</w:t>
      </w:r>
    </w:p>
    <w:p w14:paraId="0B2DB4F0">
      <w:pPr>
        <w:pStyle w:val="4"/>
        <w:spacing w:line="540" w:lineRule="exact"/>
        <w:ind w:firstLine="56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5）回填：将开挖的土方进行回填，采取适当的压实措施，确保地面平整。</w:t>
      </w:r>
    </w:p>
    <w:p w14:paraId="550FC1D3">
      <w:pPr>
        <w:pStyle w:val="4"/>
        <w:spacing w:line="540" w:lineRule="exact"/>
        <w:ind w:firstLine="56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二、管道选择</w:t>
      </w:r>
    </w:p>
    <w:p w14:paraId="639B8755">
      <w:pPr>
        <w:pStyle w:val="4"/>
        <w:spacing w:line="540" w:lineRule="exact"/>
        <w:ind w:firstLine="56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市政工程用排水管按其管材特性可分为刚性管和柔性管（塑料管）两大类。刚性管包括铸铁管、混凝土管、陶制管等。柔性管按其管壁结构可分为实壁塑料管和结构塑料管两大类。实壁管有硬聚氯乙烯管、玻璃钢夹砂管和HDPE管，结构壁管分为单/双壁波纹管、加筋管和缠绕管三大类。</w:t>
      </w:r>
    </w:p>
    <w:p w14:paraId="39052C91">
      <w:pPr>
        <w:pStyle w:val="4"/>
        <w:spacing w:line="540" w:lineRule="exact"/>
        <w:ind w:firstLine="56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本项目的管材选择根据项目所在地实际情况综合考虑水质对管材的腐蚀、管材经济寿命、一次性投资、场地地质条件等因素，拟考虑选择球墨铸铁管。球墨铸铁管属刚性管材，具有一定的防腐能力，柔性好，拉伸率达到 14%，能适应地形变化，使用耐久，安装施工操作比较简单，且有标准配件的特点，但相对价格偏高；根据环翠区污水处理厂的设计规模，拟考虑沿线选择DN1000的规格。</w:t>
      </w:r>
    </w:p>
    <w:p w14:paraId="31565817">
      <w:pPr>
        <w:pStyle w:val="4"/>
        <w:spacing w:line="540" w:lineRule="exact"/>
        <w:ind w:firstLine="56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三、管道布设</w:t>
      </w:r>
    </w:p>
    <w:p w14:paraId="34F5999C">
      <w:pPr>
        <w:pStyle w:val="4"/>
        <w:spacing w:line="540" w:lineRule="exact"/>
        <w:ind w:firstLine="56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1、管道走向将综合考虑地形、地质条件、现有道路和基础设施布局等因素，以最小化施工难度和成本。</w:t>
      </w:r>
    </w:p>
    <w:p w14:paraId="4DB6D97D">
      <w:pPr>
        <w:pStyle w:val="4"/>
        <w:spacing w:line="540" w:lineRule="exact"/>
        <w:ind w:firstLine="56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2、管道埋深需满足防冻、防压、防腐蚀等要求，并考虑地面荷载、地下水位等因素；管道坡度将根据污水自流排放的原则确定，以确保污水能够顺畅流入张村河。</w:t>
      </w:r>
    </w:p>
    <w:p w14:paraId="6DF430D9">
      <w:pPr>
        <w:pStyle w:val="4"/>
        <w:spacing w:line="540" w:lineRule="exact"/>
        <w:ind w:firstLine="56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3、管道沿线将设置必要的检查井、阀门井等附属设施，以便日常维护和检修。在入河排放口处，将设置水质监测站和在线监控设备，以确保排放水质符合国家环保标准。</w:t>
      </w:r>
    </w:p>
    <w:p w14:paraId="563767AD">
      <w:pPr>
        <w:pStyle w:val="4"/>
        <w:spacing w:line="540" w:lineRule="exact"/>
        <w:ind w:firstLine="56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4、管道敷设主要采用埋地敷设，根据不同地段的地质条件和施工条件，选择合适的开挖深度和支护方式。对于特殊地段，如穿越道路、河流等，可采用顶管或架空敷设。</w:t>
      </w:r>
    </w:p>
    <w:p w14:paraId="0229FF51">
      <w:pPr>
        <w:pStyle w:val="4"/>
        <w:spacing w:line="540" w:lineRule="exact"/>
        <w:ind w:firstLine="56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四、排污口建设</w:t>
      </w:r>
    </w:p>
    <w:p w14:paraId="7AFE1643">
      <w:pPr>
        <w:pStyle w:val="4"/>
        <w:spacing w:line="540" w:lineRule="exact"/>
        <w:ind w:firstLine="560"/>
        <w:rPr>
          <w:rFonts w:hint="eastAsia" w:ascii="仿宋" w:hAnsi="仿宋" w:eastAsia="仿宋"/>
          <w:kern w:val="0"/>
          <w:sz w:val="28"/>
          <w:szCs w:val="32"/>
          <w:lang w:val="en-US" w:eastAsia="zh-CN"/>
        </w:rPr>
        <w:sectPr>
          <w:headerReference r:id="rId7" w:type="default"/>
          <w:footerReference r:id="rId8" w:type="default"/>
          <w:pgSz w:w="11906" w:h="16838"/>
          <w:pgMar w:top="1440" w:right="1797" w:bottom="1440" w:left="1797" w:header="851" w:footer="992" w:gutter="0"/>
          <w:pgBorders>
            <w:top w:val="none" w:sz="0" w:space="0"/>
            <w:left w:val="none" w:sz="0" w:space="0"/>
            <w:bottom w:val="none" w:sz="0" w:space="0"/>
            <w:right w:val="none" w:sz="0" w:space="0"/>
          </w:pgBorders>
          <w:pgNumType w:fmt="decimal" w:start="1"/>
          <w:cols w:space="720" w:num="1"/>
          <w:docGrid w:linePitch="312" w:charSpace="0"/>
        </w:sectPr>
      </w:pPr>
      <w:r>
        <w:rPr>
          <w:rFonts w:hint="eastAsia" w:ascii="仿宋" w:hAnsi="仿宋" w:eastAsia="仿宋"/>
          <w:kern w:val="0"/>
          <w:sz w:val="28"/>
          <w:szCs w:val="32"/>
          <w:lang w:val="en-US" w:eastAsia="zh-CN"/>
        </w:rPr>
        <w:t>根据《室外排水设计标准(GB50014-2021)》第 5.2.9 条及条文说明规定：出水口应采取防冲刷、消能、加固等措施，并设置警示标识。当出水口跌水水头较大时，尚应考虑消能。经计算确定，排水量为8万m</w:t>
      </w:r>
      <w:r>
        <w:rPr>
          <w:rFonts w:hint="eastAsia" w:ascii="仿宋" w:hAnsi="仿宋" w:eastAsia="仿宋"/>
          <w:kern w:val="0"/>
          <w:sz w:val="28"/>
          <w:szCs w:val="32"/>
          <w:vertAlign w:val="superscript"/>
          <w:lang w:val="en-US" w:eastAsia="zh-CN"/>
        </w:rPr>
        <w:t>3</w:t>
      </w:r>
      <w:r>
        <w:rPr>
          <w:rFonts w:hint="eastAsia" w:ascii="仿宋" w:hAnsi="仿宋" w:eastAsia="仿宋"/>
          <w:kern w:val="0"/>
          <w:sz w:val="28"/>
          <w:szCs w:val="32"/>
          <w:lang w:val="en-US" w:eastAsia="zh-CN"/>
        </w:rPr>
        <w:t>/d时，此处剩余水头约为 1.2米，需按照《20S517 排水管道出水口》做八字式出水口下游消力池及护砌IⅢI-a型(P27-P29)。入河排污口入河方式为消力池、八字式明渠排放。排水管道正交排入河道，排水口由端墙、翼墙、混凝土底板、下游护砌及消力池等几部分组成。由于河道有护砌，排水口下游护砌同河道护砌，考虑暴雨等影响，设计排水口底板顶与河道跌差按 1.0~3.0m 考虑，消力池设计取不冲流速为6m/s。</w:t>
      </w:r>
    </w:p>
    <w:p w14:paraId="06E70AD5">
      <w:pPr>
        <w:pStyle w:val="4"/>
        <w:spacing w:line="540" w:lineRule="exact"/>
        <w:ind w:firstLine="560"/>
        <w:rPr>
          <w:rFonts w:hint="eastAsia" w:ascii="仿宋" w:hAnsi="仿宋" w:eastAsia="仿宋"/>
          <w:kern w:val="0"/>
          <w:sz w:val="28"/>
          <w:szCs w:val="32"/>
          <w:lang w:val="en-US" w:eastAsia="zh-CN"/>
        </w:rPr>
        <w:sectPr>
          <w:pgSz w:w="11906" w:h="16838"/>
          <w:pgMar w:top="1440" w:right="1797" w:bottom="1440" w:left="1797" w:header="851" w:footer="992" w:gutter="0"/>
          <w:pgBorders>
            <w:top w:val="none" w:sz="0" w:space="0"/>
            <w:left w:val="none" w:sz="0" w:space="0"/>
            <w:bottom w:val="none" w:sz="0" w:space="0"/>
            <w:right w:val="none" w:sz="0" w:space="0"/>
          </w:pgBorders>
          <w:pgNumType w:fmt="decimal"/>
          <w:cols w:space="720" w:num="1"/>
          <w:docGrid w:linePitch="312" w:charSpace="0"/>
        </w:sectPr>
      </w:pPr>
      <w:r>
        <w:drawing>
          <wp:anchor distT="0" distB="0" distL="114300" distR="114300" simplePos="0" relativeHeight="251661312" behindDoc="0" locked="0" layoutInCell="1" allowOverlap="1">
            <wp:simplePos x="0" y="0"/>
            <wp:positionH relativeFrom="column">
              <wp:posOffset>-514350</wp:posOffset>
            </wp:positionH>
            <wp:positionV relativeFrom="paragraph">
              <wp:posOffset>294005</wp:posOffset>
            </wp:positionV>
            <wp:extent cx="6471285" cy="8123555"/>
            <wp:effectExtent l="0" t="0" r="5715" b="10795"/>
            <wp:wrapNone/>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4"/>
                    <a:stretch>
                      <a:fillRect/>
                    </a:stretch>
                  </pic:blipFill>
                  <pic:spPr>
                    <a:xfrm>
                      <a:off x="0" y="0"/>
                      <a:ext cx="6471285" cy="8123555"/>
                    </a:xfrm>
                    <a:prstGeom prst="rect">
                      <a:avLst/>
                    </a:prstGeom>
                    <a:noFill/>
                    <a:ln>
                      <a:noFill/>
                    </a:ln>
                  </pic:spPr>
                </pic:pic>
              </a:graphicData>
            </a:graphic>
          </wp:anchor>
        </w:drawing>
      </w:r>
    </w:p>
    <w:p w14:paraId="5B2340B9">
      <w:pPr>
        <w:pStyle w:val="4"/>
        <w:spacing w:line="540" w:lineRule="exact"/>
        <w:ind w:firstLine="560"/>
        <w:rPr>
          <w:rFonts w:hint="eastAsia" w:ascii="仿宋" w:hAnsi="仿宋" w:eastAsia="仿宋"/>
          <w:kern w:val="0"/>
          <w:sz w:val="28"/>
          <w:szCs w:val="32"/>
          <w:lang w:val="en-US" w:eastAsia="zh-CN"/>
        </w:rPr>
        <w:sectPr>
          <w:pgSz w:w="11906" w:h="16838"/>
          <w:pgMar w:top="1440" w:right="1797" w:bottom="1440" w:left="1797" w:header="851" w:footer="992" w:gutter="0"/>
          <w:pgBorders>
            <w:top w:val="none" w:sz="0" w:space="0"/>
            <w:left w:val="none" w:sz="0" w:space="0"/>
            <w:bottom w:val="none" w:sz="0" w:space="0"/>
            <w:right w:val="none" w:sz="0" w:space="0"/>
          </w:pgBorders>
          <w:pgNumType w:fmt="decimal"/>
          <w:cols w:space="720" w:num="1"/>
          <w:docGrid w:linePitch="312" w:charSpace="0"/>
        </w:sectPr>
      </w:pPr>
      <w:r>
        <w:drawing>
          <wp:anchor distT="0" distB="0" distL="114300" distR="114300" simplePos="0" relativeHeight="251662336" behindDoc="0" locked="0" layoutInCell="1" allowOverlap="1">
            <wp:simplePos x="0" y="0"/>
            <wp:positionH relativeFrom="column">
              <wp:posOffset>-219075</wp:posOffset>
            </wp:positionH>
            <wp:positionV relativeFrom="paragraph">
              <wp:posOffset>55245</wp:posOffset>
            </wp:positionV>
            <wp:extent cx="5699125" cy="8220075"/>
            <wp:effectExtent l="0" t="0" r="15875" b="9525"/>
            <wp:wrapNone/>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5"/>
                    <a:stretch>
                      <a:fillRect/>
                    </a:stretch>
                  </pic:blipFill>
                  <pic:spPr>
                    <a:xfrm>
                      <a:off x="0" y="0"/>
                      <a:ext cx="5699125" cy="8220075"/>
                    </a:xfrm>
                    <a:prstGeom prst="rect">
                      <a:avLst/>
                    </a:prstGeom>
                    <a:noFill/>
                    <a:ln>
                      <a:noFill/>
                    </a:ln>
                  </pic:spPr>
                </pic:pic>
              </a:graphicData>
            </a:graphic>
          </wp:anchor>
        </w:drawing>
      </w:r>
    </w:p>
    <w:p w14:paraId="500B7E53">
      <w:pPr>
        <w:pStyle w:val="6"/>
        <w:bidi w:val="0"/>
        <w:ind w:left="720" w:leftChars="0" w:hanging="300" w:firstLineChars="0"/>
        <w:rPr>
          <w:rFonts w:hint="default"/>
          <w:lang w:val="en-US" w:eastAsia="zh-CN"/>
        </w:rPr>
      </w:pPr>
      <w:r>
        <w:rPr>
          <w:rFonts w:hint="eastAsia"/>
          <w:lang w:val="en-US" w:eastAsia="zh-CN"/>
        </w:rPr>
        <w:t>项目建设期</w:t>
      </w:r>
    </w:p>
    <w:p w14:paraId="3EA1CE76">
      <w:pPr>
        <w:spacing w:line="540" w:lineRule="exact"/>
        <w:ind w:firstLine="560" w:firstLineChars="200"/>
        <w:rPr>
          <w:rFonts w:hint="eastAsia" w:ascii="仿宋" w:hAnsi="仿宋" w:eastAsia="仿宋"/>
          <w:kern w:val="0"/>
          <w:sz w:val="28"/>
          <w:szCs w:val="32"/>
        </w:rPr>
      </w:pPr>
      <w:r>
        <w:rPr>
          <w:rFonts w:hint="eastAsia" w:ascii="仿宋" w:hAnsi="仿宋" w:eastAsia="仿宋"/>
          <w:kern w:val="0"/>
          <w:sz w:val="28"/>
          <w:szCs w:val="32"/>
        </w:rPr>
        <w:t>项目建设期：2025年6月至2026年5月。</w:t>
      </w:r>
    </w:p>
    <w:p w14:paraId="52DB1753">
      <w:pPr>
        <w:pStyle w:val="6"/>
        <w:bidi w:val="0"/>
        <w:ind w:left="720" w:leftChars="0" w:hanging="300" w:firstLineChars="0"/>
        <w:rPr>
          <w:rFonts w:hint="default"/>
          <w:lang w:val="en-US" w:eastAsia="zh-CN"/>
        </w:rPr>
      </w:pPr>
      <w:r>
        <w:rPr>
          <w:rFonts w:hint="eastAsia"/>
          <w:lang w:val="en-US" w:eastAsia="zh-CN"/>
        </w:rPr>
        <w:t>投资及资金筹措</w:t>
      </w:r>
    </w:p>
    <w:p w14:paraId="68650015">
      <w:pPr>
        <w:spacing w:line="540" w:lineRule="exact"/>
        <w:ind w:firstLine="560" w:firstLineChars="200"/>
        <w:rPr>
          <w:rFonts w:hint="eastAsia"/>
        </w:rPr>
      </w:pPr>
      <w:r>
        <w:rPr>
          <w:rFonts w:hint="eastAsia" w:ascii="仿宋" w:hAnsi="仿宋" w:eastAsia="仿宋"/>
          <w:kern w:val="0"/>
          <w:sz w:val="28"/>
          <w:szCs w:val="32"/>
        </w:rPr>
        <w:t>本项目总投资7787.00万元，项目所需资金全部由政府资金自筹解决。</w:t>
      </w:r>
    </w:p>
    <w:p w14:paraId="300C0D1C">
      <w:pPr>
        <w:pStyle w:val="6"/>
        <w:bidi w:val="0"/>
        <w:ind w:left="720" w:leftChars="0" w:hanging="300" w:firstLineChars="0"/>
        <w:rPr>
          <w:rFonts w:hint="default"/>
          <w:lang w:val="en-US" w:eastAsia="zh-CN"/>
        </w:rPr>
      </w:pPr>
      <w:r>
        <w:rPr>
          <w:rFonts w:hint="eastAsia"/>
          <w:lang w:val="en-US" w:eastAsia="zh-CN"/>
        </w:rPr>
        <w:t>主要经济技术指标</w:t>
      </w:r>
    </w:p>
    <w:tbl>
      <w:tblPr>
        <w:tblStyle w:val="19"/>
        <w:tblpPr w:leftFromText="180" w:rightFromText="180" w:vertAnchor="text" w:horzAnchor="page" w:tblpX="2386" w:tblpY="410"/>
        <w:tblOverlap w:val="never"/>
        <w:tblW w:w="74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73"/>
        <w:gridCol w:w="2642"/>
        <w:gridCol w:w="736"/>
        <w:gridCol w:w="1750"/>
        <w:gridCol w:w="1639"/>
      </w:tblGrid>
      <w:tr w14:paraId="2DF71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0" w:hRule="atLeast"/>
        </w:trPr>
        <w:tc>
          <w:tcPr>
            <w:tcW w:w="7440" w:type="dxa"/>
            <w:gridSpan w:val="5"/>
            <w:tcBorders>
              <w:top w:val="nil"/>
              <w:left w:val="nil"/>
              <w:bottom w:val="single" w:color="000000" w:sz="4" w:space="0"/>
              <w:right w:val="nil"/>
            </w:tcBorders>
            <w:shd w:val="clear" w:color="auto" w:fill="auto"/>
            <w:noWrap/>
            <w:vAlign w:val="center"/>
          </w:tcPr>
          <w:p w14:paraId="3004646A">
            <w:pPr>
              <w:keepNext w:val="0"/>
              <w:keepLines w:val="0"/>
              <w:widowControl/>
              <w:suppressLineNumbers w:val="0"/>
              <w:spacing w:before="0" w:beforeAutospacing="0" w:after="0" w:afterAutospacing="0"/>
              <w:ind w:left="0" w:right="0"/>
              <w:jc w:val="both"/>
              <w:textAlignment w:val="center"/>
              <w:rPr>
                <w:rFonts w:hint="default"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表1-1           主要经济技术指标表</w:t>
            </w:r>
          </w:p>
        </w:tc>
      </w:tr>
      <w:tr w14:paraId="2F341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5"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511B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2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B6D3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项目组成</w:t>
            </w:r>
          </w:p>
        </w:tc>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A974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83C6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16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A8AF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备注</w:t>
            </w:r>
          </w:p>
        </w:tc>
      </w:tr>
      <w:tr w14:paraId="536A4A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E837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E9F3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排水管道</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FE8E3">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6F4C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11000.00 </w:t>
            </w:r>
          </w:p>
        </w:tc>
        <w:tc>
          <w:tcPr>
            <w:tcW w:w="16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13F9D">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14:paraId="3846A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EEC6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2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54BA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球墨铸铁管(DN1000)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8BAB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m</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F6E3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11000.00 </w:t>
            </w:r>
          </w:p>
        </w:tc>
        <w:tc>
          <w:tcPr>
            <w:tcW w:w="16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0D9F8">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14:paraId="378FF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5DF6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2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E055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球墨铸钢管(DN1000)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6FA6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m</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1F69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300.00 </w:t>
            </w:r>
          </w:p>
        </w:tc>
        <w:tc>
          <w:tcPr>
            <w:tcW w:w="16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E01B2">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14:paraId="71F5A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44E0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2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E3E2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检查井</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72A2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E330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130.00 </w:t>
            </w:r>
          </w:p>
        </w:tc>
        <w:tc>
          <w:tcPr>
            <w:tcW w:w="16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24113">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14:paraId="7E2CD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6"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917A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2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36C2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挖填土方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93B5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m³</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C7D5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110000.0 </w:t>
            </w:r>
          </w:p>
        </w:tc>
        <w:tc>
          <w:tcPr>
            <w:tcW w:w="16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01747">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14:paraId="0A683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FFBB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2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8497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路面恢复</w:t>
            </w:r>
          </w:p>
        </w:tc>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EFC4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7AAC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23650</w:t>
            </w:r>
          </w:p>
        </w:tc>
        <w:tc>
          <w:tcPr>
            <w:tcW w:w="16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A9A16">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14:paraId="59FB5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3DA0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2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4305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盲沟</w:t>
            </w:r>
          </w:p>
        </w:tc>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5FF7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m</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30E8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1000.00 </w:t>
            </w:r>
          </w:p>
        </w:tc>
        <w:tc>
          <w:tcPr>
            <w:tcW w:w="16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7BE1A">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14:paraId="7CF9F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481C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2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C8AF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排气阀</w:t>
            </w:r>
          </w:p>
        </w:tc>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7761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A7F3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130.00 </w:t>
            </w:r>
          </w:p>
        </w:tc>
        <w:tc>
          <w:tcPr>
            <w:tcW w:w="16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6E128">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14:paraId="65E06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6"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5B3C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2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054D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排泥阀</w:t>
            </w:r>
          </w:p>
        </w:tc>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9DD3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8EAE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AE61A">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14:paraId="6571DD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6"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91E5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93E4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消力池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456A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1DA7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A56B1">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14:paraId="39484C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6"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15CB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1E17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排水口</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BD50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3DFD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642BC">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14:paraId="18D9B7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6"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DF07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ED84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在线监测系统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8FF6B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D50C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A35AD">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14:paraId="6BEF44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EADC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6BD7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总投资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3EC0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万元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3F68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7787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B9872">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14:paraId="2EAC3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A8D7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F54C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建设投资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6C9A6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万元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56AA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7787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DD072">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14:paraId="7CA1E8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1A71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E3E9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建设期利息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0A6D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万元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59FC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E23B4">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14:paraId="792D6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EAC6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1537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资金筹措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03E3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万元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B693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7787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1E3BD">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14:paraId="7C5EFA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6B07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486D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项目单位自筹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3755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万元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6142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7787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8CA03">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14:paraId="3E994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3EF9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8609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申请银行贷款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5CBF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万元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5883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BD370">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14:paraId="5AAF19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A52A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7644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F414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月</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04C7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92166">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bl>
    <w:p w14:paraId="7F872855">
      <w:pPr>
        <w:pStyle w:val="3"/>
        <w:rPr>
          <w:rFonts w:hint="default"/>
          <w:lang w:val="en-US" w:eastAsia="zh-CN"/>
        </w:rPr>
        <w:sectPr>
          <w:pgSz w:w="11906" w:h="16838"/>
          <w:pgMar w:top="1440" w:right="1797" w:bottom="1440" w:left="1797" w:header="851" w:footer="992" w:gutter="0"/>
          <w:pgBorders>
            <w:top w:val="none" w:sz="0" w:space="0"/>
            <w:left w:val="none" w:sz="0" w:space="0"/>
            <w:bottom w:val="none" w:sz="0" w:space="0"/>
            <w:right w:val="none" w:sz="0" w:space="0"/>
          </w:pgBorders>
          <w:pgNumType w:fmt="decimal"/>
          <w:cols w:space="720" w:num="1"/>
          <w:docGrid w:linePitch="312" w:charSpace="0"/>
        </w:sectPr>
      </w:pPr>
    </w:p>
    <w:p w14:paraId="098743AF">
      <w:pPr>
        <w:pStyle w:val="6"/>
        <w:bidi w:val="0"/>
        <w:ind w:left="720" w:leftChars="0" w:hanging="300" w:firstLineChars="0"/>
        <w:rPr>
          <w:rFonts w:hint="default"/>
          <w:lang w:val="en-US" w:eastAsia="zh-CN"/>
        </w:rPr>
      </w:pPr>
      <w:r>
        <w:rPr>
          <w:rFonts w:hint="eastAsia"/>
          <w:lang w:val="en-US" w:eastAsia="zh-CN"/>
        </w:rPr>
        <w:t>环境影响</w:t>
      </w:r>
    </w:p>
    <w:p w14:paraId="490470DA">
      <w:pPr>
        <w:numPr>
          <w:ilvl w:val="0"/>
          <w:numId w:val="3"/>
        </w:num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尾水排放影响</w:t>
      </w:r>
    </w:p>
    <w:p w14:paraId="4857EC36">
      <w:pPr>
        <w:numPr>
          <w:ilvl w:val="0"/>
          <w:numId w:val="0"/>
        </w:num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根据《威海市环翠区污水处理厂 张村河入河排污口设置论证报告》分析，</w:t>
      </w:r>
      <w:r>
        <w:rPr>
          <w:rFonts w:hint="eastAsia" w:ascii="仿宋" w:hAnsi="仿宋" w:eastAsia="仿宋"/>
          <w:kern w:val="0"/>
          <w:sz w:val="28"/>
          <w:szCs w:val="32"/>
        </w:rPr>
        <w:t>环翠区污水处理厂对主要污染物去除率</w:t>
      </w:r>
      <w:r>
        <w:rPr>
          <w:rFonts w:hint="eastAsia" w:ascii="仿宋" w:hAnsi="仿宋" w:eastAsia="仿宋"/>
          <w:kern w:val="0"/>
          <w:sz w:val="28"/>
          <w:szCs w:val="32"/>
          <w:lang w:val="en-US" w:eastAsia="zh-CN"/>
        </w:rPr>
        <w:t>为</w:t>
      </w:r>
      <w:r>
        <w:rPr>
          <w:rFonts w:hint="eastAsia" w:ascii="仿宋" w:hAnsi="仿宋" w:eastAsia="仿宋"/>
          <w:kern w:val="0"/>
          <w:sz w:val="28"/>
          <w:szCs w:val="32"/>
        </w:rPr>
        <w:t>：COD</w:t>
      </w:r>
      <w:r>
        <w:rPr>
          <w:rFonts w:hint="eastAsia" w:ascii="仿宋" w:hAnsi="仿宋" w:eastAsia="仿宋"/>
          <w:kern w:val="0"/>
          <w:sz w:val="28"/>
          <w:szCs w:val="32"/>
          <w:lang w:val="en-US" w:eastAsia="zh-CN"/>
        </w:rPr>
        <w:t xml:space="preserve"> </w:t>
      </w:r>
      <w:r>
        <w:rPr>
          <w:rFonts w:hint="eastAsia" w:ascii="仿宋" w:hAnsi="仿宋" w:eastAsia="仿宋"/>
          <w:kern w:val="0"/>
          <w:sz w:val="28"/>
          <w:szCs w:val="32"/>
        </w:rPr>
        <w:t>94.0%；BOD₅98.3%；NH₃-N 97.3%；SS 97.3%；总氮 84.9%；总磷 96.2%</w:t>
      </w:r>
      <w:r>
        <w:rPr>
          <w:rFonts w:hint="eastAsia" w:ascii="仿宋" w:hAnsi="仿宋" w:eastAsia="仿宋"/>
          <w:kern w:val="0"/>
          <w:sz w:val="28"/>
          <w:szCs w:val="32"/>
          <w:lang w:eastAsia="zh-CN"/>
        </w:rPr>
        <w:t>，</w:t>
      </w:r>
      <w:r>
        <w:rPr>
          <w:rFonts w:hint="eastAsia" w:ascii="仿宋" w:hAnsi="仿宋" w:eastAsia="仿宋"/>
          <w:kern w:val="0"/>
          <w:sz w:val="28"/>
          <w:szCs w:val="32"/>
          <w:lang w:val="en-US" w:eastAsia="zh-CN"/>
        </w:rPr>
        <w:t>污染物总体去除率较高。</w:t>
      </w:r>
    </w:p>
    <w:p w14:paraId="0A988078">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处理厂</w:t>
      </w:r>
      <w:r>
        <w:rPr>
          <w:rFonts w:hint="eastAsia" w:ascii="仿宋" w:hAnsi="仿宋" w:eastAsia="仿宋"/>
          <w:kern w:val="0"/>
          <w:sz w:val="28"/>
          <w:szCs w:val="32"/>
        </w:rPr>
        <w:t>出水指标：COD、BOD₅、SS、NH₃-N、总氮、总磷满足《地表水环境质量标准》（GB 3838-2002）Ⅳ类；全盐量满足《流域水污染物综合排放标准 第5部分：半岛流域》（DB37/3416.5-2018）表2二级；其他污染因子满足《城镇污水处理厂污染物排放标准》（GB 18918-2002）及修改单一级A要求。</w:t>
      </w:r>
      <w:r>
        <w:rPr>
          <w:rFonts w:hint="eastAsia" w:ascii="仿宋" w:hAnsi="仿宋" w:eastAsia="仿宋"/>
          <w:kern w:val="0"/>
          <w:sz w:val="28"/>
          <w:szCs w:val="32"/>
          <w:lang w:val="en-US" w:eastAsia="zh-CN"/>
        </w:rPr>
        <w:t>处理厂尾水符合国家污水、污染物排放标准。</w:t>
      </w:r>
    </w:p>
    <w:p w14:paraId="76B6CFF0">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根据《论证报告》相关水利计算及水体纳污能力计算，拟设置的入河排污口主要污染物量小于水体纳污量，入河排污口设置可满足功能区纳污总量限制要求。（《论证报告》计算结果见下表）</w:t>
      </w:r>
    </w:p>
    <w:tbl>
      <w:tblPr>
        <w:tblStyle w:val="19"/>
        <w:tblW w:w="891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950"/>
        <w:gridCol w:w="1860"/>
        <w:gridCol w:w="1935"/>
        <w:gridCol w:w="1530"/>
        <w:gridCol w:w="1644"/>
      </w:tblGrid>
      <w:tr w14:paraId="1C7A0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8919" w:type="dxa"/>
            <w:gridSpan w:val="5"/>
            <w:tcBorders>
              <w:top w:val="nil"/>
              <w:left w:val="nil"/>
              <w:bottom w:val="nil"/>
              <w:right w:val="nil"/>
            </w:tcBorders>
            <w:shd w:val="clear" w:color="auto" w:fill="auto"/>
            <w:vAlign w:val="center"/>
          </w:tcPr>
          <w:p w14:paraId="1D9D5AD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仿宋" w:hAnsi="仿宋" w:eastAsia="仿宋"/>
                <w:kern w:val="0"/>
                <w:sz w:val="28"/>
                <w:szCs w:val="32"/>
                <w:lang w:val="en-US" w:eastAsia="zh-CN"/>
              </w:rPr>
              <w:t>表1-2 张村河入河排污口上游 500m 至张村河入海口计算单元纳污能力与入河污染物比较</w:t>
            </w:r>
          </w:p>
        </w:tc>
      </w:tr>
      <w:tr w14:paraId="6AE826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19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02D9D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 目</w:t>
            </w:r>
          </w:p>
        </w:tc>
        <w:tc>
          <w:tcPr>
            <w:tcW w:w="37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3C3BA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P=75%</w:t>
            </w:r>
          </w:p>
        </w:tc>
        <w:tc>
          <w:tcPr>
            <w:tcW w:w="31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4D934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P=90%</w:t>
            </w:r>
          </w:p>
        </w:tc>
      </w:tr>
      <w:tr w14:paraId="62A22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9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78E05D">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4"/>
                <w:szCs w:val="24"/>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35AF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COD(t/a)</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40815">
            <w:pPr>
              <w:keepNext w:val="0"/>
              <w:keepLines w:val="0"/>
              <w:widowControl/>
              <w:suppressLineNumbers w:val="0"/>
              <w:spacing w:before="0" w:beforeAutospacing="0" w:after="0" w:afterAutospacing="0"/>
              <w:ind w:left="0" w:right="0" w:firstLineChars="10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NH</w:t>
            </w:r>
            <w:r>
              <w:rPr>
                <w:rFonts w:hint="default" w:ascii="Calibri" w:hAnsi="Calibri" w:eastAsia="宋体" w:cs="Calibri"/>
                <w:i w:val="0"/>
                <w:iCs w:val="0"/>
                <w:color w:val="000000"/>
                <w:kern w:val="0"/>
                <w:sz w:val="24"/>
                <w:szCs w:val="24"/>
                <w:u w:val="none"/>
                <w:lang w:val="en-US" w:eastAsia="zh-CN" w:bidi="ar"/>
              </w:rPr>
              <w:t>₃</w:t>
            </w:r>
            <w:r>
              <w:rPr>
                <w:rFonts w:hint="eastAsia" w:ascii="宋体" w:hAnsi="宋体" w:eastAsia="宋体" w:cs="宋体"/>
                <w:i w:val="0"/>
                <w:iCs w:val="0"/>
                <w:color w:val="000000"/>
                <w:kern w:val="0"/>
                <w:sz w:val="24"/>
                <w:szCs w:val="24"/>
                <w:u w:val="none"/>
                <w:lang w:val="en-US" w:eastAsia="zh-CN" w:bidi="ar"/>
              </w:rPr>
              <w:t>-N(t/a)</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BFE4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COD(t/a)</w:t>
            </w:r>
          </w:p>
        </w:tc>
        <w:tc>
          <w:tcPr>
            <w:tcW w:w="16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46EA2">
            <w:pPr>
              <w:keepNext w:val="0"/>
              <w:keepLines w:val="0"/>
              <w:widowControl/>
              <w:suppressLineNumbers w:val="0"/>
              <w:spacing w:before="0" w:beforeAutospacing="0" w:after="0" w:afterAutospacing="0"/>
              <w:ind w:left="0" w:right="0" w:firstLineChars="10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NH</w:t>
            </w:r>
            <w:r>
              <w:rPr>
                <w:rFonts w:hint="default" w:ascii="Calibri" w:hAnsi="Calibri" w:eastAsia="宋体" w:cs="Calibri"/>
                <w:i w:val="0"/>
                <w:iCs w:val="0"/>
                <w:color w:val="000000"/>
                <w:kern w:val="0"/>
                <w:sz w:val="24"/>
                <w:szCs w:val="24"/>
                <w:u w:val="none"/>
                <w:lang w:val="en-US" w:eastAsia="zh-CN" w:bidi="ar"/>
              </w:rPr>
              <w:t>₃</w:t>
            </w:r>
            <w:r>
              <w:rPr>
                <w:rFonts w:hint="eastAsia" w:ascii="宋体" w:hAnsi="宋体" w:eastAsia="宋体" w:cs="宋体"/>
                <w:i w:val="0"/>
                <w:iCs w:val="0"/>
                <w:color w:val="000000"/>
                <w:kern w:val="0"/>
                <w:sz w:val="24"/>
                <w:szCs w:val="24"/>
                <w:u w:val="none"/>
                <w:lang w:val="en-US" w:eastAsia="zh-CN" w:bidi="ar"/>
              </w:rPr>
              <w:t>-N(t/a)</w:t>
            </w:r>
          </w:p>
        </w:tc>
      </w:tr>
      <w:tr w14:paraId="6565CC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3BC2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河段纳污能力</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9DF2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917.23</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90D1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46.84</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A0B0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748.74</w:t>
            </w:r>
          </w:p>
        </w:tc>
        <w:tc>
          <w:tcPr>
            <w:tcW w:w="16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BEE7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37.8</w:t>
            </w:r>
          </w:p>
        </w:tc>
      </w:tr>
      <w:tr w14:paraId="2C2DB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ACA5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入河口排污量</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393A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541.63</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4BAB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19.34</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301F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541.63</w:t>
            </w:r>
          </w:p>
        </w:tc>
        <w:tc>
          <w:tcPr>
            <w:tcW w:w="16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9713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19.34</w:t>
            </w:r>
          </w:p>
        </w:tc>
      </w:tr>
      <w:tr w14:paraId="0C8AB5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9BDB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剩余纳污量</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6970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375.6</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7ECE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27.5</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4DDC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207.11</w:t>
            </w:r>
          </w:p>
        </w:tc>
        <w:tc>
          <w:tcPr>
            <w:tcW w:w="16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EDBD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18.46</w:t>
            </w:r>
          </w:p>
        </w:tc>
      </w:tr>
    </w:tbl>
    <w:p w14:paraId="595E2867">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张村河的目标水质为Ⅴ类（COD 40mg/L，氨氮 2.0mg/L），威海市环翠区污水处理厂设计出水水质为准Ⅳ类（COD 30mg/L，氨氮 1.5mg/L），尾水水质优于张村河的目标水质。</w:t>
      </w:r>
    </w:p>
    <w:p w14:paraId="67CB791D">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在实际运行中，尾水通过全流程在线监测系统实时监控，配合缓释增氧等工程措施，确保排入张村河的水体溶解氧、浊度等指标同步提升。这一设计策略既避免了尾水对河道的潜在冲击，还可通过补充生态基流促进河道自净能力恢复，形成“水质保障—生态增益”的良性循环，从源头消解了尾水排放的环境风险。</w:t>
      </w:r>
    </w:p>
    <w:p w14:paraId="0057221C">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综上所述，威海市环翠区污水处理厂通过深度处理工艺确保主要污染物去除率全面达到或优于国家标准，从源头削减入河负荷；配套实时在线监测、生态缓冲湿地及应急调储设施，构建“监测—调控—应急”全链条风险防控体系，保障尾水排放稳定可控；同时，其优质尾水可作为生态基流补给河道，缓解枯水期水量短缺问题，促进水体自净能力与水生生态恢复，最终形成“高标准排放—低风险管控—生态化回补”的良性闭环，为张村河水环境质量改善与生态功能提升提供可持续支撑，尾水对河道环境负面影响较小。</w:t>
      </w:r>
    </w:p>
    <w:p w14:paraId="368C9ABE">
      <w:pPr>
        <w:spacing w:line="540" w:lineRule="exact"/>
        <w:ind w:firstLine="560" w:firstLineChars="200"/>
        <w:rPr>
          <w:rFonts w:hint="default" w:ascii="仿宋" w:hAnsi="仿宋" w:eastAsia="仿宋"/>
          <w:kern w:val="0"/>
          <w:sz w:val="28"/>
          <w:szCs w:val="32"/>
          <w:lang w:val="en-US" w:eastAsia="zh-CN"/>
        </w:rPr>
      </w:pPr>
      <w:r>
        <w:rPr>
          <w:rFonts w:hint="eastAsia" w:ascii="仿宋" w:hAnsi="仿宋" w:eastAsia="仿宋"/>
          <w:kern w:val="0"/>
          <w:sz w:val="28"/>
          <w:szCs w:val="32"/>
          <w:lang w:val="en-US" w:eastAsia="zh-CN"/>
        </w:rPr>
        <w:t>二、污水处理对水环境的正面影响</w:t>
      </w:r>
    </w:p>
    <w:p w14:paraId="3B3A8767">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按环翠区污水处理厂进出口浓度计算，同时考虑30%的中水回用，污水处理对于COD 减排量12341.53 t/a，NH₃-N 减排量 992.08 t/a，具体主要污染物减排情况详见下表。</w:t>
      </w:r>
    </w:p>
    <w:tbl>
      <w:tblPr>
        <w:tblStyle w:val="19"/>
        <w:tblpPr w:leftFromText="180" w:rightFromText="180" w:vertAnchor="text" w:horzAnchor="page" w:tblpX="932" w:tblpY="495"/>
        <w:tblOverlap w:val="never"/>
        <w:tblW w:w="976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421"/>
        <w:gridCol w:w="1219"/>
        <w:gridCol w:w="1264"/>
        <w:gridCol w:w="1358"/>
        <w:gridCol w:w="1460"/>
        <w:gridCol w:w="1347"/>
        <w:gridCol w:w="1694"/>
      </w:tblGrid>
      <w:tr w14:paraId="057DB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9" w:hRule="atLeast"/>
        </w:trPr>
        <w:tc>
          <w:tcPr>
            <w:tcW w:w="9763" w:type="dxa"/>
            <w:gridSpan w:val="7"/>
            <w:tcBorders>
              <w:top w:val="nil"/>
              <w:left w:val="nil"/>
              <w:bottom w:val="nil"/>
              <w:right w:val="nil"/>
            </w:tcBorders>
            <w:shd w:val="clear" w:color="auto" w:fill="auto"/>
            <w:vAlign w:val="top"/>
          </w:tcPr>
          <w:p w14:paraId="69FFE536">
            <w:pPr>
              <w:keepNext w:val="0"/>
              <w:keepLines w:val="0"/>
              <w:widowControl/>
              <w:suppressLineNumbers w:val="0"/>
              <w:spacing w:before="0" w:beforeAutospacing="0" w:after="0" w:afterAutospacing="0"/>
              <w:ind w:left="0" w:right="0"/>
              <w:jc w:val="center"/>
              <w:textAlignment w:val="top"/>
              <w:rPr>
                <w:rFonts w:hint="default" w:ascii="Arial" w:hAnsi="Arial" w:cs="Arial"/>
                <w:b/>
                <w:bCs/>
                <w:i w:val="0"/>
                <w:iCs w:val="0"/>
                <w:color w:val="000000"/>
                <w:sz w:val="28"/>
                <w:szCs w:val="28"/>
                <w:u w:val="none"/>
              </w:rPr>
            </w:pPr>
            <w:r>
              <w:rPr>
                <w:rFonts w:hint="eastAsia" w:ascii="仿宋" w:hAnsi="仿宋" w:eastAsia="仿宋"/>
                <w:kern w:val="0"/>
                <w:sz w:val="28"/>
                <w:szCs w:val="32"/>
                <w:lang w:val="en-US" w:eastAsia="zh-CN"/>
              </w:rPr>
              <w:t>表1-3</w:t>
            </w:r>
            <w:r>
              <w:rPr>
                <w:rFonts w:hint="default" w:ascii="黑体" w:hAnsi="宋体" w:eastAsia="黑体" w:cs="黑体"/>
                <w:i w:val="0"/>
                <w:iCs w:val="0"/>
                <w:color w:val="000000"/>
                <w:kern w:val="0"/>
                <w:sz w:val="28"/>
                <w:szCs w:val="28"/>
                <w:u w:val="none"/>
                <w:lang w:val="en-US" w:eastAsia="zh-CN" w:bidi="ar"/>
              </w:rPr>
              <w:t xml:space="preserve"> </w:t>
            </w:r>
            <w:r>
              <w:rPr>
                <w:rFonts w:hint="eastAsia" w:ascii="仿宋" w:hAnsi="仿宋" w:eastAsia="仿宋"/>
                <w:kern w:val="0"/>
                <w:sz w:val="28"/>
                <w:szCs w:val="32"/>
                <w:lang w:val="en-US" w:eastAsia="zh-CN"/>
              </w:rPr>
              <w:t>入河排污口建成后区域主要污染物减排量</w:t>
            </w:r>
          </w:p>
        </w:tc>
      </w:tr>
      <w:tr w14:paraId="0873D3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7" w:hRule="atLeast"/>
        </w:trPr>
        <w:tc>
          <w:tcPr>
            <w:tcW w:w="1421" w:type="dxa"/>
            <w:tcBorders>
              <w:top w:val="nil"/>
              <w:left w:val="nil"/>
              <w:bottom w:val="nil"/>
              <w:right w:val="nil"/>
            </w:tcBorders>
            <w:shd w:val="clear" w:color="auto" w:fill="auto"/>
            <w:noWrap/>
            <w:vAlign w:val="bottom"/>
          </w:tcPr>
          <w:p w14:paraId="2F412DB2">
            <w:pPr>
              <w:keepNext w:val="0"/>
              <w:keepLines w:val="0"/>
              <w:suppressLineNumbers w:val="0"/>
              <w:spacing w:before="0" w:beforeAutospacing="0" w:after="0" w:afterAutospacing="0"/>
              <w:ind w:left="0" w:right="0"/>
              <w:rPr>
                <w:rFonts w:hint="default" w:ascii="Arial" w:hAnsi="Arial" w:cs="Arial"/>
                <w:i w:val="0"/>
                <w:iCs w:val="0"/>
                <w:color w:val="000000"/>
                <w:sz w:val="22"/>
                <w:szCs w:val="22"/>
                <w:u w:val="none"/>
              </w:rPr>
            </w:pPr>
          </w:p>
        </w:tc>
        <w:tc>
          <w:tcPr>
            <w:tcW w:w="6648" w:type="dxa"/>
            <w:gridSpan w:val="5"/>
            <w:tcBorders>
              <w:top w:val="nil"/>
              <w:left w:val="nil"/>
              <w:bottom w:val="nil"/>
              <w:right w:val="nil"/>
            </w:tcBorders>
            <w:shd w:val="clear" w:color="auto" w:fill="auto"/>
            <w:noWrap/>
            <w:vAlign w:val="bottom"/>
          </w:tcPr>
          <w:p w14:paraId="30EE99D5">
            <w:pPr>
              <w:keepNext w:val="0"/>
              <w:keepLines w:val="0"/>
              <w:suppressLineNumbers w:val="0"/>
              <w:spacing w:before="0" w:beforeAutospacing="0" w:after="0" w:afterAutospacing="0"/>
              <w:ind w:left="0" w:right="0"/>
              <w:rPr>
                <w:rFonts w:hint="default" w:ascii="Arial" w:hAnsi="Arial" w:cs="Arial"/>
                <w:i w:val="0"/>
                <w:iCs w:val="0"/>
                <w:color w:val="000000"/>
                <w:sz w:val="22"/>
                <w:szCs w:val="22"/>
                <w:u w:val="none"/>
              </w:rPr>
            </w:pPr>
          </w:p>
        </w:tc>
        <w:tc>
          <w:tcPr>
            <w:tcW w:w="1694" w:type="dxa"/>
            <w:tcBorders>
              <w:top w:val="nil"/>
              <w:left w:val="nil"/>
              <w:bottom w:val="nil"/>
              <w:right w:val="nil"/>
            </w:tcBorders>
            <w:shd w:val="clear" w:color="auto" w:fill="auto"/>
            <w:vAlign w:val="center"/>
          </w:tcPr>
          <w:p w14:paraId="7DF3C826">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6"/>
                <w:szCs w:val="26"/>
                <w:u w:val="none"/>
              </w:rPr>
            </w:pPr>
            <w:r>
              <w:rPr>
                <w:rFonts w:hint="default" w:ascii="宋体" w:hAnsi="宋体" w:eastAsia="宋体" w:cs="宋体"/>
                <w:i w:val="0"/>
                <w:iCs w:val="0"/>
                <w:color w:val="000000"/>
                <w:kern w:val="0"/>
                <w:sz w:val="26"/>
                <w:szCs w:val="26"/>
                <w:u w:val="none"/>
                <w:lang w:val="en-US" w:eastAsia="zh-CN" w:bidi="ar"/>
              </w:rPr>
              <w:t>单位：t/a</w:t>
            </w:r>
          </w:p>
        </w:tc>
      </w:tr>
      <w:tr w14:paraId="4DA5F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1B35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项 目</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900F0">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COD</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4380B">
            <w:pPr>
              <w:keepNext w:val="0"/>
              <w:keepLines w:val="0"/>
              <w:widowControl/>
              <w:suppressLineNumbers w:val="0"/>
              <w:spacing w:before="0" w:beforeAutospacing="0" w:after="0" w:afterAutospacing="0"/>
              <w:ind w:left="0" w:right="0"/>
              <w:jc w:val="center"/>
              <w:textAlignment w:val="center"/>
              <w:rPr>
                <w:rFonts w:hint="default" w:ascii="Calibri" w:hAnsi="Calibri" w:cs="Calibri"/>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BOD</w:t>
            </w:r>
            <w:r>
              <w:rPr>
                <w:rFonts w:hint="default" w:ascii="Calibri" w:hAnsi="Calibri" w:eastAsia="宋体" w:cs="Calibri"/>
                <w:i w:val="0"/>
                <w:iCs w:val="0"/>
                <w:color w:val="000000"/>
                <w:kern w:val="0"/>
                <w:sz w:val="24"/>
                <w:szCs w:val="24"/>
                <w:u w:val="none"/>
                <w:lang w:val="en-US" w:eastAsia="zh-CN" w:bidi="ar"/>
              </w:rPr>
              <w:t>₅</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006DC">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SS</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430DA">
            <w:pPr>
              <w:keepNext w:val="0"/>
              <w:keepLines w:val="0"/>
              <w:widowControl/>
              <w:suppressLineNumbers w:val="0"/>
              <w:spacing w:before="0" w:beforeAutospacing="0" w:after="0" w:afterAutospacing="0"/>
              <w:ind w:left="0" w:right="0" w:firstLineChars="100"/>
              <w:jc w:val="left"/>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NH</w:t>
            </w:r>
            <w:r>
              <w:rPr>
                <w:rFonts w:hint="default" w:ascii="Calibri" w:hAnsi="Calibri" w:eastAsia="宋体" w:cs="Calibri"/>
                <w:i w:val="0"/>
                <w:iCs w:val="0"/>
                <w:color w:val="000000"/>
                <w:kern w:val="0"/>
                <w:sz w:val="24"/>
                <w:szCs w:val="24"/>
                <w:u w:val="none"/>
                <w:lang w:val="en-US" w:eastAsia="zh-CN" w:bidi="ar"/>
              </w:rPr>
              <w:t>₃</w:t>
            </w:r>
            <w:r>
              <w:rPr>
                <w:rFonts w:hint="default" w:ascii="宋体" w:hAnsi="宋体" w:eastAsia="宋体" w:cs="宋体"/>
                <w:i w:val="0"/>
                <w:iCs w:val="0"/>
                <w:color w:val="000000"/>
                <w:kern w:val="0"/>
                <w:sz w:val="24"/>
                <w:szCs w:val="24"/>
                <w:u w:val="none"/>
                <w:lang w:val="en-US" w:eastAsia="zh-CN" w:bidi="ar"/>
              </w:rPr>
              <w:t>-N</w:t>
            </w:r>
          </w:p>
        </w:tc>
        <w:tc>
          <w:tcPr>
            <w:tcW w:w="1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5E957">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总氮</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4D23D">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总磷</w:t>
            </w:r>
          </w:p>
        </w:tc>
      </w:tr>
      <w:tr w14:paraId="0C22D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4" w:hRule="atLeast"/>
        </w:trPr>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274D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建成前</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7BE80">
            <w:pPr>
              <w:keepNext w:val="0"/>
              <w:keepLines w:val="0"/>
              <w:widowControl/>
              <w:suppressLineNumbers w:val="0"/>
              <w:spacing w:before="0" w:beforeAutospacing="0" w:after="0" w:afterAutospacing="0"/>
              <w:ind w:left="0" w:right="0"/>
              <w:jc w:val="both"/>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 xml:space="preserve">12883.16 </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F2E43">
            <w:pPr>
              <w:keepNext w:val="0"/>
              <w:keepLines w:val="0"/>
              <w:widowControl/>
              <w:suppressLineNumbers w:val="0"/>
              <w:spacing w:before="0" w:beforeAutospacing="0" w:after="0" w:afterAutospacing="0"/>
              <w:ind w:left="0" w:right="0"/>
              <w:jc w:val="both"/>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 xml:space="preserve">7956.63 </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CEB4F">
            <w:pPr>
              <w:keepNext w:val="0"/>
              <w:keepLines w:val="0"/>
              <w:widowControl/>
              <w:suppressLineNumbers w:val="0"/>
              <w:spacing w:before="0" w:beforeAutospacing="0" w:after="0" w:afterAutospacing="0"/>
              <w:ind w:left="0" w:right="0"/>
              <w:jc w:val="both"/>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 xml:space="preserve">8042.44 </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C1CD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 xml:space="preserve">1011.42 </w:t>
            </w:r>
          </w:p>
        </w:tc>
        <w:tc>
          <w:tcPr>
            <w:tcW w:w="1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DD198">
            <w:pPr>
              <w:keepNext w:val="0"/>
              <w:keepLines w:val="0"/>
              <w:widowControl/>
              <w:suppressLineNumbers w:val="0"/>
              <w:spacing w:before="0" w:beforeAutospacing="0" w:after="0" w:afterAutospacing="0"/>
              <w:ind w:left="0" w:right="0"/>
              <w:jc w:val="both"/>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 xml:space="preserve">1647.98 </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B8334">
            <w:pPr>
              <w:keepNext w:val="0"/>
              <w:keepLines w:val="0"/>
              <w:widowControl/>
              <w:suppressLineNumbers w:val="0"/>
              <w:spacing w:before="0" w:beforeAutospacing="0" w:after="0" w:afterAutospacing="0"/>
              <w:ind w:left="0" w:right="0"/>
              <w:jc w:val="both"/>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 xml:space="preserve">144.42 </w:t>
            </w:r>
          </w:p>
        </w:tc>
      </w:tr>
      <w:tr w14:paraId="27518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6" w:hRule="atLeast"/>
        </w:trPr>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D76D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建成后</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5BA07">
            <w:pPr>
              <w:keepNext w:val="0"/>
              <w:keepLines w:val="0"/>
              <w:widowControl/>
              <w:suppressLineNumbers w:val="0"/>
              <w:spacing w:before="0" w:beforeAutospacing="0" w:after="0" w:afterAutospacing="0"/>
              <w:ind w:left="0" w:right="0"/>
              <w:jc w:val="both"/>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 xml:space="preserve">541.63 </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CA12E">
            <w:pPr>
              <w:keepNext w:val="0"/>
              <w:keepLines w:val="0"/>
              <w:widowControl/>
              <w:suppressLineNumbers w:val="0"/>
              <w:spacing w:before="0" w:beforeAutospacing="0" w:after="0" w:afterAutospacing="0"/>
              <w:ind w:left="0" w:right="0"/>
              <w:jc w:val="both"/>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 xml:space="preserve">96.72 </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5FD9A">
            <w:pPr>
              <w:keepNext w:val="0"/>
              <w:keepLines w:val="0"/>
              <w:widowControl/>
              <w:suppressLineNumbers w:val="0"/>
              <w:spacing w:before="0" w:beforeAutospacing="0" w:after="0" w:afterAutospacing="0"/>
              <w:ind w:left="0" w:right="0"/>
              <w:jc w:val="both"/>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 xml:space="preserve">154.75 </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43914">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 xml:space="preserve">19.34 </w:t>
            </w:r>
          </w:p>
        </w:tc>
        <w:tc>
          <w:tcPr>
            <w:tcW w:w="1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F466D">
            <w:pPr>
              <w:keepNext w:val="0"/>
              <w:keepLines w:val="0"/>
              <w:widowControl/>
              <w:suppressLineNumbers w:val="0"/>
              <w:spacing w:before="0" w:beforeAutospacing="0" w:after="0" w:afterAutospacing="0"/>
              <w:ind w:left="0" w:right="0"/>
              <w:jc w:val="both"/>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 xml:space="preserve">174.10 </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B79CD">
            <w:pPr>
              <w:keepNext w:val="0"/>
              <w:keepLines w:val="0"/>
              <w:widowControl/>
              <w:suppressLineNumbers w:val="0"/>
              <w:spacing w:before="0" w:beforeAutospacing="0" w:after="0" w:afterAutospacing="0"/>
              <w:ind w:left="0" w:right="0"/>
              <w:jc w:val="both"/>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 xml:space="preserve">3.87 </w:t>
            </w:r>
          </w:p>
        </w:tc>
      </w:tr>
      <w:tr w14:paraId="78DAB9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FCA0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减排量</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AD7A8">
            <w:pPr>
              <w:keepNext w:val="0"/>
              <w:keepLines w:val="0"/>
              <w:widowControl/>
              <w:suppressLineNumbers w:val="0"/>
              <w:spacing w:before="0" w:beforeAutospacing="0" w:after="0" w:afterAutospacing="0"/>
              <w:ind w:left="0" w:right="0"/>
              <w:jc w:val="both"/>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 xml:space="preserve">12341.53 </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89D98">
            <w:pPr>
              <w:keepNext w:val="0"/>
              <w:keepLines w:val="0"/>
              <w:widowControl/>
              <w:suppressLineNumbers w:val="0"/>
              <w:spacing w:before="0" w:beforeAutospacing="0" w:after="0" w:afterAutospacing="0"/>
              <w:ind w:left="0" w:right="0"/>
              <w:jc w:val="both"/>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 xml:space="preserve">7859.91 </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29261">
            <w:pPr>
              <w:keepNext w:val="0"/>
              <w:keepLines w:val="0"/>
              <w:widowControl/>
              <w:suppressLineNumbers w:val="0"/>
              <w:spacing w:before="0" w:beforeAutospacing="0" w:after="0" w:afterAutospacing="0"/>
              <w:ind w:left="0" w:right="0"/>
              <w:jc w:val="both"/>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 xml:space="preserve">7887.69 </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87FC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 xml:space="preserve">992.08 </w:t>
            </w:r>
          </w:p>
        </w:tc>
        <w:tc>
          <w:tcPr>
            <w:tcW w:w="1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CEA8F">
            <w:pPr>
              <w:keepNext w:val="0"/>
              <w:keepLines w:val="0"/>
              <w:widowControl/>
              <w:suppressLineNumbers w:val="0"/>
              <w:spacing w:before="0" w:beforeAutospacing="0" w:after="0" w:afterAutospacing="0"/>
              <w:ind w:left="0" w:right="0"/>
              <w:jc w:val="both"/>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 xml:space="preserve">1473.88 </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1C1A0">
            <w:pPr>
              <w:keepNext w:val="0"/>
              <w:keepLines w:val="0"/>
              <w:widowControl/>
              <w:suppressLineNumbers w:val="0"/>
              <w:spacing w:before="0" w:beforeAutospacing="0" w:after="0" w:afterAutospacing="0"/>
              <w:ind w:left="0" w:right="0"/>
              <w:jc w:val="both"/>
              <w:textAlignment w:val="center"/>
              <w:rPr>
                <w:rFonts w:hint="default" w:ascii="宋体" w:hAnsi="宋体" w:eastAsia="宋体" w:cs="宋体"/>
                <w:i w:val="0"/>
                <w:iCs w:val="0"/>
                <w:color w:val="000000"/>
                <w:sz w:val="24"/>
                <w:szCs w:val="24"/>
                <w:u w:val="none"/>
              </w:rPr>
            </w:pPr>
            <w:r>
              <w:rPr>
                <w:rFonts w:hint="default" w:ascii="宋体" w:hAnsi="宋体" w:eastAsia="宋体" w:cs="宋体"/>
                <w:i w:val="0"/>
                <w:iCs w:val="0"/>
                <w:color w:val="000000"/>
                <w:kern w:val="0"/>
                <w:sz w:val="24"/>
                <w:szCs w:val="24"/>
                <w:u w:val="none"/>
                <w:lang w:val="en-US" w:eastAsia="zh-CN" w:bidi="ar"/>
              </w:rPr>
              <w:t xml:space="preserve">140.55 </w:t>
            </w:r>
          </w:p>
        </w:tc>
      </w:tr>
    </w:tbl>
    <w:p w14:paraId="4F361CA3">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经过环翠区污水处理厂的处理及本项目的收集排放，项目服务区内散排污水得到收集集中处理，大大削减了入河污染物量。张村河为季节性河流，河水流动性较差，河道生态环境有很大提升空间。正常运行过程中，环翠区污水处理厂主要污染物出水指标，优于或等同于所影响河段功能区控制目标，通过本项目将尾水排放张村河之后增加了河道流量，有利于涵养水生植物和相应的水生动物，有利于改善区域地表水生态环境，恢复河流生物多样性，对项目区环境有一定积极影响。</w:t>
      </w:r>
    </w:p>
    <w:p w14:paraId="38C0DD2F">
      <w:pPr>
        <w:pStyle w:val="6"/>
        <w:bidi w:val="0"/>
        <w:ind w:left="720" w:leftChars="0" w:hanging="300" w:firstLineChars="0"/>
        <w:rPr>
          <w:rFonts w:hint="default"/>
          <w:lang w:val="en-US" w:eastAsia="zh-CN"/>
        </w:rPr>
      </w:pPr>
      <w:r>
        <w:rPr>
          <w:rFonts w:hint="eastAsia"/>
          <w:lang w:val="en-US" w:eastAsia="zh-CN"/>
        </w:rPr>
        <w:t>资源利用</w:t>
      </w:r>
    </w:p>
    <w:p w14:paraId="772E1A4C">
      <w:pPr>
        <w:spacing w:line="540" w:lineRule="exact"/>
        <w:ind w:firstLine="560" w:firstLineChars="200"/>
        <w:rPr>
          <w:rFonts w:hint="eastAsia" w:ascii="仿宋" w:hAnsi="仿宋" w:eastAsia="仿宋"/>
          <w:color w:val="auto"/>
          <w:kern w:val="0"/>
          <w:sz w:val="28"/>
          <w:szCs w:val="32"/>
          <w:lang w:val="en-US" w:eastAsia="zh-CN"/>
        </w:rPr>
      </w:pPr>
      <w:r>
        <w:rPr>
          <w:rFonts w:hint="eastAsia" w:ascii="仿宋" w:hAnsi="仿宋" w:eastAsia="仿宋"/>
          <w:color w:val="auto"/>
          <w:kern w:val="0"/>
          <w:sz w:val="28"/>
          <w:szCs w:val="32"/>
          <w:lang w:val="en-US" w:eastAsia="zh-CN"/>
        </w:rPr>
        <w:t>污水厂达标尾水经进一步净化后，作为再生水循序用于生态补给和生产生活，实现了水的串联利用，从而提高了用水效率，解决了生态生产生活“三生争水”问题。该模式实现了区域内水的“闭路”循环，在减少新水取用的同时，开辟了稳定的“第二水源”，可以显著提高水资源利用效益和供水系统韧性，支撑社会经济的绿色低碳发展和高质量可持续发展。</w:t>
      </w:r>
    </w:p>
    <w:p w14:paraId="2A64B704">
      <w:pPr>
        <w:pStyle w:val="6"/>
        <w:bidi w:val="0"/>
        <w:ind w:left="720" w:leftChars="0" w:hanging="300" w:firstLineChars="0"/>
        <w:rPr>
          <w:rFonts w:hint="default"/>
          <w:lang w:val="en-US" w:eastAsia="zh-CN"/>
        </w:rPr>
      </w:pPr>
      <w:r>
        <w:rPr>
          <w:rFonts w:hint="eastAsia"/>
          <w:lang w:val="en-US" w:eastAsia="zh-CN"/>
        </w:rPr>
        <w:t>征地搬迁及移民安置</w:t>
      </w:r>
    </w:p>
    <w:p w14:paraId="62750FAC">
      <w:pPr>
        <w:spacing w:line="540" w:lineRule="exact"/>
        <w:ind w:firstLine="560" w:firstLineChars="200"/>
        <w:rPr>
          <w:rFonts w:hint="default" w:ascii="仿宋" w:hAnsi="仿宋" w:eastAsia="仿宋"/>
          <w:kern w:val="0"/>
          <w:sz w:val="28"/>
          <w:szCs w:val="32"/>
          <w:lang w:val="en-US" w:eastAsia="zh-CN"/>
        </w:rPr>
      </w:pPr>
      <w:r>
        <w:rPr>
          <w:rFonts w:hint="eastAsia" w:ascii="仿宋" w:hAnsi="仿宋" w:eastAsia="仿宋"/>
          <w:kern w:val="0"/>
          <w:sz w:val="28"/>
          <w:szCs w:val="32"/>
          <w:lang w:val="en-US" w:eastAsia="zh-CN"/>
        </w:rPr>
        <w:t>项目不涉及征地搬迁及移民安置。</w:t>
      </w:r>
    </w:p>
    <w:p w14:paraId="1736B6A8">
      <w:pPr>
        <w:pStyle w:val="6"/>
        <w:bidi w:val="0"/>
        <w:ind w:left="720" w:leftChars="0" w:hanging="300" w:firstLineChars="0"/>
        <w:rPr>
          <w:rFonts w:hint="default"/>
          <w:lang w:val="en-US" w:eastAsia="zh-CN"/>
        </w:rPr>
      </w:pPr>
      <w:r>
        <w:rPr>
          <w:rFonts w:hint="eastAsia"/>
          <w:lang w:val="en-US" w:eastAsia="zh-CN"/>
        </w:rPr>
        <w:t>社会环境概况</w:t>
      </w:r>
    </w:p>
    <w:p w14:paraId="41795BF6">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威海市环翠区作为威海市中心城区，是全市政治、经济、文化、科技中心。近年来，环翠区在党的领导下，坚持以习近平新时代中国特色社会主义思想为指导，全面贯彻党的十九大和十九届二中、三中、四中、五中全会精神，深入实施创新驱动发展战略，经济社会发展取得了显著成就。</w:t>
      </w:r>
    </w:p>
    <w:p w14:paraId="5E500E2B">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经济发展方面，环翠区依托优越的地理位置和良好的产业基础，积极推动新旧动能转换，大力发展海洋经济、高新技术产业和现代服务业，区域经济持续健康发展。2023年，环翠区生产总值达450.42亿元，同比增长3.1%。三次产业结构调整为9.2:26.6:64.3，第三产业占比超六成，服务业成为经济增长的核心动力。规模以上高技术制造业增加值增长8.9%，新能源汽车、集成电路等新兴产业表现突出政府通过优化营商环境，加大招商引资力度，支持中小企业发展，有效促进了就业和居民收入增长，人民生活水平不断提高。</w:t>
      </w:r>
    </w:p>
    <w:p w14:paraId="0DFF6955">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社会治安方面，环翠区始终将维护社会稳定作为重要任务，严格落实社会治安综合治理责任制，加强公共安全体系建设。通过深化“平安环翠”建设，建立社会稳定风险评估机制，定期排查矛盾隐患，重点监测土地征收、政策调整等领域风险，从源头减少事件发生。环翠区信访局主动公开机构职能、政策文件及重大决策信息，动态更新负责人信息，增强政务透明度。探索“矛盾纠纷化解在一线”模式，通过基层调解、政策解读（如文字、图文、音视频等多形式）引导群众合法表达诉求，减少集体上访风险。</w:t>
      </w:r>
    </w:p>
    <w:p w14:paraId="2254BA5E">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社会管理与服务方面，环翠区注重通过法治化、规范化手段处理社会矛盾，建立健全多元化纠纷解决机制，积极推动基层社会治理创新。信访工作坚持依法依规、源头治理，畅通民意表达渠道，及时回应群众合理诉求，有效预防和化解了各类矛盾，维护了社会和谐稳定。</w:t>
      </w:r>
    </w:p>
    <w:p w14:paraId="07587D7C">
      <w:pPr>
        <w:spacing w:line="540" w:lineRule="exact"/>
        <w:ind w:firstLine="560" w:firstLineChars="200"/>
        <w:rPr>
          <w:rFonts w:hint="eastAsia"/>
        </w:rPr>
      </w:pPr>
      <w:r>
        <w:rPr>
          <w:rFonts w:hint="eastAsia" w:ascii="仿宋" w:hAnsi="仿宋" w:eastAsia="仿宋"/>
          <w:kern w:val="0"/>
          <w:sz w:val="28"/>
          <w:szCs w:val="32"/>
          <w:lang w:val="en-US" w:eastAsia="zh-CN"/>
        </w:rPr>
        <w:t>总体来看，环翠区在党的坚强领导下，经济社会协调发展，社会大局和谐稳定，人民群众的获得感、幸福感、安全感不断增强，展现出社会主义现代化城区的良好风貌。</w:t>
      </w:r>
    </w:p>
    <w:p w14:paraId="030083F9">
      <w:pPr>
        <w:pStyle w:val="5"/>
        <w:bidi w:val="0"/>
        <w:ind w:left="995" w:leftChars="0" w:hanging="575" w:firstLineChars="0"/>
        <w:rPr>
          <w:rFonts w:hint="eastAsia"/>
        </w:rPr>
      </w:pPr>
      <w:bookmarkStart w:id="4" w:name="_Toc8644"/>
      <w:r>
        <w:rPr>
          <w:rFonts w:hint="eastAsia"/>
          <w:lang w:val="en-US" w:eastAsia="zh-CN"/>
        </w:rPr>
        <w:t>评估依据</w:t>
      </w:r>
      <w:bookmarkEnd w:id="4"/>
    </w:p>
    <w:p w14:paraId="44CF7129">
      <w:pPr>
        <w:pStyle w:val="6"/>
        <w:bidi w:val="0"/>
        <w:ind w:left="720" w:leftChars="0" w:hanging="300" w:firstLineChars="0"/>
      </w:pPr>
      <w:r>
        <w:rPr>
          <w:rFonts w:hint="eastAsia"/>
        </w:rPr>
        <w:t>法规</w:t>
      </w:r>
      <w:r>
        <w:rPr>
          <w:rFonts w:hint="eastAsia"/>
          <w:lang w:val="en-US" w:eastAsia="zh-CN"/>
        </w:rPr>
        <w:t>政策文件</w:t>
      </w:r>
    </w:p>
    <w:p w14:paraId="18CEC1AB">
      <w:pPr>
        <w:spacing w:line="540" w:lineRule="exact"/>
        <w:ind w:firstLine="560" w:firstLineChars="200"/>
        <w:outlineLvl w:val="9"/>
        <w:rPr>
          <w:rFonts w:hint="eastAsia" w:ascii="仿宋" w:hAnsi="仿宋" w:eastAsia="仿宋"/>
          <w:kern w:val="0"/>
          <w:sz w:val="28"/>
          <w:szCs w:val="32"/>
        </w:rPr>
      </w:pPr>
      <w:r>
        <w:rPr>
          <w:rFonts w:hint="eastAsia" w:ascii="仿宋" w:hAnsi="仿宋" w:eastAsia="仿宋"/>
          <w:kern w:val="0"/>
          <w:sz w:val="28"/>
          <w:szCs w:val="32"/>
        </w:rPr>
        <w:t>1、《关于印发国家发展改革委重大固定资产投资项目社会稳定风险评估暂行办法的通知》（发改投资〔2012〕2492号）；</w:t>
      </w:r>
    </w:p>
    <w:p w14:paraId="076811D0">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rPr>
        <w:t>2、</w:t>
      </w:r>
      <w:r>
        <w:rPr>
          <w:rFonts w:hint="eastAsia" w:ascii="仿宋" w:hAnsi="仿宋" w:eastAsia="仿宋"/>
          <w:kern w:val="0"/>
          <w:sz w:val="28"/>
          <w:szCs w:val="32"/>
          <w:lang w:val="en-US" w:eastAsia="zh-CN"/>
        </w:rPr>
        <w:t>《国家发展改革委办公厅关于印发投资项目社会稳定风险分析篇章和评估报告编制大纲（试行）的通知》（发改办投资〔2013〕428号）；</w:t>
      </w:r>
    </w:p>
    <w:p w14:paraId="3195A5B4">
      <w:pPr>
        <w:spacing w:line="540" w:lineRule="exact"/>
        <w:ind w:firstLine="560" w:firstLineChars="200"/>
        <w:rPr>
          <w:rFonts w:hint="eastAsia" w:ascii="仿宋" w:hAnsi="仿宋" w:eastAsia="仿宋"/>
          <w:kern w:val="0"/>
          <w:sz w:val="28"/>
          <w:szCs w:val="32"/>
        </w:rPr>
      </w:pPr>
      <w:r>
        <w:rPr>
          <w:rFonts w:hint="eastAsia" w:ascii="仿宋" w:hAnsi="仿宋" w:eastAsia="仿宋"/>
          <w:kern w:val="0"/>
          <w:sz w:val="28"/>
          <w:szCs w:val="32"/>
        </w:rPr>
        <w:t>3、《山东省发展改革委重大固定资产投资项目社会稳定风险评估暂行办法》（鲁发改投资〔2014〕471号）；</w:t>
      </w:r>
    </w:p>
    <w:p w14:paraId="108448E7">
      <w:pPr>
        <w:spacing w:line="540" w:lineRule="exact"/>
        <w:ind w:firstLine="560" w:firstLineChars="200"/>
        <w:rPr>
          <w:rFonts w:hint="eastAsia" w:ascii="仿宋" w:hAnsi="仿宋" w:eastAsia="仿宋"/>
          <w:kern w:val="0"/>
          <w:sz w:val="28"/>
          <w:szCs w:val="32"/>
        </w:rPr>
      </w:pPr>
      <w:r>
        <w:rPr>
          <w:rFonts w:hint="eastAsia" w:ascii="仿宋" w:hAnsi="仿宋" w:eastAsia="仿宋"/>
          <w:kern w:val="0"/>
          <w:sz w:val="28"/>
          <w:szCs w:val="32"/>
          <w:lang w:val="en-US" w:eastAsia="zh-CN"/>
        </w:rPr>
        <w:t>4</w:t>
      </w:r>
      <w:r>
        <w:rPr>
          <w:rFonts w:hint="eastAsia" w:ascii="仿宋" w:hAnsi="仿宋" w:eastAsia="仿宋"/>
          <w:kern w:val="0"/>
          <w:sz w:val="28"/>
          <w:szCs w:val="32"/>
        </w:rPr>
        <w:t>、《市委办公室、市政府办公室关于印发〈威海市重大决策社会稳定风险评估实施办法〉的通知》（威办发〔2014〕5号）；</w:t>
      </w:r>
    </w:p>
    <w:p w14:paraId="47F68458">
      <w:pPr>
        <w:spacing w:line="540" w:lineRule="exact"/>
        <w:ind w:firstLine="560" w:firstLineChars="200"/>
        <w:rPr>
          <w:rFonts w:hint="eastAsia" w:ascii="仿宋" w:hAnsi="仿宋" w:eastAsia="仿宋"/>
          <w:kern w:val="0"/>
          <w:sz w:val="28"/>
          <w:szCs w:val="32"/>
        </w:rPr>
      </w:pPr>
      <w:r>
        <w:rPr>
          <w:rFonts w:hint="eastAsia" w:ascii="仿宋" w:hAnsi="仿宋" w:eastAsia="仿宋"/>
          <w:kern w:val="0"/>
          <w:sz w:val="28"/>
          <w:szCs w:val="32"/>
          <w:lang w:val="en-US" w:eastAsia="zh-CN"/>
        </w:rPr>
        <w:t>5</w:t>
      </w:r>
      <w:r>
        <w:rPr>
          <w:rFonts w:hint="eastAsia" w:ascii="仿宋" w:hAnsi="仿宋" w:eastAsia="仿宋"/>
          <w:kern w:val="0"/>
          <w:sz w:val="28"/>
          <w:szCs w:val="32"/>
        </w:rPr>
        <w:t>、《威海市重大决策社会稳定风险评估操作指南》（试行）；</w:t>
      </w:r>
    </w:p>
    <w:p w14:paraId="6AC9DB63">
      <w:pPr>
        <w:spacing w:line="540" w:lineRule="exact"/>
        <w:ind w:firstLine="560" w:firstLineChars="200"/>
        <w:rPr>
          <w:rFonts w:hint="default" w:eastAsia="仿宋"/>
          <w:lang w:val="en-US" w:eastAsia="zh-CN"/>
        </w:rPr>
      </w:pPr>
      <w:r>
        <w:rPr>
          <w:rFonts w:hint="eastAsia" w:ascii="仿宋" w:hAnsi="仿宋" w:eastAsia="仿宋"/>
          <w:kern w:val="0"/>
          <w:sz w:val="28"/>
          <w:szCs w:val="32"/>
          <w:lang w:val="en-US" w:eastAsia="zh-CN"/>
        </w:rPr>
        <w:t>6、《区委办公室、区政府办公室关于印发〈威海市环翠区重大决策社会稳定风险评估实施细则〉的通知》（威环办发〔2014〕9号）等</w:t>
      </w:r>
    </w:p>
    <w:p w14:paraId="0D14CF86">
      <w:pPr>
        <w:pStyle w:val="6"/>
        <w:bidi w:val="0"/>
        <w:ind w:left="720" w:leftChars="0" w:hanging="300" w:firstLineChars="0"/>
      </w:pPr>
      <w:bookmarkStart w:id="5" w:name="_Toc18370"/>
      <w:bookmarkStart w:id="6" w:name="_Toc13478"/>
      <w:r>
        <w:rPr>
          <w:rFonts w:hint="eastAsia"/>
        </w:rPr>
        <w:t>技术资料</w:t>
      </w:r>
      <w:bookmarkEnd w:id="5"/>
      <w:bookmarkEnd w:id="6"/>
    </w:p>
    <w:p w14:paraId="0F42B44C">
      <w:pPr>
        <w:numPr>
          <w:ilvl w:val="0"/>
          <w:numId w:val="0"/>
        </w:numPr>
        <w:spacing w:line="540" w:lineRule="exact"/>
        <w:ind w:firstLine="560" w:firstLineChars="200"/>
        <w:jc w:val="left"/>
        <w:outlineLvl w:val="9"/>
        <w:rPr>
          <w:rFonts w:hint="eastAsia" w:ascii="仿宋" w:hAnsi="仿宋" w:eastAsia="仿宋"/>
          <w:sz w:val="28"/>
          <w:szCs w:val="24"/>
          <w:lang w:eastAsia="zh-CN"/>
        </w:rPr>
      </w:pPr>
      <w:r>
        <w:rPr>
          <w:rFonts w:hint="eastAsia" w:ascii="仿宋" w:hAnsi="仿宋" w:eastAsia="仿宋"/>
          <w:sz w:val="28"/>
          <w:szCs w:val="24"/>
          <w:lang w:val="en-US" w:eastAsia="zh-CN"/>
        </w:rPr>
        <w:t>1、</w:t>
      </w:r>
      <w:r>
        <w:rPr>
          <w:rFonts w:hint="eastAsia" w:ascii="仿宋" w:hAnsi="仿宋" w:eastAsia="仿宋"/>
          <w:sz w:val="28"/>
          <w:szCs w:val="24"/>
        </w:rPr>
        <w:t>《威海统计年鉴20</w:t>
      </w:r>
      <w:r>
        <w:rPr>
          <w:rFonts w:hint="eastAsia" w:ascii="仿宋" w:hAnsi="仿宋" w:eastAsia="仿宋"/>
          <w:sz w:val="28"/>
          <w:szCs w:val="24"/>
          <w:lang w:val="en-US" w:eastAsia="zh-CN"/>
        </w:rPr>
        <w:t>23</w:t>
      </w:r>
      <w:r>
        <w:rPr>
          <w:rFonts w:hint="eastAsia" w:ascii="仿宋" w:hAnsi="仿宋" w:eastAsia="仿宋"/>
          <w:sz w:val="28"/>
          <w:szCs w:val="24"/>
        </w:rPr>
        <w:t>》（威海市统计局）</w:t>
      </w:r>
      <w:r>
        <w:rPr>
          <w:rFonts w:hint="eastAsia" w:ascii="仿宋" w:hAnsi="仿宋" w:eastAsia="仿宋"/>
          <w:sz w:val="28"/>
          <w:szCs w:val="24"/>
          <w:lang w:eastAsia="zh-CN"/>
        </w:rPr>
        <w:t>；</w:t>
      </w:r>
    </w:p>
    <w:p w14:paraId="6A836571">
      <w:pPr>
        <w:numPr>
          <w:ilvl w:val="0"/>
          <w:numId w:val="0"/>
        </w:numPr>
        <w:spacing w:line="540" w:lineRule="exact"/>
        <w:ind w:left="559" w:leftChars="266" w:firstLine="0" w:firstLineChars="0"/>
        <w:jc w:val="left"/>
        <w:outlineLvl w:val="9"/>
        <w:rPr>
          <w:rFonts w:hint="eastAsia" w:eastAsia="仿宋"/>
          <w:lang w:eastAsia="zh-CN"/>
        </w:rPr>
      </w:pPr>
      <w:r>
        <w:rPr>
          <w:rFonts w:hint="eastAsia" w:ascii="仿宋" w:hAnsi="仿宋" w:eastAsia="仿宋"/>
          <w:sz w:val="28"/>
          <w:szCs w:val="24"/>
          <w:lang w:val="en-US" w:eastAsia="zh-CN"/>
        </w:rPr>
        <w:t>2、《</w:t>
      </w:r>
      <w:r>
        <w:rPr>
          <w:rFonts w:hint="eastAsia" w:ascii="仿宋" w:hAnsi="仿宋" w:eastAsia="仿宋"/>
          <w:sz w:val="28"/>
          <w:szCs w:val="24"/>
          <w:lang w:eastAsia="zh-CN"/>
        </w:rPr>
        <w:t>威海市环翠区地表水水功能区划</w:t>
      </w:r>
      <w:r>
        <w:rPr>
          <w:rFonts w:hint="eastAsia" w:ascii="仿宋" w:hAnsi="仿宋" w:eastAsia="仿宋"/>
          <w:sz w:val="28"/>
          <w:szCs w:val="24"/>
          <w:lang w:val="en-US" w:eastAsia="zh-CN"/>
        </w:rPr>
        <w:t>》</w:t>
      </w:r>
      <w:r>
        <w:rPr>
          <w:rFonts w:hint="eastAsia" w:ascii="仿宋" w:hAnsi="仿宋" w:eastAsia="仿宋"/>
          <w:sz w:val="28"/>
          <w:szCs w:val="24"/>
        </w:rPr>
        <w:t>（威海市</w:t>
      </w:r>
      <w:r>
        <w:rPr>
          <w:rFonts w:hint="eastAsia" w:ascii="仿宋" w:hAnsi="仿宋" w:eastAsia="仿宋"/>
          <w:sz w:val="28"/>
          <w:szCs w:val="24"/>
          <w:lang w:val="en-US" w:eastAsia="zh-CN"/>
        </w:rPr>
        <w:t>环翠区水利局</w:t>
      </w:r>
      <w:r>
        <w:rPr>
          <w:rFonts w:hint="eastAsia" w:ascii="仿宋" w:hAnsi="仿宋" w:eastAsia="仿宋"/>
          <w:sz w:val="28"/>
          <w:szCs w:val="24"/>
        </w:rPr>
        <w:t>）</w:t>
      </w:r>
      <w:r>
        <w:rPr>
          <w:rFonts w:hint="eastAsia" w:ascii="仿宋" w:hAnsi="仿宋" w:eastAsia="仿宋"/>
          <w:sz w:val="28"/>
          <w:szCs w:val="24"/>
          <w:lang w:eastAsia="zh-CN"/>
        </w:rPr>
        <w:t>；</w:t>
      </w:r>
      <w:r>
        <w:rPr>
          <w:rFonts w:hint="eastAsia" w:ascii="仿宋" w:hAnsi="仿宋" w:eastAsia="仿宋"/>
          <w:sz w:val="28"/>
          <w:szCs w:val="24"/>
          <w:lang w:val="en-US" w:eastAsia="zh-CN"/>
        </w:rPr>
        <w:t>3、</w:t>
      </w:r>
      <w:r>
        <w:rPr>
          <w:rFonts w:hint="eastAsia" w:ascii="仿宋" w:hAnsi="仿宋" w:eastAsia="仿宋"/>
          <w:sz w:val="28"/>
          <w:szCs w:val="24"/>
          <w:lang w:eastAsia="zh-CN"/>
        </w:rPr>
        <w:t>《威海市城市污水工程专项规划（2019</w:t>
      </w:r>
      <w:r>
        <w:rPr>
          <w:rFonts w:hint="eastAsia" w:ascii="仿宋" w:hAnsi="仿宋" w:eastAsia="仿宋"/>
          <w:sz w:val="28"/>
          <w:szCs w:val="24"/>
          <w:lang w:val="en-US" w:eastAsia="zh-CN"/>
        </w:rPr>
        <w:t>-</w:t>
      </w:r>
      <w:r>
        <w:rPr>
          <w:rFonts w:hint="eastAsia" w:ascii="仿宋" w:hAnsi="仿宋" w:eastAsia="仿宋"/>
          <w:sz w:val="28"/>
          <w:szCs w:val="24"/>
          <w:lang w:eastAsia="zh-CN"/>
        </w:rPr>
        <w:t>2035）》；</w:t>
      </w:r>
    </w:p>
    <w:p w14:paraId="61D88780">
      <w:pPr>
        <w:numPr>
          <w:ilvl w:val="0"/>
          <w:numId w:val="0"/>
        </w:numPr>
        <w:spacing w:line="540" w:lineRule="exact"/>
        <w:ind w:firstLine="560" w:firstLineChars="200"/>
        <w:jc w:val="left"/>
        <w:outlineLvl w:val="9"/>
        <w:rPr>
          <w:rFonts w:hint="eastAsia"/>
        </w:rPr>
      </w:pPr>
      <w:r>
        <w:rPr>
          <w:rFonts w:hint="eastAsia" w:ascii="仿宋" w:hAnsi="仿宋" w:eastAsia="仿宋"/>
          <w:kern w:val="0"/>
          <w:sz w:val="28"/>
          <w:szCs w:val="32"/>
          <w:lang w:val="en-US" w:eastAsia="zh-CN"/>
        </w:rPr>
        <w:t>4、</w:t>
      </w:r>
      <w:r>
        <w:rPr>
          <w:rFonts w:hint="eastAsia" w:ascii="仿宋" w:hAnsi="仿宋" w:eastAsia="仿宋"/>
          <w:kern w:val="0"/>
          <w:sz w:val="28"/>
          <w:szCs w:val="32"/>
        </w:rPr>
        <w:t>《威海市环翠区污水处理厂张村河入河排污口设置论证报告》</w:t>
      </w:r>
      <w:r>
        <w:rPr>
          <w:rFonts w:hint="eastAsia" w:ascii="仿宋" w:hAnsi="仿宋" w:eastAsia="仿宋"/>
          <w:kern w:val="0"/>
          <w:sz w:val="28"/>
          <w:szCs w:val="32"/>
          <w:lang w:eastAsia="zh-CN"/>
        </w:rPr>
        <w:t>（</w:t>
      </w:r>
      <w:r>
        <w:rPr>
          <w:rFonts w:hint="eastAsia" w:ascii="仿宋" w:hAnsi="仿宋" w:eastAsia="仿宋"/>
          <w:kern w:val="0"/>
          <w:sz w:val="28"/>
          <w:szCs w:val="32"/>
          <w:lang w:val="en-US" w:eastAsia="zh-CN"/>
        </w:rPr>
        <w:t>山东佳诺检测股份有限公司</w:t>
      </w:r>
      <w:r>
        <w:rPr>
          <w:rFonts w:hint="eastAsia" w:ascii="仿宋" w:hAnsi="仿宋" w:eastAsia="仿宋"/>
          <w:kern w:val="0"/>
          <w:sz w:val="28"/>
          <w:szCs w:val="32"/>
          <w:lang w:eastAsia="zh-CN"/>
        </w:rPr>
        <w:t>）；</w:t>
      </w:r>
    </w:p>
    <w:p w14:paraId="3B555618">
      <w:pPr>
        <w:spacing w:line="540" w:lineRule="exact"/>
        <w:ind w:firstLine="560" w:firstLineChars="200"/>
        <w:jc w:val="left"/>
        <w:rPr>
          <w:rFonts w:hint="eastAsia" w:ascii="仿宋" w:hAnsi="仿宋" w:eastAsia="仿宋"/>
          <w:sz w:val="28"/>
          <w:szCs w:val="24"/>
          <w:lang w:eastAsia="zh-CN"/>
        </w:rPr>
      </w:pPr>
      <w:r>
        <w:rPr>
          <w:rFonts w:hint="eastAsia" w:ascii="仿宋" w:hAnsi="仿宋" w:eastAsia="仿宋"/>
          <w:kern w:val="0"/>
          <w:sz w:val="28"/>
          <w:szCs w:val="32"/>
          <w:lang w:val="en-US" w:eastAsia="zh-CN"/>
        </w:rPr>
        <w:t>5、</w:t>
      </w:r>
      <w:r>
        <w:rPr>
          <w:rFonts w:hint="eastAsia" w:ascii="仿宋" w:hAnsi="仿宋" w:eastAsia="仿宋"/>
          <w:sz w:val="28"/>
          <w:szCs w:val="24"/>
        </w:rPr>
        <w:t>《</w:t>
      </w:r>
      <w:r>
        <w:rPr>
          <w:rFonts w:hint="eastAsia" w:ascii="仿宋" w:hAnsi="仿宋" w:eastAsia="仿宋"/>
          <w:sz w:val="28"/>
          <w:szCs w:val="24"/>
          <w:lang w:eastAsia="zh-CN"/>
        </w:rPr>
        <w:t>环翠区污水处理厂排河工程项目可行性研究报告</w:t>
      </w:r>
      <w:r>
        <w:rPr>
          <w:rFonts w:hint="eastAsia" w:ascii="仿宋" w:hAnsi="仿宋" w:eastAsia="仿宋"/>
          <w:sz w:val="28"/>
          <w:szCs w:val="24"/>
        </w:rPr>
        <w:t>》（</w:t>
      </w:r>
      <w:r>
        <w:rPr>
          <w:rFonts w:hint="eastAsia" w:ascii="仿宋" w:hAnsi="仿宋" w:eastAsia="仿宋"/>
          <w:sz w:val="28"/>
          <w:szCs w:val="24"/>
          <w:lang w:val="en-US" w:eastAsia="zh-CN"/>
        </w:rPr>
        <w:t>威海齐心环保咨询有限公司</w:t>
      </w:r>
      <w:r>
        <w:rPr>
          <w:rFonts w:hint="eastAsia" w:ascii="仿宋" w:hAnsi="仿宋" w:eastAsia="仿宋"/>
          <w:sz w:val="28"/>
          <w:szCs w:val="24"/>
        </w:rPr>
        <w:t>）</w:t>
      </w:r>
      <w:r>
        <w:rPr>
          <w:rFonts w:hint="eastAsia" w:ascii="仿宋" w:hAnsi="仿宋" w:eastAsia="仿宋"/>
          <w:sz w:val="28"/>
          <w:szCs w:val="24"/>
          <w:lang w:eastAsia="zh-CN"/>
        </w:rPr>
        <w:t>；</w:t>
      </w:r>
    </w:p>
    <w:p w14:paraId="17D9AC64">
      <w:pPr>
        <w:pStyle w:val="5"/>
        <w:bidi w:val="0"/>
        <w:ind w:left="995" w:leftChars="0" w:hanging="575" w:firstLineChars="0"/>
        <w:rPr>
          <w:rFonts w:hint="eastAsia"/>
          <w:lang w:val="en-US" w:eastAsia="zh-CN"/>
        </w:rPr>
      </w:pPr>
      <w:bookmarkStart w:id="7" w:name="_Toc65171879"/>
      <w:bookmarkStart w:id="8" w:name="_Toc65171607"/>
      <w:bookmarkStart w:id="9" w:name="_Toc20829"/>
      <w:bookmarkStart w:id="10" w:name="_Toc66919730"/>
      <w:r>
        <w:rPr>
          <w:rFonts w:hint="eastAsia"/>
          <w:lang w:val="en-US" w:eastAsia="zh-CN"/>
        </w:rPr>
        <w:t>评估主体</w:t>
      </w:r>
      <w:bookmarkEnd w:id="7"/>
      <w:bookmarkEnd w:id="8"/>
      <w:bookmarkEnd w:id="9"/>
      <w:bookmarkEnd w:id="10"/>
    </w:p>
    <w:p w14:paraId="2B762F9E">
      <w:pPr>
        <w:pStyle w:val="4"/>
        <w:spacing w:afterLines="50" w:line="540" w:lineRule="exact"/>
        <w:ind w:firstLine="560"/>
        <w:jc w:val="left"/>
        <w:outlineLvl w:val="9"/>
        <w:rPr>
          <w:rFonts w:hint="eastAsia" w:ascii="仿宋" w:hAnsi="仿宋" w:eastAsia="仿宋"/>
          <w:color w:val="auto"/>
          <w:kern w:val="0"/>
          <w:sz w:val="28"/>
          <w:szCs w:val="32"/>
        </w:rPr>
      </w:pPr>
      <w:r>
        <w:rPr>
          <w:rFonts w:hint="eastAsia" w:ascii="仿宋" w:hAnsi="仿宋" w:eastAsia="仿宋"/>
          <w:color w:val="auto"/>
          <w:kern w:val="0"/>
          <w:sz w:val="28"/>
          <w:szCs w:val="32"/>
        </w:rPr>
        <w:t>为确保评估工作顺利开展，取得实效，环翠区水利局委托顺风建筑规划设计有限公司组建了风险评估小组，由牟桂玲</w:t>
      </w:r>
      <w:r>
        <w:rPr>
          <w:rFonts w:hint="eastAsia" w:ascii="仿宋" w:hAnsi="仿宋" w:eastAsia="仿宋"/>
          <w:color w:val="auto"/>
          <w:kern w:val="0"/>
          <w:sz w:val="28"/>
          <w:szCs w:val="32"/>
          <w:lang w:eastAsia="zh-CN"/>
        </w:rPr>
        <w:t>（</w:t>
      </w:r>
      <w:r>
        <w:rPr>
          <w:rFonts w:hint="eastAsia" w:ascii="仿宋" w:hAnsi="仿宋" w:eastAsia="仿宋"/>
          <w:color w:val="auto"/>
          <w:kern w:val="0"/>
          <w:sz w:val="28"/>
          <w:szCs w:val="32"/>
          <w:lang w:val="en-US" w:eastAsia="zh-CN"/>
        </w:rPr>
        <w:t>咨询工程师 高工</w:t>
      </w:r>
      <w:r>
        <w:rPr>
          <w:rFonts w:hint="eastAsia" w:ascii="仿宋" w:hAnsi="仿宋" w:eastAsia="仿宋"/>
          <w:color w:val="auto"/>
          <w:kern w:val="0"/>
          <w:sz w:val="28"/>
          <w:szCs w:val="32"/>
          <w:lang w:eastAsia="zh-CN"/>
        </w:rPr>
        <w:t>）</w:t>
      </w:r>
      <w:r>
        <w:rPr>
          <w:rFonts w:hint="eastAsia" w:ascii="仿宋" w:hAnsi="仿宋" w:eastAsia="仿宋"/>
          <w:color w:val="auto"/>
          <w:kern w:val="0"/>
          <w:sz w:val="28"/>
          <w:szCs w:val="32"/>
        </w:rPr>
        <w:t>任组长，杨舒森</w:t>
      </w:r>
      <w:r>
        <w:rPr>
          <w:rFonts w:hint="eastAsia" w:ascii="仿宋" w:hAnsi="仿宋" w:eastAsia="仿宋"/>
          <w:color w:val="auto"/>
          <w:kern w:val="0"/>
          <w:sz w:val="28"/>
          <w:szCs w:val="32"/>
          <w:lang w:eastAsia="zh-CN"/>
        </w:rPr>
        <w:t>（</w:t>
      </w:r>
      <w:r>
        <w:rPr>
          <w:rFonts w:hint="eastAsia" w:ascii="仿宋" w:hAnsi="仿宋" w:eastAsia="仿宋"/>
          <w:color w:val="auto"/>
          <w:kern w:val="0"/>
          <w:sz w:val="28"/>
          <w:szCs w:val="32"/>
          <w:lang w:val="en-US" w:eastAsia="zh-CN"/>
        </w:rPr>
        <w:t>咨询工程师 中级</w:t>
      </w:r>
      <w:r>
        <w:rPr>
          <w:rFonts w:hint="eastAsia" w:ascii="仿宋" w:hAnsi="仿宋" w:eastAsia="仿宋"/>
          <w:color w:val="auto"/>
          <w:kern w:val="0"/>
          <w:sz w:val="28"/>
          <w:szCs w:val="32"/>
          <w:lang w:eastAsia="zh-CN"/>
        </w:rPr>
        <w:t>）</w:t>
      </w:r>
      <w:r>
        <w:rPr>
          <w:rFonts w:hint="eastAsia" w:ascii="仿宋" w:hAnsi="仿宋" w:eastAsia="仿宋"/>
          <w:color w:val="auto"/>
          <w:kern w:val="0"/>
          <w:sz w:val="28"/>
          <w:szCs w:val="32"/>
        </w:rPr>
        <w:t>任副组长，</w:t>
      </w:r>
      <w:r>
        <w:rPr>
          <w:rFonts w:hint="eastAsia" w:ascii="仿宋" w:hAnsi="仿宋" w:eastAsia="仿宋"/>
          <w:color w:val="auto"/>
          <w:kern w:val="0"/>
          <w:sz w:val="28"/>
          <w:szCs w:val="32"/>
          <w:lang w:val="en-US" w:eastAsia="zh-CN"/>
        </w:rPr>
        <w:t>白兴林（给排水 高工）、程朋朋、宋正洁</w:t>
      </w:r>
      <w:r>
        <w:rPr>
          <w:rFonts w:hint="eastAsia" w:ascii="仿宋" w:hAnsi="仿宋" w:eastAsia="仿宋"/>
          <w:color w:val="auto"/>
          <w:kern w:val="0"/>
          <w:sz w:val="28"/>
          <w:szCs w:val="32"/>
        </w:rPr>
        <w:t>为组员，具体负责并开展社会稳定风险评估等工作。风险评估小组下设风险评估小组办公室，设在顺风建筑规划设计有限公司</w:t>
      </w:r>
      <w:r>
        <w:rPr>
          <w:rFonts w:hint="eastAsia" w:ascii="仿宋" w:hAnsi="仿宋" w:eastAsia="仿宋"/>
          <w:color w:val="auto"/>
          <w:kern w:val="0"/>
          <w:sz w:val="28"/>
          <w:szCs w:val="32"/>
          <w:lang w:val="en-US" w:eastAsia="zh-CN"/>
        </w:rPr>
        <w:t>威海分公司</w:t>
      </w:r>
      <w:r>
        <w:rPr>
          <w:rFonts w:hint="eastAsia" w:ascii="仿宋" w:hAnsi="仿宋" w:eastAsia="仿宋"/>
          <w:color w:val="auto"/>
          <w:kern w:val="0"/>
          <w:sz w:val="28"/>
          <w:szCs w:val="32"/>
        </w:rPr>
        <w:t>。</w:t>
      </w:r>
    </w:p>
    <w:p w14:paraId="62262848">
      <w:pPr>
        <w:pStyle w:val="5"/>
        <w:bidi w:val="0"/>
        <w:ind w:left="995" w:leftChars="0" w:hanging="575" w:firstLineChars="0"/>
        <w:rPr>
          <w:rFonts w:hint="eastAsia"/>
          <w:lang w:val="en-US" w:eastAsia="zh-CN"/>
        </w:rPr>
      </w:pPr>
      <w:bookmarkStart w:id="11" w:name="_Toc4522"/>
      <w:r>
        <w:rPr>
          <w:rFonts w:hint="eastAsia"/>
          <w:lang w:val="en-US" w:eastAsia="zh-CN"/>
        </w:rPr>
        <w:t>评估过程和方法</w:t>
      </w:r>
      <w:bookmarkEnd w:id="11"/>
    </w:p>
    <w:p w14:paraId="2E66F4BC">
      <w:pPr>
        <w:pStyle w:val="6"/>
        <w:bidi w:val="0"/>
        <w:ind w:left="720" w:leftChars="0" w:hanging="300" w:firstLineChars="0"/>
        <w:rPr>
          <w:rFonts w:hint="eastAsia"/>
        </w:rPr>
      </w:pPr>
      <w:r>
        <w:rPr>
          <w:rFonts w:hint="eastAsia"/>
        </w:rPr>
        <w:t>制定评估工作方案</w:t>
      </w:r>
    </w:p>
    <w:p w14:paraId="3C0940D2">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风险评估工作组成立后，我们及时制定了风险评估工作方案，明确了指导思想和主要原则、专家组成员筛选办法、具体评估办法和步骤，确保了工作有序推进。</w:t>
      </w:r>
    </w:p>
    <w:p w14:paraId="5778374D">
      <w:pPr>
        <w:pStyle w:val="6"/>
        <w:bidi w:val="0"/>
        <w:ind w:left="720" w:leftChars="0" w:hanging="300" w:firstLineChars="0"/>
        <w:rPr>
          <w:rFonts w:hint="eastAsia"/>
        </w:rPr>
      </w:pPr>
      <w:r>
        <w:rPr>
          <w:rFonts w:hint="eastAsia"/>
        </w:rPr>
        <w:t>收集和审阅相关资料</w:t>
      </w:r>
    </w:p>
    <w:p w14:paraId="6CA9BE3F">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包括：国家和地方相关法律、法规和政策；相关规划与标准规范；项目相关可研及论证评审资料；同类或类似决策风险评估资料等。</w:t>
      </w:r>
    </w:p>
    <w:p w14:paraId="01C64812">
      <w:pPr>
        <w:pStyle w:val="6"/>
        <w:bidi w:val="0"/>
        <w:ind w:left="720" w:leftChars="0" w:hanging="300" w:firstLineChars="0"/>
        <w:rPr>
          <w:rFonts w:hint="eastAsia"/>
        </w:rPr>
      </w:pPr>
      <w:r>
        <w:rPr>
          <w:rFonts w:hint="eastAsia"/>
        </w:rPr>
        <w:t>充分听取意见</w:t>
      </w:r>
    </w:p>
    <w:p w14:paraId="597CA4AB">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通过召开座谈会等方式开展风险调查复核，充分听取相关方意见，把握利用相关方的意愿、诉求和社会历史矛盾。</w:t>
      </w:r>
    </w:p>
    <w:p w14:paraId="7035E9A9">
      <w:pPr>
        <w:pStyle w:val="6"/>
        <w:bidi w:val="0"/>
        <w:ind w:left="720" w:leftChars="0" w:hanging="300" w:firstLineChars="0"/>
        <w:rPr>
          <w:rFonts w:hint="eastAsia"/>
        </w:rPr>
      </w:pPr>
      <w:r>
        <w:rPr>
          <w:rFonts w:hint="eastAsia"/>
        </w:rPr>
        <w:t>全面评估论证</w:t>
      </w:r>
    </w:p>
    <w:p w14:paraId="2823EAB7">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重点围绕项目实施的合法性、合理性、可行性和可控性等方面进行全面、客观的分析评估；对拟建重点项目所涉及的风险调查、风险识别、风险估计、风险防范和化解措施、风险等级评判等内容逐项进行评估论证，特别是对风险因素、风险发生概率、可能引发矛盾纠纷的激烈程度和持续时间、涉及人员数量、可能产生的各种负面影响以及相关风险的可控程度进行评估论证。</w:t>
      </w:r>
    </w:p>
    <w:p w14:paraId="31D71FF4">
      <w:pPr>
        <w:pStyle w:val="6"/>
        <w:bidi w:val="0"/>
        <w:ind w:left="720" w:leftChars="0" w:hanging="300" w:firstLineChars="0"/>
        <w:rPr>
          <w:rFonts w:hint="eastAsia"/>
        </w:rPr>
      </w:pPr>
      <w:r>
        <w:rPr>
          <w:rFonts w:hint="eastAsia"/>
        </w:rPr>
        <w:t>确定风险等级</w:t>
      </w:r>
    </w:p>
    <w:p w14:paraId="23D2AC91">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在综合考虑各方意见和全面分析论证的基础上，按照《国家发展改革委重大固定资产投资项目社会稳定风险评估暂行办法》的风险等级划分标准，对项目的社会风险等级做出客观、公正的评判，确定项目社会稳定风险的高、中、低等级。</w:t>
      </w:r>
    </w:p>
    <w:p w14:paraId="0706A0CC">
      <w:pPr>
        <w:pStyle w:val="6"/>
        <w:bidi w:val="0"/>
        <w:ind w:left="720" w:leftChars="0" w:hanging="300" w:firstLineChars="0"/>
        <w:rPr>
          <w:rFonts w:hint="eastAsia"/>
        </w:rPr>
      </w:pPr>
      <w:r>
        <w:rPr>
          <w:rFonts w:hint="eastAsia"/>
        </w:rPr>
        <w:t>编制评估报告</w:t>
      </w:r>
    </w:p>
    <w:p w14:paraId="6FF3150E">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按照有关要求，编制环翠区污水处理厂排河工程项目社会稳定风险评估报告，在进一步征询各镇街及相关部门意见的基础上，修改完善评估报告。</w:t>
      </w:r>
    </w:p>
    <w:p w14:paraId="23EB7963">
      <w:pPr>
        <w:spacing w:line="540" w:lineRule="exact"/>
        <w:ind w:firstLine="560" w:firstLineChars="200"/>
        <w:rPr>
          <w:rFonts w:hint="eastAsia" w:ascii="仿宋" w:hAnsi="仿宋" w:eastAsia="仿宋"/>
          <w:kern w:val="0"/>
          <w:sz w:val="28"/>
          <w:szCs w:val="32"/>
          <w:lang w:val="en-US" w:eastAsia="zh-CN"/>
        </w:rPr>
        <w:sectPr>
          <w:headerReference r:id="rId9" w:type="default"/>
          <w:pgSz w:w="11906" w:h="16838"/>
          <w:pgMar w:top="1440" w:right="1797" w:bottom="1440" w:left="1797" w:header="851" w:footer="992" w:gutter="0"/>
          <w:pgBorders>
            <w:top w:val="none" w:sz="0" w:space="0"/>
            <w:left w:val="none" w:sz="0" w:space="0"/>
            <w:bottom w:val="none" w:sz="0" w:space="0"/>
            <w:right w:val="none" w:sz="0" w:space="0"/>
          </w:pgBorders>
          <w:pgNumType w:fmt="decimal"/>
          <w:cols w:space="720" w:num="1"/>
          <w:docGrid w:linePitch="312" w:charSpace="0"/>
        </w:sectPr>
      </w:pPr>
      <w:bookmarkStart w:id="12" w:name="_Toc65171893"/>
      <w:bookmarkStart w:id="13" w:name="_Toc65171621"/>
    </w:p>
    <w:p w14:paraId="237D6F65">
      <w:pPr>
        <w:pStyle w:val="3"/>
        <w:bidi w:val="0"/>
        <w:ind w:left="432" w:leftChars="0" w:hanging="432" w:firstLineChars="0"/>
      </w:pPr>
      <w:bookmarkStart w:id="14" w:name="_Toc25320"/>
      <w:r>
        <w:rPr>
          <w:rFonts w:hint="eastAsia"/>
          <w:lang w:val="en-US" w:eastAsia="zh-CN"/>
        </w:rPr>
        <w:t>评估内容</w:t>
      </w:r>
      <w:bookmarkEnd w:id="14"/>
    </w:p>
    <w:p w14:paraId="77F416B3">
      <w:pPr>
        <w:pStyle w:val="5"/>
        <w:bidi w:val="0"/>
        <w:ind w:left="995" w:leftChars="0" w:hanging="575" w:firstLineChars="0"/>
        <w:rPr>
          <w:rFonts w:hint="eastAsia"/>
          <w:lang w:val="en-US" w:eastAsia="zh-CN"/>
        </w:rPr>
      </w:pPr>
      <w:bookmarkStart w:id="15" w:name="_Toc31345"/>
      <w:r>
        <w:rPr>
          <w:rFonts w:hint="eastAsia"/>
          <w:lang w:val="en-US" w:eastAsia="zh-CN"/>
        </w:rPr>
        <w:t>风险调查评估及各方意见采纳情况</w:t>
      </w:r>
      <w:bookmarkEnd w:id="15"/>
    </w:p>
    <w:p w14:paraId="1A3D1184">
      <w:pPr>
        <w:pStyle w:val="6"/>
        <w:bidi w:val="0"/>
        <w:ind w:left="720" w:leftChars="0" w:hanging="300" w:firstLineChars="0"/>
        <w:rPr>
          <w:rFonts w:hint="eastAsia"/>
        </w:rPr>
      </w:pPr>
      <w:r>
        <w:rPr>
          <w:rFonts w:hint="eastAsia"/>
        </w:rPr>
        <w:t>调查评估情况</w:t>
      </w:r>
    </w:p>
    <w:p w14:paraId="4CEF3062">
      <w:pPr>
        <w:spacing w:line="610" w:lineRule="exact"/>
        <w:ind w:firstLine="640" w:firstLineChars="200"/>
        <w:rPr>
          <w:rFonts w:hint="eastAsia" w:ascii="楷体_GB2312" w:eastAsia="楷体_GB2312"/>
          <w:sz w:val="32"/>
          <w:szCs w:val="32"/>
        </w:rPr>
      </w:pPr>
      <w:r>
        <w:rPr>
          <w:rFonts w:hint="eastAsia" w:ascii="楷体_GB2312" w:eastAsia="楷体_GB2312"/>
          <w:sz w:val="32"/>
          <w:szCs w:val="32"/>
        </w:rPr>
        <w:t>（一）调查评估情况。</w:t>
      </w:r>
    </w:p>
    <w:p w14:paraId="0312B1AC">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组织专家评估论证，邀请市水利事务服务中心的专家，对项目进行评估论证。</w:t>
      </w:r>
    </w:p>
    <w:p w14:paraId="22CE504C">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组织各区区市代表召开座谈会，与会人员包括：局分管领导、相关业务科室负责人。三是征求各镇街、区财政局、区自然资源和规划局、区审批局、区生态环境局意见并完成会签。同时</w:t>
      </w:r>
      <w:r>
        <w:rPr>
          <w:rFonts w:hint="eastAsia" w:ascii="仿宋" w:hAnsi="仿宋" w:eastAsia="仿宋"/>
          <w:color w:val="FF0000"/>
          <w:kern w:val="0"/>
          <w:sz w:val="28"/>
          <w:szCs w:val="32"/>
          <w:lang w:val="en-US" w:eastAsia="zh-CN"/>
        </w:rPr>
        <w:t>，</w:t>
      </w:r>
      <w:r>
        <w:rPr>
          <w:rFonts w:hint="eastAsia" w:ascii="仿宋" w:hAnsi="仿宋" w:eastAsia="仿宋"/>
          <w:color w:val="auto"/>
          <w:kern w:val="0"/>
          <w:sz w:val="28"/>
          <w:szCs w:val="32"/>
          <w:lang w:val="en-US" w:eastAsia="zh-CN"/>
        </w:rPr>
        <w:t>自2024年12月20日至2025年1月20日于环翠区政府网站对项目相关信息进行公告并广泛听取公众意见，</w:t>
      </w:r>
      <w:r>
        <w:rPr>
          <w:rFonts w:hint="eastAsia" w:ascii="仿宋" w:hAnsi="仿宋" w:eastAsia="仿宋"/>
          <w:kern w:val="0"/>
          <w:sz w:val="28"/>
          <w:szCs w:val="32"/>
          <w:lang w:val="en-US" w:eastAsia="zh-CN"/>
        </w:rPr>
        <w:t>截至公示期结束，未收到社会公众反对意见。</w:t>
      </w:r>
    </w:p>
    <w:p w14:paraId="5D12D112">
      <w:pPr>
        <w:numPr>
          <w:ilvl w:val="0"/>
          <w:numId w:val="4"/>
        </w:numPr>
        <w:spacing w:line="610" w:lineRule="exact"/>
        <w:ind w:firstLine="640" w:firstLineChars="200"/>
        <w:rPr>
          <w:rFonts w:eastAsia="楷体_GB2312"/>
          <w:sz w:val="32"/>
          <w:szCs w:val="32"/>
        </w:rPr>
      </w:pPr>
      <w:r>
        <w:rPr>
          <w:rFonts w:eastAsia="楷体_GB2312"/>
          <w:sz w:val="32"/>
          <w:szCs w:val="32"/>
        </w:rPr>
        <w:t>各方意见采纳情况。</w:t>
      </w:r>
    </w:p>
    <w:p w14:paraId="7DE52F29">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我们对征集到的各种意见、建议及时归纳整理，积极借鉴吸收，进一步完善充实了项目方案。</w:t>
      </w:r>
      <w:bookmarkEnd w:id="12"/>
      <w:bookmarkEnd w:id="13"/>
    </w:p>
    <w:p w14:paraId="1EB845D5">
      <w:pPr>
        <w:pStyle w:val="5"/>
        <w:bidi w:val="0"/>
        <w:ind w:left="995" w:leftChars="0" w:hanging="575" w:firstLineChars="0"/>
        <w:rPr>
          <w:rFonts w:hint="default"/>
          <w:lang w:val="en-US" w:eastAsia="zh-CN"/>
        </w:rPr>
      </w:pPr>
      <w:bookmarkStart w:id="16" w:name="_Toc3327"/>
      <w:r>
        <w:rPr>
          <w:rFonts w:hint="eastAsia"/>
          <w:lang w:val="en-US" w:eastAsia="zh-CN"/>
        </w:rPr>
        <w:t>风险识别和估计的评估</w:t>
      </w:r>
      <w:bookmarkEnd w:id="16"/>
    </w:p>
    <w:p w14:paraId="2055129D">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我们对征集到的各种意见、建议及时归纳整理，积极借鉴吸收，进一步完善充实了项目方案。为确保项目的顺利实施，规避社会稳定风险，我们在风险调查评估的基础上，评估工作组采用了对照表法和专家咨询法等形式，从决策期、准备期、实施期、运营期等方面，对项目实行了全链条分析研判，经梳理共查找可能诱发社会性群体事件的潜在风险因素，具体归纳为以下5类：</w:t>
      </w:r>
    </w:p>
    <w:tbl>
      <w:tblPr>
        <w:tblStyle w:val="19"/>
        <w:tblW w:w="528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71"/>
        <w:gridCol w:w="1650"/>
        <w:gridCol w:w="4348"/>
        <w:gridCol w:w="3037"/>
      </w:tblGrid>
      <w:tr w14:paraId="31D17F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DB74C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8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5B6A7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风险因素</w:t>
            </w:r>
          </w:p>
        </w:tc>
        <w:tc>
          <w:tcPr>
            <w:tcW w:w="22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4A10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主要风险点</w:t>
            </w:r>
          </w:p>
        </w:tc>
        <w:tc>
          <w:tcPr>
            <w:tcW w:w="1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5DB90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发生阶段</w:t>
            </w:r>
          </w:p>
        </w:tc>
      </w:tr>
      <w:tr w14:paraId="7B731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20" w:hRule="atLeast"/>
        </w:trPr>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67F0E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3C45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工程</w:t>
            </w:r>
            <w:r>
              <w:rPr>
                <w:rFonts w:hint="eastAsia" w:ascii="宋体" w:hAnsi="宋体" w:eastAsia="宋体" w:cs="宋体"/>
                <w:i w:val="0"/>
                <w:iCs w:val="0"/>
                <w:color w:val="000000"/>
                <w:kern w:val="0"/>
                <w:sz w:val="22"/>
                <w:szCs w:val="22"/>
                <w:u w:val="none"/>
                <w:lang w:val="en-US" w:eastAsia="zh-CN" w:bidi="ar"/>
              </w:rPr>
              <w:t>方案</w:t>
            </w:r>
          </w:p>
        </w:tc>
        <w:tc>
          <w:tcPr>
            <w:tcW w:w="22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BE3C8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项目与既有管线冲突风险；施工方案对噪音、道路封闭制考虑不足的风险；检修不便，导致应急抢修延迟的风险；工程失事引发的风险。</w:t>
            </w:r>
          </w:p>
        </w:tc>
        <w:tc>
          <w:tcPr>
            <w:tcW w:w="1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6536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实施期、 运营期</w:t>
            </w:r>
          </w:p>
        </w:tc>
      </w:tr>
      <w:tr w14:paraId="20F23F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50" w:hRule="atLeast"/>
        </w:trPr>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FDEF4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8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C9771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项目单位管理</w:t>
            </w:r>
          </w:p>
        </w:tc>
        <w:tc>
          <w:tcPr>
            <w:tcW w:w="22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F528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工程款拨付不及时引发的风险；施工及检修影响（如停水停电、道路封闭）未提前通知社区的风险；监测、检测数据未及时公示的风险。</w:t>
            </w:r>
          </w:p>
        </w:tc>
        <w:tc>
          <w:tcPr>
            <w:tcW w:w="1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C277C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实施期、 运营期</w:t>
            </w:r>
          </w:p>
        </w:tc>
      </w:tr>
      <w:tr w14:paraId="3DD3E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96" w:hRule="atLeast"/>
        </w:trPr>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95FB3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8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CC174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文明施工、安全和质量管理</w:t>
            </w:r>
          </w:p>
        </w:tc>
        <w:tc>
          <w:tcPr>
            <w:tcW w:w="22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E00D9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违反文明施工、安全和质量管理的相关规定，可能造成环境污染、停水、停电、停气、影响交通等突发状况，给周边居民生活带来不便；可能会造成工程意外伤害、施工班组群斗、村民阻挠施工等突发状况</w:t>
            </w:r>
          </w:p>
        </w:tc>
        <w:tc>
          <w:tcPr>
            <w:tcW w:w="1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2ACF4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实施期</w:t>
            </w:r>
          </w:p>
        </w:tc>
      </w:tr>
      <w:tr w14:paraId="11350D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20" w:hRule="atLeast"/>
        </w:trPr>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2F358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8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8912B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社会治安和公共安全</w:t>
            </w:r>
          </w:p>
        </w:tc>
        <w:tc>
          <w:tcPr>
            <w:tcW w:w="22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095DF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施工期外来人员涌入，对村庄社会管理和治安有一定冲击，管理不当，可能与当地居民产生冲突的风险；</w:t>
            </w:r>
          </w:p>
        </w:tc>
        <w:tc>
          <w:tcPr>
            <w:tcW w:w="1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778E5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实施期</w:t>
            </w:r>
          </w:p>
        </w:tc>
      </w:tr>
      <w:tr w14:paraId="65071D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15" w:hRule="atLeast"/>
        </w:trPr>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0179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8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0C138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舆论导向及其影响</w:t>
            </w:r>
          </w:p>
        </w:tc>
        <w:tc>
          <w:tcPr>
            <w:tcW w:w="22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B56F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政府、媒体或个人宣传、引导不当的风险；宣传不到位引发群众舆论误读的风险。</w:t>
            </w:r>
          </w:p>
        </w:tc>
        <w:tc>
          <w:tcPr>
            <w:tcW w:w="1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9003F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决策期、准备期、实施期、运营期</w:t>
            </w:r>
          </w:p>
        </w:tc>
      </w:tr>
    </w:tbl>
    <w:p w14:paraId="02003E42">
      <w:pPr>
        <w:pStyle w:val="5"/>
        <w:bidi w:val="0"/>
        <w:ind w:left="995" w:leftChars="0" w:hanging="575" w:firstLineChars="0"/>
        <w:rPr>
          <w:rFonts w:hint="eastAsia"/>
          <w:lang w:val="en-US" w:eastAsia="zh-CN"/>
        </w:rPr>
      </w:pPr>
      <w:bookmarkStart w:id="17" w:name="_Toc6406"/>
      <w:r>
        <w:rPr>
          <w:rFonts w:hint="eastAsia"/>
          <w:lang w:val="en-US" w:eastAsia="zh-CN"/>
        </w:rPr>
        <w:t>风险防范和化解措施的评估。</w:t>
      </w:r>
      <w:bookmarkEnd w:id="17"/>
    </w:p>
    <w:p w14:paraId="1FEDE847">
      <w:pPr>
        <w:pStyle w:val="6"/>
        <w:bidi w:val="0"/>
        <w:ind w:left="720" w:leftChars="0" w:hanging="300" w:firstLineChars="0"/>
        <w:rPr>
          <w:rFonts w:hint="eastAsia" w:eastAsia="仿宋_GB2312"/>
          <w:sz w:val="32"/>
          <w:szCs w:val="32"/>
        </w:rPr>
      </w:pPr>
      <w:r>
        <w:rPr>
          <w:rFonts w:hint="eastAsia" w:eastAsia="仿宋_GB2312"/>
          <w:sz w:val="32"/>
          <w:szCs w:val="32"/>
        </w:rPr>
        <w:t>应急处置方案</w:t>
      </w:r>
    </w:p>
    <w:p w14:paraId="4B676DC7">
      <w:pPr>
        <w:spacing w:line="610" w:lineRule="exact"/>
        <w:ind w:firstLine="640" w:firstLineChars="200"/>
        <w:rPr>
          <w:rFonts w:hint="eastAsia" w:eastAsia="仿宋_GB2312"/>
          <w:sz w:val="32"/>
          <w:szCs w:val="32"/>
        </w:rPr>
      </w:pPr>
      <w:r>
        <w:rPr>
          <w:rFonts w:hint="eastAsia" w:eastAsia="仿宋_GB2312"/>
          <w:sz w:val="32"/>
          <w:szCs w:val="32"/>
        </w:rPr>
        <w:t>1.工作原则。</w:t>
      </w:r>
    </w:p>
    <w:p w14:paraId="22A796FF">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社会稳定应急预案的工作原则是重点稳控，紧急处置，职责明确，统筹配合。</w:t>
      </w:r>
    </w:p>
    <w:p w14:paraId="6B827916">
      <w:pPr>
        <w:spacing w:line="610" w:lineRule="exact"/>
        <w:ind w:firstLine="640" w:firstLineChars="200"/>
        <w:rPr>
          <w:rFonts w:hint="eastAsia" w:eastAsia="仿宋_GB2312"/>
          <w:sz w:val="32"/>
          <w:szCs w:val="32"/>
        </w:rPr>
      </w:pPr>
      <w:r>
        <w:rPr>
          <w:rFonts w:hint="eastAsia" w:eastAsia="仿宋_GB2312"/>
          <w:sz w:val="32"/>
          <w:szCs w:val="32"/>
        </w:rPr>
        <w:t>2.组织保障。</w:t>
      </w:r>
    </w:p>
    <w:p w14:paraId="59F5FCF5">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1）建议项目实施过程中，按照属地管理原则，由项目所在镇街（管委）牵头成立项目社会稳定工作协调领导小组，统一管理和领导，包括维稳、信访、发改等部门以及项目建设单位等各相关单位。明确参与人员，加强领导、强化责任意识，建立高效的联动工作机制。落实维护社会稳定责任制，明确维护社会稳定工作的重点部位、重点问题。对维护社会稳定工作实行目标管理，并对各责任部门维护社会稳定工作进行考核。</w:t>
      </w:r>
    </w:p>
    <w:p w14:paraId="74A8134D">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2）要设立维稳工作岗位，配备专、兼职维稳工作人员，加强维稳工作人员知识技能培训，不断提高维稳接待和处置能力，引导社会稳定问题通过正常途径反映和解决。在接到重大社会不稳定通报后，有关人员要保证 24 小时值班和电话畅通，随时掌握各方面信息，并保证信息能够及时的上传下达。</w:t>
      </w:r>
    </w:p>
    <w:p w14:paraId="06FEB662">
      <w:pPr>
        <w:spacing w:line="610" w:lineRule="exact"/>
        <w:ind w:firstLine="640" w:firstLineChars="200"/>
        <w:rPr>
          <w:rFonts w:hint="eastAsia" w:eastAsia="仿宋_GB2312"/>
          <w:sz w:val="32"/>
          <w:szCs w:val="32"/>
        </w:rPr>
      </w:pPr>
      <w:r>
        <w:rPr>
          <w:rFonts w:hint="eastAsia" w:eastAsia="仿宋_GB2312"/>
          <w:sz w:val="32"/>
          <w:szCs w:val="32"/>
        </w:rPr>
        <w:t>3.制度保障。</w:t>
      </w:r>
    </w:p>
    <w:p w14:paraId="2A8CBE4D">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（1）把维护社会稳定工作列入项目建设重要议事日程，定期组织召开维护社会稳定工作会议，听取有关单位社会稳定工作汇报；认真研究公众反映的新情况、新问题，分析可能出现的重大问题研究对策。</w:t>
      </w:r>
    </w:p>
    <w:p w14:paraId="722198DA">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（2）坚持走访调研工作制度，由群众反映变为走访，深入工程现场、社区，倾听群众意见建议，有针对性地研究和解决问题。</w:t>
      </w:r>
    </w:p>
    <w:p w14:paraId="5ACF9612">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（3）坚持信息通报、预测排查制度，对群众反映的普遍性、突出性问题，研究制定解决办法，发现群体性事件苗头，要及时就地化解。</w:t>
      </w:r>
    </w:p>
    <w:p w14:paraId="7814105A">
      <w:pPr>
        <w:spacing w:line="610" w:lineRule="exact"/>
        <w:ind w:firstLine="640" w:firstLineChars="200"/>
        <w:rPr>
          <w:rFonts w:hint="eastAsia" w:eastAsia="仿宋_GB2312"/>
          <w:sz w:val="32"/>
          <w:szCs w:val="32"/>
        </w:rPr>
      </w:pPr>
      <w:r>
        <w:rPr>
          <w:rFonts w:hint="eastAsia" w:eastAsia="仿宋_GB2312"/>
          <w:sz w:val="32"/>
          <w:szCs w:val="32"/>
        </w:rPr>
        <w:t>4.应急措施。</w:t>
      </w:r>
    </w:p>
    <w:p w14:paraId="7B5F9716">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发现重大社会稳定问题苗头或事件时，启动预案，并按以下程序开展工作：</w:t>
      </w:r>
    </w:p>
    <w:p w14:paraId="4BB435DC">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（1）对已发生的群体性事件，相关部门要认真接待，有关人员及时赶赴现场做好耐心细致的疏导工作，防止矛盾激化。</w:t>
      </w:r>
    </w:p>
    <w:p w14:paraId="087A92CC">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（2）第一时间召开维护社会稳定工作会议，通报不稳定情况和处理情况，分析研究可能出现的重大问题及对策。并将不稳定情况向上级有关部门报告，并制定联动机制。</w:t>
      </w:r>
    </w:p>
    <w:p w14:paraId="564AD6E5">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3）对已发生的群体性事件，相关人员应迅速赶赴现场组织工作。以教育、疏导为主，力争把问题解决在萌芽或初始状态。对问题复杂、规模较大的群体性事件要及时控制现场，防止矛盾激化，由此造成的损失降低至最低程度。</w:t>
      </w:r>
    </w:p>
    <w:p w14:paraId="1A6E4707">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（4）对已发生的社会稳定风险进行全面调查，查清事件经过、分析产生原因和造成的损失，必要时启动问责机制。</w:t>
      </w:r>
    </w:p>
    <w:p w14:paraId="484CBA31">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（5）建议各实施主体对社会稳定风险进行细化分析，针对不同的风险制定相对应的具体应急处理预案，并上报上级维稳部门。</w:t>
      </w:r>
    </w:p>
    <w:p w14:paraId="595C284C">
      <w:pPr>
        <w:pStyle w:val="6"/>
        <w:bidi w:val="0"/>
        <w:ind w:left="720" w:leftChars="0" w:hanging="300" w:firstLineChars="0"/>
        <w:rPr>
          <w:rFonts w:hint="eastAsia" w:eastAsia="仿宋_GB2312"/>
          <w:sz w:val="32"/>
          <w:szCs w:val="32"/>
        </w:rPr>
      </w:pPr>
      <w:r>
        <w:rPr>
          <w:rFonts w:hint="eastAsia" w:eastAsia="仿宋_GB2312"/>
          <w:sz w:val="32"/>
          <w:szCs w:val="32"/>
        </w:rPr>
        <w:t>风险防范化解措施</w:t>
      </w:r>
    </w:p>
    <w:p w14:paraId="4905BA19">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结合以往应急处置工作经验，针对各风险点，制定了防范化解措施，并明确了责任单位和协助单位。具体情况如下：</w:t>
      </w:r>
    </w:p>
    <w:tbl>
      <w:tblPr>
        <w:tblStyle w:val="19"/>
        <w:tblW w:w="5000" w:type="pct"/>
        <w:tblInd w:w="0" w:type="dxa"/>
        <w:tblLayout w:type="autofit"/>
        <w:tblCellMar>
          <w:top w:w="0" w:type="dxa"/>
          <w:left w:w="108" w:type="dxa"/>
          <w:bottom w:w="0" w:type="dxa"/>
          <w:right w:w="108" w:type="dxa"/>
        </w:tblCellMar>
      </w:tblPr>
      <w:tblGrid>
        <w:gridCol w:w="615"/>
        <w:gridCol w:w="1197"/>
        <w:gridCol w:w="4408"/>
        <w:gridCol w:w="1444"/>
        <w:gridCol w:w="1622"/>
      </w:tblGrid>
      <w:tr w14:paraId="75E0E0D1">
        <w:tblPrEx>
          <w:tblCellMar>
            <w:top w:w="0" w:type="dxa"/>
            <w:left w:w="108" w:type="dxa"/>
            <w:bottom w:w="0" w:type="dxa"/>
            <w:right w:w="108" w:type="dxa"/>
          </w:tblCellMar>
        </w:tblPrEx>
        <w:trPr>
          <w:trHeight w:val="750" w:hRule="atLeast"/>
          <w:tblHeader/>
        </w:trPr>
        <w:tc>
          <w:tcPr>
            <w:tcW w:w="331" w:type="pct"/>
            <w:tcBorders>
              <w:top w:val="single" w:color="auto" w:sz="4" w:space="0"/>
              <w:left w:val="single" w:color="auto" w:sz="4" w:space="0"/>
              <w:bottom w:val="single" w:color="auto" w:sz="4" w:space="0"/>
              <w:right w:val="single" w:color="auto" w:sz="4" w:space="0"/>
            </w:tcBorders>
            <w:noWrap w:val="0"/>
            <w:vAlign w:val="center"/>
          </w:tcPr>
          <w:p w14:paraId="52DF2736">
            <w:pPr>
              <w:keepNext w:val="0"/>
              <w:keepLines w:val="0"/>
              <w:widowControl/>
              <w:suppressLineNumbers w:val="0"/>
              <w:spacing w:before="0" w:beforeAutospacing="0" w:after="0" w:afterAutospacing="0" w:line="610" w:lineRule="exact"/>
              <w:ind w:left="0" w:right="0"/>
              <w:jc w:val="center"/>
              <w:rPr>
                <w:rFonts w:hint="default" w:ascii="宋体" w:hAnsi="宋体" w:cs="宋体"/>
                <w:b/>
                <w:bCs/>
                <w:color w:val="000000"/>
                <w:kern w:val="0"/>
                <w:sz w:val="22"/>
                <w:szCs w:val="22"/>
              </w:rPr>
            </w:pPr>
            <w:r>
              <w:rPr>
                <w:rFonts w:hint="eastAsia" w:ascii="宋体" w:hAnsi="宋体" w:cs="宋体"/>
                <w:b/>
                <w:bCs/>
                <w:color w:val="000000"/>
                <w:kern w:val="0"/>
                <w:sz w:val="22"/>
                <w:szCs w:val="22"/>
              </w:rPr>
              <w:t>序号</w:t>
            </w:r>
          </w:p>
        </w:tc>
        <w:tc>
          <w:tcPr>
            <w:tcW w:w="644" w:type="pct"/>
            <w:tcBorders>
              <w:top w:val="single" w:color="auto" w:sz="4" w:space="0"/>
              <w:left w:val="nil"/>
              <w:bottom w:val="single" w:color="auto" w:sz="4" w:space="0"/>
              <w:right w:val="single" w:color="auto" w:sz="4" w:space="0"/>
            </w:tcBorders>
            <w:noWrap w:val="0"/>
            <w:vAlign w:val="center"/>
          </w:tcPr>
          <w:p w14:paraId="037DF1F7">
            <w:pPr>
              <w:keepNext w:val="0"/>
              <w:keepLines w:val="0"/>
              <w:widowControl/>
              <w:suppressLineNumbers w:val="0"/>
              <w:spacing w:before="0" w:beforeAutospacing="0" w:after="0" w:afterAutospacing="0" w:line="610" w:lineRule="exact"/>
              <w:ind w:left="0" w:right="0"/>
              <w:jc w:val="center"/>
              <w:rPr>
                <w:rFonts w:hint="default" w:ascii="宋体" w:hAnsi="宋体" w:cs="宋体"/>
                <w:b/>
                <w:bCs/>
                <w:color w:val="000000"/>
                <w:kern w:val="0"/>
                <w:sz w:val="22"/>
                <w:szCs w:val="22"/>
              </w:rPr>
            </w:pPr>
            <w:r>
              <w:rPr>
                <w:rFonts w:hint="eastAsia" w:ascii="宋体" w:hAnsi="宋体" w:cs="宋体"/>
                <w:b/>
                <w:bCs/>
                <w:color w:val="000000"/>
                <w:kern w:val="0"/>
                <w:sz w:val="22"/>
                <w:szCs w:val="22"/>
              </w:rPr>
              <w:t>风险因素</w:t>
            </w:r>
          </w:p>
        </w:tc>
        <w:tc>
          <w:tcPr>
            <w:tcW w:w="2372" w:type="pct"/>
            <w:tcBorders>
              <w:top w:val="single" w:color="auto" w:sz="4" w:space="0"/>
              <w:left w:val="nil"/>
              <w:bottom w:val="single" w:color="auto" w:sz="4" w:space="0"/>
              <w:right w:val="single" w:color="auto" w:sz="4" w:space="0"/>
            </w:tcBorders>
            <w:noWrap w:val="0"/>
            <w:vAlign w:val="center"/>
          </w:tcPr>
          <w:p w14:paraId="3F4EA708">
            <w:pPr>
              <w:keepNext w:val="0"/>
              <w:keepLines w:val="0"/>
              <w:widowControl/>
              <w:suppressLineNumbers w:val="0"/>
              <w:spacing w:before="0" w:beforeAutospacing="0" w:after="0" w:afterAutospacing="0" w:line="610" w:lineRule="exact"/>
              <w:ind w:left="0" w:right="0"/>
              <w:jc w:val="center"/>
              <w:rPr>
                <w:rFonts w:hint="default" w:ascii="宋体" w:hAnsi="宋体" w:cs="宋体"/>
                <w:b/>
                <w:bCs/>
                <w:color w:val="000000"/>
                <w:kern w:val="0"/>
                <w:sz w:val="22"/>
                <w:szCs w:val="22"/>
              </w:rPr>
            </w:pPr>
            <w:r>
              <w:rPr>
                <w:rFonts w:hint="eastAsia" w:ascii="宋体" w:hAnsi="宋体" w:cs="宋体"/>
                <w:b/>
                <w:bCs/>
                <w:color w:val="000000"/>
                <w:kern w:val="0"/>
                <w:sz w:val="22"/>
                <w:szCs w:val="22"/>
              </w:rPr>
              <w:t>主要防范、化解措施</w:t>
            </w:r>
          </w:p>
        </w:tc>
        <w:tc>
          <w:tcPr>
            <w:tcW w:w="777" w:type="pct"/>
            <w:tcBorders>
              <w:top w:val="single" w:color="auto" w:sz="4" w:space="0"/>
              <w:left w:val="nil"/>
              <w:bottom w:val="single" w:color="auto" w:sz="4" w:space="0"/>
              <w:right w:val="single" w:color="auto" w:sz="4" w:space="0"/>
            </w:tcBorders>
            <w:noWrap w:val="0"/>
            <w:vAlign w:val="center"/>
          </w:tcPr>
          <w:p w14:paraId="66A9F3FD">
            <w:pPr>
              <w:keepNext w:val="0"/>
              <w:keepLines w:val="0"/>
              <w:widowControl/>
              <w:suppressLineNumbers w:val="0"/>
              <w:spacing w:before="0" w:beforeAutospacing="0" w:after="0" w:afterAutospacing="0" w:line="610" w:lineRule="exact"/>
              <w:ind w:left="0" w:right="0"/>
              <w:jc w:val="center"/>
              <w:rPr>
                <w:rFonts w:hint="default" w:ascii="宋体" w:hAnsi="宋体" w:cs="宋体"/>
                <w:b/>
                <w:bCs/>
                <w:color w:val="000000"/>
                <w:kern w:val="0"/>
                <w:sz w:val="22"/>
                <w:szCs w:val="22"/>
              </w:rPr>
            </w:pPr>
            <w:r>
              <w:rPr>
                <w:rFonts w:hint="eastAsia" w:ascii="宋体" w:hAnsi="宋体" w:cs="宋体"/>
                <w:b/>
                <w:bCs/>
                <w:color w:val="000000"/>
                <w:kern w:val="0"/>
                <w:sz w:val="22"/>
                <w:szCs w:val="22"/>
              </w:rPr>
              <w:t>责任主体</w:t>
            </w:r>
          </w:p>
        </w:tc>
        <w:tc>
          <w:tcPr>
            <w:tcW w:w="873" w:type="pct"/>
            <w:tcBorders>
              <w:top w:val="single" w:color="auto" w:sz="4" w:space="0"/>
              <w:left w:val="nil"/>
              <w:bottom w:val="single" w:color="auto" w:sz="4" w:space="0"/>
              <w:right w:val="single" w:color="auto" w:sz="4" w:space="0"/>
            </w:tcBorders>
            <w:noWrap w:val="0"/>
            <w:vAlign w:val="center"/>
          </w:tcPr>
          <w:p w14:paraId="0D3739EE">
            <w:pPr>
              <w:keepNext w:val="0"/>
              <w:keepLines w:val="0"/>
              <w:widowControl/>
              <w:suppressLineNumbers w:val="0"/>
              <w:spacing w:before="0" w:beforeAutospacing="0" w:after="0" w:afterAutospacing="0" w:line="610" w:lineRule="exact"/>
              <w:ind w:left="0" w:right="0"/>
              <w:jc w:val="center"/>
              <w:rPr>
                <w:rFonts w:hint="default" w:ascii="宋体" w:hAnsi="宋体" w:cs="宋体"/>
                <w:b/>
                <w:bCs/>
                <w:color w:val="000000"/>
                <w:kern w:val="0"/>
                <w:sz w:val="22"/>
                <w:szCs w:val="22"/>
              </w:rPr>
            </w:pPr>
            <w:r>
              <w:rPr>
                <w:rFonts w:hint="eastAsia" w:ascii="宋体" w:hAnsi="宋体" w:cs="宋体"/>
                <w:b/>
                <w:bCs/>
                <w:color w:val="000000"/>
                <w:kern w:val="0"/>
                <w:sz w:val="22"/>
                <w:szCs w:val="22"/>
              </w:rPr>
              <w:t>协助单位</w:t>
            </w:r>
          </w:p>
        </w:tc>
      </w:tr>
      <w:tr w14:paraId="25BA5E67">
        <w:tblPrEx>
          <w:tblCellMar>
            <w:top w:w="0" w:type="dxa"/>
            <w:left w:w="108" w:type="dxa"/>
            <w:bottom w:w="0" w:type="dxa"/>
            <w:right w:w="108" w:type="dxa"/>
          </w:tblCellMar>
        </w:tblPrEx>
        <w:trPr>
          <w:trHeight w:val="750" w:hRule="atLeast"/>
        </w:trPr>
        <w:tc>
          <w:tcPr>
            <w:tcW w:w="331" w:type="pct"/>
            <w:vMerge w:val="restart"/>
            <w:tcBorders>
              <w:top w:val="nil"/>
              <w:left w:val="single" w:color="auto" w:sz="4" w:space="0"/>
              <w:right w:val="single" w:color="auto" w:sz="4" w:space="0"/>
            </w:tcBorders>
            <w:noWrap w:val="0"/>
            <w:vAlign w:val="center"/>
          </w:tcPr>
          <w:p w14:paraId="1A24C70E">
            <w:pPr>
              <w:keepNext w:val="0"/>
              <w:keepLines w:val="0"/>
              <w:widowControl/>
              <w:suppressLineNumbers w:val="0"/>
              <w:spacing w:before="0" w:beforeAutospacing="0" w:after="0" w:afterAutospacing="0" w:line="61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1</w:t>
            </w:r>
          </w:p>
        </w:tc>
        <w:tc>
          <w:tcPr>
            <w:tcW w:w="644" w:type="pct"/>
            <w:vMerge w:val="restart"/>
            <w:tcBorders>
              <w:top w:val="nil"/>
              <w:left w:val="single" w:color="auto" w:sz="4" w:space="0"/>
              <w:right w:val="single" w:color="auto" w:sz="4" w:space="0"/>
            </w:tcBorders>
            <w:noWrap w:val="0"/>
            <w:vAlign w:val="center"/>
          </w:tcPr>
          <w:p w14:paraId="24634B29">
            <w:pPr>
              <w:keepNext w:val="0"/>
              <w:keepLines w:val="0"/>
              <w:widowControl/>
              <w:suppressLineNumbers w:val="0"/>
              <w:adjustRightInd w:val="0"/>
              <w:snapToGrid w:val="0"/>
              <w:spacing w:before="0" w:beforeAutospacing="0" w:after="0" w:afterAutospacing="0" w:line="61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工程方案</w:t>
            </w:r>
          </w:p>
        </w:tc>
        <w:tc>
          <w:tcPr>
            <w:tcW w:w="2372" w:type="pct"/>
            <w:tcBorders>
              <w:top w:val="nil"/>
              <w:left w:val="nil"/>
              <w:bottom w:val="single" w:color="auto" w:sz="4" w:space="0"/>
              <w:right w:val="single" w:color="auto" w:sz="4" w:space="0"/>
            </w:tcBorders>
            <w:noWrap w:val="0"/>
            <w:vAlign w:val="center"/>
          </w:tcPr>
          <w:p w14:paraId="08494B4A">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(1)工程严格按照有关规范、规程进行设计、施工，避免与已有管线发生冲突</w:t>
            </w:r>
          </w:p>
        </w:tc>
        <w:tc>
          <w:tcPr>
            <w:tcW w:w="777" w:type="pct"/>
            <w:tcBorders>
              <w:top w:val="nil"/>
              <w:left w:val="nil"/>
              <w:bottom w:val="single" w:color="auto" w:sz="4" w:space="0"/>
              <w:right w:val="single" w:color="auto" w:sz="4" w:space="0"/>
            </w:tcBorders>
            <w:noWrap w:val="0"/>
            <w:vAlign w:val="center"/>
          </w:tcPr>
          <w:p w14:paraId="36E07864">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设计单位、建设单位、施工单位</w:t>
            </w:r>
          </w:p>
        </w:tc>
        <w:tc>
          <w:tcPr>
            <w:tcW w:w="873" w:type="pct"/>
            <w:tcBorders>
              <w:top w:val="nil"/>
              <w:left w:val="nil"/>
              <w:bottom w:val="single" w:color="auto" w:sz="4" w:space="0"/>
              <w:right w:val="single" w:color="auto" w:sz="4" w:space="0"/>
            </w:tcBorders>
            <w:noWrap w:val="0"/>
            <w:vAlign w:val="center"/>
          </w:tcPr>
          <w:p w14:paraId="4998B38F">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　</w:t>
            </w:r>
          </w:p>
        </w:tc>
      </w:tr>
      <w:tr w14:paraId="736C2851">
        <w:tblPrEx>
          <w:tblCellMar>
            <w:top w:w="0" w:type="dxa"/>
            <w:left w:w="108" w:type="dxa"/>
            <w:bottom w:w="0" w:type="dxa"/>
            <w:right w:w="108" w:type="dxa"/>
          </w:tblCellMar>
        </w:tblPrEx>
        <w:trPr>
          <w:trHeight w:val="750" w:hRule="atLeast"/>
        </w:trPr>
        <w:tc>
          <w:tcPr>
            <w:tcW w:w="331" w:type="pct"/>
            <w:vMerge w:val="continue"/>
            <w:tcBorders>
              <w:left w:val="single" w:color="auto" w:sz="4" w:space="0"/>
              <w:right w:val="single" w:color="auto" w:sz="4" w:space="0"/>
            </w:tcBorders>
            <w:noWrap w:val="0"/>
            <w:vAlign w:val="center"/>
          </w:tcPr>
          <w:p w14:paraId="1B37CDD5">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644" w:type="pct"/>
            <w:vMerge w:val="continue"/>
            <w:tcBorders>
              <w:left w:val="single" w:color="auto" w:sz="4" w:space="0"/>
              <w:right w:val="single" w:color="auto" w:sz="4" w:space="0"/>
            </w:tcBorders>
            <w:noWrap w:val="0"/>
            <w:vAlign w:val="center"/>
          </w:tcPr>
          <w:p w14:paraId="1F44789A">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2372" w:type="pct"/>
            <w:tcBorders>
              <w:top w:val="nil"/>
              <w:left w:val="nil"/>
              <w:bottom w:val="single" w:color="auto" w:sz="4" w:space="0"/>
              <w:right w:val="single" w:color="auto" w:sz="4" w:space="0"/>
            </w:tcBorders>
            <w:noWrap w:val="0"/>
            <w:vAlign w:val="center"/>
          </w:tcPr>
          <w:p w14:paraId="794A2648">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（2）加强工程运行管理</w:t>
            </w:r>
          </w:p>
        </w:tc>
        <w:tc>
          <w:tcPr>
            <w:tcW w:w="777" w:type="pct"/>
            <w:tcBorders>
              <w:top w:val="nil"/>
              <w:left w:val="nil"/>
              <w:bottom w:val="single" w:color="auto" w:sz="4" w:space="0"/>
              <w:right w:val="single" w:color="auto" w:sz="4" w:space="0"/>
            </w:tcBorders>
            <w:noWrap w:val="0"/>
            <w:vAlign w:val="center"/>
          </w:tcPr>
          <w:p w14:paraId="21AC68D9">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工程管理单位</w:t>
            </w:r>
          </w:p>
        </w:tc>
        <w:tc>
          <w:tcPr>
            <w:tcW w:w="873" w:type="pct"/>
            <w:tcBorders>
              <w:top w:val="nil"/>
              <w:left w:val="nil"/>
              <w:bottom w:val="single" w:color="auto" w:sz="4" w:space="0"/>
              <w:right w:val="single" w:color="auto" w:sz="4" w:space="0"/>
            </w:tcBorders>
            <w:noWrap w:val="0"/>
            <w:vAlign w:val="center"/>
          </w:tcPr>
          <w:p w14:paraId="06FBE382">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　</w:t>
            </w:r>
          </w:p>
        </w:tc>
      </w:tr>
      <w:tr w14:paraId="0D56219A">
        <w:tblPrEx>
          <w:tblCellMar>
            <w:top w:w="0" w:type="dxa"/>
            <w:left w:w="108" w:type="dxa"/>
            <w:bottom w:w="0" w:type="dxa"/>
            <w:right w:w="108" w:type="dxa"/>
          </w:tblCellMar>
        </w:tblPrEx>
        <w:trPr>
          <w:trHeight w:val="750" w:hRule="atLeast"/>
        </w:trPr>
        <w:tc>
          <w:tcPr>
            <w:tcW w:w="331" w:type="pct"/>
            <w:vMerge w:val="continue"/>
            <w:tcBorders>
              <w:left w:val="single" w:color="auto" w:sz="4" w:space="0"/>
              <w:bottom w:val="single" w:color="auto" w:sz="4" w:space="0"/>
              <w:right w:val="single" w:color="auto" w:sz="4" w:space="0"/>
            </w:tcBorders>
            <w:noWrap w:val="0"/>
            <w:vAlign w:val="center"/>
          </w:tcPr>
          <w:p w14:paraId="5E1E1A5C">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644" w:type="pct"/>
            <w:vMerge w:val="continue"/>
            <w:tcBorders>
              <w:left w:val="single" w:color="auto" w:sz="4" w:space="0"/>
              <w:bottom w:val="single" w:color="auto" w:sz="4" w:space="0"/>
              <w:right w:val="single" w:color="auto" w:sz="4" w:space="0"/>
            </w:tcBorders>
            <w:noWrap w:val="0"/>
            <w:vAlign w:val="center"/>
          </w:tcPr>
          <w:p w14:paraId="34647CAF">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2372" w:type="pct"/>
            <w:tcBorders>
              <w:top w:val="nil"/>
              <w:left w:val="nil"/>
              <w:bottom w:val="single" w:color="auto" w:sz="4" w:space="0"/>
              <w:right w:val="single" w:color="auto" w:sz="4" w:space="0"/>
            </w:tcBorders>
            <w:noWrap w:val="0"/>
            <w:vAlign w:val="center"/>
          </w:tcPr>
          <w:p w14:paraId="24032272">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（3）施工方案应考虑施工对周边居民出行及水电供应的影响。</w:t>
            </w:r>
          </w:p>
        </w:tc>
        <w:tc>
          <w:tcPr>
            <w:tcW w:w="777" w:type="pct"/>
            <w:tcBorders>
              <w:top w:val="nil"/>
              <w:left w:val="nil"/>
              <w:bottom w:val="single" w:color="auto" w:sz="4" w:space="0"/>
              <w:right w:val="single" w:color="auto" w:sz="4" w:space="0"/>
            </w:tcBorders>
            <w:noWrap w:val="0"/>
            <w:vAlign w:val="center"/>
          </w:tcPr>
          <w:p w14:paraId="35576882">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cs="宋体"/>
                <w:color w:val="000000"/>
                <w:kern w:val="0"/>
                <w:sz w:val="22"/>
                <w:szCs w:val="22"/>
              </w:rPr>
            </w:pPr>
            <w:r>
              <w:rPr>
                <w:rFonts w:hint="eastAsia" w:ascii="宋体" w:hAnsi="宋体" w:cs="宋体"/>
                <w:color w:val="000000"/>
                <w:kern w:val="0"/>
                <w:sz w:val="22"/>
                <w:szCs w:val="22"/>
              </w:rPr>
              <w:t>施工单位</w:t>
            </w:r>
          </w:p>
        </w:tc>
        <w:tc>
          <w:tcPr>
            <w:tcW w:w="873" w:type="pct"/>
            <w:tcBorders>
              <w:top w:val="nil"/>
              <w:left w:val="nil"/>
              <w:bottom w:val="single" w:color="auto" w:sz="4" w:space="0"/>
              <w:right w:val="single" w:color="auto" w:sz="4" w:space="0"/>
            </w:tcBorders>
            <w:noWrap w:val="0"/>
            <w:vAlign w:val="center"/>
          </w:tcPr>
          <w:p w14:paraId="66083C68">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cs="宋体"/>
                <w:color w:val="000000"/>
                <w:kern w:val="0"/>
                <w:sz w:val="22"/>
                <w:szCs w:val="22"/>
              </w:rPr>
            </w:pPr>
          </w:p>
        </w:tc>
      </w:tr>
      <w:tr w14:paraId="620A26BB">
        <w:tblPrEx>
          <w:tblCellMar>
            <w:top w:w="0" w:type="dxa"/>
            <w:left w:w="108" w:type="dxa"/>
            <w:bottom w:w="0" w:type="dxa"/>
            <w:right w:w="108" w:type="dxa"/>
          </w:tblCellMar>
        </w:tblPrEx>
        <w:trPr>
          <w:trHeight w:val="750" w:hRule="atLeast"/>
        </w:trPr>
        <w:tc>
          <w:tcPr>
            <w:tcW w:w="331" w:type="pct"/>
            <w:vMerge w:val="restart"/>
            <w:tcBorders>
              <w:top w:val="nil"/>
              <w:left w:val="single" w:color="auto" w:sz="4" w:space="0"/>
              <w:right w:val="single" w:color="auto" w:sz="4" w:space="0"/>
            </w:tcBorders>
            <w:noWrap w:val="0"/>
            <w:vAlign w:val="center"/>
          </w:tcPr>
          <w:p w14:paraId="16D43626">
            <w:pPr>
              <w:keepNext w:val="0"/>
              <w:keepLines w:val="0"/>
              <w:widowControl/>
              <w:suppressLineNumbers w:val="0"/>
              <w:spacing w:before="0" w:beforeAutospacing="0" w:after="0" w:afterAutospacing="0" w:line="61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2</w:t>
            </w:r>
          </w:p>
        </w:tc>
        <w:tc>
          <w:tcPr>
            <w:tcW w:w="644" w:type="pct"/>
            <w:vMerge w:val="restart"/>
            <w:tcBorders>
              <w:top w:val="nil"/>
              <w:left w:val="single" w:color="auto" w:sz="4" w:space="0"/>
              <w:right w:val="single" w:color="auto" w:sz="4" w:space="0"/>
            </w:tcBorders>
            <w:noWrap w:val="0"/>
            <w:vAlign w:val="center"/>
          </w:tcPr>
          <w:p w14:paraId="1DBAE8E0">
            <w:pPr>
              <w:keepNext w:val="0"/>
              <w:keepLines w:val="0"/>
              <w:widowControl/>
              <w:suppressLineNumbers w:val="0"/>
              <w:adjustRightInd w:val="0"/>
              <w:snapToGrid w:val="0"/>
              <w:spacing w:before="0" w:beforeAutospacing="0" w:after="0" w:afterAutospacing="0" w:line="61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项目单位管理</w:t>
            </w:r>
          </w:p>
        </w:tc>
        <w:tc>
          <w:tcPr>
            <w:tcW w:w="2372" w:type="pct"/>
            <w:tcBorders>
              <w:top w:val="nil"/>
              <w:left w:val="nil"/>
              <w:bottom w:val="single" w:color="auto" w:sz="4" w:space="0"/>
              <w:right w:val="single" w:color="auto" w:sz="4" w:space="0"/>
            </w:tcBorders>
            <w:noWrap w:val="0"/>
            <w:vAlign w:val="center"/>
          </w:tcPr>
          <w:p w14:paraId="55E26CD3">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（1）严格按照施工计划、投资计划进行建设，按工程进展和合同要求向承包商及时拨付工程款</w:t>
            </w:r>
          </w:p>
        </w:tc>
        <w:tc>
          <w:tcPr>
            <w:tcW w:w="777" w:type="pct"/>
            <w:tcBorders>
              <w:top w:val="nil"/>
              <w:left w:val="nil"/>
              <w:bottom w:val="single" w:color="auto" w:sz="4" w:space="0"/>
              <w:right w:val="single" w:color="auto" w:sz="4" w:space="0"/>
            </w:tcBorders>
            <w:noWrap w:val="0"/>
            <w:vAlign w:val="center"/>
          </w:tcPr>
          <w:p w14:paraId="46D8D9D0">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工程建设单位</w:t>
            </w:r>
          </w:p>
        </w:tc>
        <w:tc>
          <w:tcPr>
            <w:tcW w:w="873" w:type="pct"/>
            <w:tcBorders>
              <w:top w:val="nil"/>
              <w:left w:val="nil"/>
              <w:bottom w:val="single" w:color="auto" w:sz="4" w:space="0"/>
              <w:right w:val="single" w:color="auto" w:sz="4" w:space="0"/>
            </w:tcBorders>
            <w:noWrap w:val="0"/>
            <w:vAlign w:val="center"/>
          </w:tcPr>
          <w:p w14:paraId="269E0DC2">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　</w:t>
            </w:r>
          </w:p>
        </w:tc>
      </w:tr>
      <w:tr w14:paraId="2B15E2B7">
        <w:tblPrEx>
          <w:tblCellMar>
            <w:top w:w="0" w:type="dxa"/>
            <w:left w:w="108" w:type="dxa"/>
            <w:bottom w:w="0" w:type="dxa"/>
            <w:right w:w="108" w:type="dxa"/>
          </w:tblCellMar>
        </w:tblPrEx>
        <w:trPr>
          <w:trHeight w:val="750" w:hRule="atLeast"/>
        </w:trPr>
        <w:tc>
          <w:tcPr>
            <w:tcW w:w="331" w:type="pct"/>
            <w:vMerge w:val="continue"/>
            <w:tcBorders>
              <w:left w:val="single" w:color="auto" w:sz="4" w:space="0"/>
              <w:right w:val="single" w:color="auto" w:sz="4" w:space="0"/>
            </w:tcBorders>
            <w:noWrap w:val="0"/>
            <w:vAlign w:val="center"/>
          </w:tcPr>
          <w:p w14:paraId="42A081AF">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644" w:type="pct"/>
            <w:vMerge w:val="continue"/>
            <w:tcBorders>
              <w:left w:val="single" w:color="auto" w:sz="4" w:space="0"/>
              <w:right w:val="single" w:color="auto" w:sz="4" w:space="0"/>
            </w:tcBorders>
            <w:noWrap w:val="0"/>
            <w:vAlign w:val="center"/>
          </w:tcPr>
          <w:p w14:paraId="3DBF3B3C">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2372" w:type="pct"/>
            <w:tcBorders>
              <w:top w:val="nil"/>
              <w:left w:val="nil"/>
              <w:bottom w:val="single" w:color="auto" w:sz="4" w:space="0"/>
              <w:right w:val="single" w:color="auto" w:sz="4" w:space="0"/>
            </w:tcBorders>
            <w:noWrap w:val="0"/>
            <w:vAlign w:val="center"/>
          </w:tcPr>
          <w:p w14:paraId="0B7C5043">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（2）建立民工工资发放备案制度，定期对承包商民工工 资发放情况进行检查</w:t>
            </w:r>
          </w:p>
        </w:tc>
        <w:tc>
          <w:tcPr>
            <w:tcW w:w="777" w:type="pct"/>
            <w:tcBorders>
              <w:top w:val="nil"/>
              <w:left w:val="nil"/>
              <w:bottom w:val="single" w:color="auto" w:sz="4" w:space="0"/>
              <w:right w:val="single" w:color="auto" w:sz="4" w:space="0"/>
            </w:tcBorders>
            <w:noWrap w:val="0"/>
            <w:vAlign w:val="center"/>
          </w:tcPr>
          <w:p w14:paraId="19E4E1D5">
            <w:pPr>
              <w:keepNext w:val="0"/>
              <w:keepLines w:val="0"/>
              <w:widowControl/>
              <w:suppressLineNumbers w:val="0"/>
              <w:spacing w:before="0" w:beforeAutospacing="0" w:after="0" w:afterAutospacing="0" w:line="400" w:lineRule="exact"/>
              <w:ind w:left="0" w:right="0"/>
              <w:jc w:val="center"/>
              <w:rPr>
                <w:rFonts w:hint="eastAsia" w:ascii="宋体" w:hAnsi="宋体" w:cs="宋体"/>
                <w:color w:val="000000"/>
                <w:kern w:val="0"/>
                <w:sz w:val="22"/>
                <w:szCs w:val="22"/>
              </w:rPr>
            </w:pPr>
            <w:r>
              <w:rPr>
                <w:rFonts w:hint="eastAsia" w:ascii="宋体" w:hAnsi="宋体" w:cs="宋体"/>
                <w:color w:val="000000"/>
                <w:kern w:val="0"/>
                <w:sz w:val="22"/>
                <w:szCs w:val="22"/>
              </w:rPr>
              <w:t>羊亭镇、张村镇各镇街</w:t>
            </w:r>
          </w:p>
        </w:tc>
        <w:tc>
          <w:tcPr>
            <w:tcW w:w="873" w:type="pct"/>
            <w:tcBorders>
              <w:top w:val="nil"/>
              <w:left w:val="nil"/>
              <w:bottom w:val="single" w:color="auto" w:sz="4" w:space="0"/>
              <w:right w:val="single" w:color="auto" w:sz="4" w:space="0"/>
            </w:tcBorders>
            <w:noWrap w:val="0"/>
            <w:vAlign w:val="center"/>
          </w:tcPr>
          <w:p w14:paraId="0ED86861">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p>
        </w:tc>
      </w:tr>
      <w:tr w14:paraId="665E9173">
        <w:tblPrEx>
          <w:tblCellMar>
            <w:top w:w="0" w:type="dxa"/>
            <w:left w:w="108" w:type="dxa"/>
            <w:bottom w:w="0" w:type="dxa"/>
            <w:right w:w="108" w:type="dxa"/>
          </w:tblCellMar>
        </w:tblPrEx>
        <w:trPr>
          <w:trHeight w:val="750" w:hRule="atLeast"/>
        </w:trPr>
        <w:tc>
          <w:tcPr>
            <w:tcW w:w="331" w:type="pct"/>
            <w:vMerge w:val="continue"/>
            <w:tcBorders>
              <w:left w:val="single" w:color="auto" w:sz="4" w:space="0"/>
              <w:right w:val="single" w:color="auto" w:sz="4" w:space="0"/>
            </w:tcBorders>
            <w:noWrap w:val="0"/>
            <w:vAlign w:val="center"/>
          </w:tcPr>
          <w:p w14:paraId="6BBD2E24">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644" w:type="pct"/>
            <w:vMerge w:val="continue"/>
            <w:tcBorders>
              <w:left w:val="single" w:color="auto" w:sz="4" w:space="0"/>
              <w:right w:val="single" w:color="auto" w:sz="4" w:space="0"/>
            </w:tcBorders>
            <w:noWrap w:val="0"/>
            <w:vAlign w:val="center"/>
          </w:tcPr>
          <w:p w14:paraId="6E55AFC1">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2372" w:type="pct"/>
            <w:tcBorders>
              <w:top w:val="nil"/>
              <w:left w:val="nil"/>
              <w:bottom w:val="single" w:color="auto" w:sz="4" w:space="0"/>
              <w:right w:val="single" w:color="auto" w:sz="4" w:space="0"/>
            </w:tcBorders>
            <w:noWrap w:val="0"/>
            <w:vAlign w:val="center"/>
          </w:tcPr>
          <w:p w14:paraId="353961F1">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（3）建立民工权益保障诉求渠道</w:t>
            </w:r>
          </w:p>
        </w:tc>
        <w:tc>
          <w:tcPr>
            <w:tcW w:w="777" w:type="pct"/>
            <w:tcBorders>
              <w:top w:val="nil"/>
              <w:left w:val="nil"/>
              <w:bottom w:val="single" w:color="auto" w:sz="4" w:space="0"/>
              <w:right w:val="single" w:color="auto" w:sz="4" w:space="0"/>
            </w:tcBorders>
            <w:noWrap w:val="0"/>
            <w:vAlign w:val="center"/>
          </w:tcPr>
          <w:p w14:paraId="0E280058">
            <w:pPr>
              <w:keepNext w:val="0"/>
              <w:keepLines w:val="0"/>
              <w:widowControl/>
              <w:suppressLineNumbers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羊亭镇、张村镇各镇街</w:t>
            </w:r>
          </w:p>
        </w:tc>
        <w:tc>
          <w:tcPr>
            <w:tcW w:w="873" w:type="pct"/>
            <w:tcBorders>
              <w:top w:val="nil"/>
              <w:left w:val="nil"/>
              <w:bottom w:val="single" w:color="auto" w:sz="4" w:space="0"/>
              <w:right w:val="single" w:color="auto" w:sz="4" w:space="0"/>
            </w:tcBorders>
            <w:noWrap w:val="0"/>
            <w:vAlign w:val="center"/>
          </w:tcPr>
          <w:p w14:paraId="31B7D26D">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p>
        </w:tc>
      </w:tr>
      <w:tr w14:paraId="3B15887A">
        <w:tblPrEx>
          <w:tblCellMar>
            <w:top w:w="0" w:type="dxa"/>
            <w:left w:w="108" w:type="dxa"/>
            <w:bottom w:w="0" w:type="dxa"/>
            <w:right w:w="108" w:type="dxa"/>
          </w:tblCellMar>
        </w:tblPrEx>
        <w:trPr>
          <w:trHeight w:val="750" w:hRule="atLeast"/>
        </w:trPr>
        <w:tc>
          <w:tcPr>
            <w:tcW w:w="331" w:type="pct"/>
            <w:vMerge w:val="continue"/>
            <w:tcBorders>
              <w:left w:val="single" w:color="auto" w:sz="4" w:space="0"/>
              <w:bottom w:val="single" w:color="auto" w:sz="4" w:space="0"/>
              <w:right w:val="single" w:color="auto" w:sz="4" w:space="0"/>
            </w:tcBorders>
            <w:noWrap w:val="0"/>
            <w:vAlign w:val="center"/>
          </w:tcPr>
          <w:p w14:paraId="49D08F33">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644" w:type="pct"/>
            <w:vMerge w:val="continue"/>
            <w:tcBorders>
              <w:left w:val="single" w:color="auto" w:sz="4" w:space="0"/>
              <w:bottom w:val="single" w:color="auto" w:sz="4" w:space="0"/>
              <w:right w:val="single" w:color="auto" w:sz="4" w:space="0"/>
            </w:tcBorders>
            <w:noWrap w:val="0"/>
            <w:vAlign w:val="center"/>
          </w:tcPr>
          <w:p w14:paraId="45BAAD6E">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2372" w:type="pct"/>
            <w:tcBorders>
              <w:top w:val="nil"/>
              <w:left w:val="nil"/>
              <w:bottom w:val="single" w:color="auto" w:sz="4" w:space="0"/>
              <w:right w:val="single" w:color="auto" w:sz="4" w:space="0"/>
            </w:tcBorders>
            <w:noWrap w:val="0"/>
            <w:vAlign w:val="center"/>
          </w:tcPr>
          <w:p w14:paraId="50613AE0">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（4）运行期及时公示相关监测数据、检修信息</w:t>
            </w:r>
          </w:p>
        </w:tc>
        <w:tc>
          <w:tcPr>
            <w:tcW w:w="777" w:type="pct"/>
            <w:tcBorders>
              <w:top w:val="nil"/>
              <w:left w:val="nil"/>
              <w:bottom w:val="single" w:color="auto" w:sz="4" w:space="0"/>
              <w:right w:val="single" w:color="auto" w:sz="4" w:space="0"/>
            </w:tcBorders>
            <w:noWrap w:val="0"/>
            <w:vAlign w:val="center"/>
          </w:tcPr>
          <w:p w14:paraId="4CB9CA5D">
            <w:pPr>
              <w:keepNext w:val="0"/>
              <w:keepLines w:val="0"/>
              <w:widowControl/>
              <w:suppressLineNumbers w:val="0"/>
              <w:spacing w:before="0" w:beforeAutospacing="0" w:after="0" w:afterAutospacing="0" w:line="400" w:lineRule="exact"/>
              <w:ind w:left="0" w:right="0"/>
              <w:jc w:val="center"/>
              <w:rPr>
                <w:rFonts w:hint="eastAsia" w:ascii="宋体" w:hAnsi="宋体" w:cs="宋体"/>
                <w:color w:val="000000"/>
                <w:kern w:val="0"/>
                <w:sz w:val="22"/>
                <w:szCs w:val="22"/>
              </w:rPr>
            </w:pPr>
            <w:r>
              <w:rPr>
                <w:rFonts w:hint="eastAsia" w:ascii="宋体" w:hAnsi="宋体" w:cs="宋体"/>
                <w:color w:val="000000"/>
                <w:kern w:val="0"/>
                <w:sz w:val="22"/>
                <w:szCs w:val="22"/>
              </w:rPr>
              <w:t>工程建设单位</w:t>
            </w:r>
          </w:p>
        </w:tc>
        <w:tc>
          <w:tcPr>
            <w:tcW w:w="873" w:type="pct"/>
            <w:tcBorders>
              <w:top w:val="nil"/>
              <w:left w:val="nil"/>
              <w:bottom w:val="single" w:color="auto" w:sz="4" w:space="0"/>
              <w:right w:val="single" w:color="auto" w:sz="4" w:space="0"/>
            </w:tcBorders>
            <w:noWrap w:val="0"/>
            <w:vAlign w:val="center"/>
          </w:tcPr>
          <w:p w14:paraId="692BBFEA">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p>
        </w:tc>
      </w:tr>
      <w:tr w14:paraId="3B56AC9F">
        <w:tblPrEx>
          <w:tblCellMar>
            <w:top w:w="0" w:type="dxa"/>
            <w:left w:w="108" w:type="dxa"/>
            <w:bottom w:w="0" w:type="dxa"/>
            <w:right w:w="108" w:type="dxa"/>
          </w:tblCellMar>
        </w:tblPrEx>
        <w:trPr>
          <w:trHeight w:val="750" w:hRule="atLeast"/>
        </w:trPr>
        <w:tc>
          <w:tcPr>
            <w:tcW w:w="331" w:type="pct"/>
            <w:vMerge w:val="restart"/>
            <w:tcBorders>
              <w:top w:val="nil"/>
              <w:left w:val="single" w:color="auto" w:sz="4" w:space="0"/>
              <w:bottom w:val="single" w:color="auto" w:sz="4" w:space="0"/>
              <w:right w:val="single" w:color="auto" w:sz="4" w:space="0"/>
            </w:tcBorders>
            <w:noWrap w:val="0"/>
            <w:vAlign w:val="center"/>
          </w:tcPr>
          <w:p w14:paraId="6C1334B8">
            <w:pPr>
              <w:keepNext w:val="0"/>
              <w:keepLines w:val="0"/>
              <w:widowControl/>
              <w:suppressLineNumbers w:val="0"/>
              <w:spacing w:before="0" w:beforeAutospacing="0" w:after="0" w:afterAutospacing="0" w:line="61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3</w:t>
            </w:r>
          </w:p>
        </w:tc>
        <w:tc>
          <w:tcPr>
            <w:tcW w:w="644" w:type="pct"/>
            <w:vMerge w:val="restart"/>
            <w:tcBorders>
              <w:top w:val="nil"/>
              <w:left w:val="single" w:color="auto" w:sz="4" w:space="0"/>
              <w:bottom w:val="single" w:color="auto" w:sz="4" w:space="0"/>
              <w:right w:val="single" w:color="auto" w:sz="4" w:space="0"/>
            </w:tcBorders>
            <w:noWrap w:val="0"/>
            <w:vAlign w:val="center"/>
          </w:tcPr>
          <w:p w14:paraId="463DEFF5">
            <w:pPr>
              <w:keepNext w:val="0"/>
              <w:keepLines w:val="0"/>
              <w:widowControl/>
              <w:suppressLineNumbers w:val="0"/>
              <w:adjustRightInd w:val="0"/>
              <w:snapToGrid w:val="0"/>
              <w:spacing w:before="0" w:beforeAutospacing="0" w:after="0" w:afterAutospacing="0" w:line="61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文明施工、安全 和质量管理</w:t>
            </w:r>
          </w:p>
        </w:tc>
        <w:tc>
          <w:tcPr>
            <w:tcW w:w="2372" w:type="pct"/>
            <w:tcBorders>
              <w:top w:val="nil"/>
              <w:left w:val="nil"/>
              <w:bottom w:val="single" w:color="auto" w:sz="4" w:space="0"/>
              <w:right w:val="single" w:color="auto" w:sz="4" w:space="0"/>
            </w:tcBorders>
            <w:noWrap w:val="0"/>
            <w:vAlign w:val="center"/>
          </w:tcPr>
          <w:p w14:paraId="37E83E9A">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（1）选择具备相应资质、信誉度高的施工单位</w:t>
            </w:r>
          </w:p>
        </w:tc>
        <w:tc>
          <w:tcPr>
            <w:tcW w:w="777" w:type="pct"/>
            <w:tcBorders>
              <w:top w:val="nil"/>
              <w:left w:val="nil"/>
              <w:bottom w:val="single" w:color="auto" w:sz="4" w:space="0"/>
              <w:right w:val="single" w:color="auto" w:sz="4" w:space="0"/>
            </w:tcBorders>
            <w:noWrap w:val="0"/>
            <w:vAlign w:val="center"/>
          </w:tcPr>
          <w:p w14:paraId="161153B8">
            <w:pPr>
              <w:keepNext w:val="0"/>
              <w:keepLines w:val="0"/>
              <w:widowControl/>
              <w:suppressLineNumbers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工程建设单位</w:t>
            </w:r>
          </w:p>
        </w:tc>
        <w:tc>
          <w:tcPr>
            <w:tcW w:w="873" w:type="pct"/>
            <w:tcBorders>
              <w:top w:val="nil"/>
              <w:left w:val="nil"/>
              <w:bottom w:val="single" w:color="auto" w:sz="4" w:space="0"/>
              <w:right w:val="single" w:color="auto" w:sz="4" w:space="0"/>
            </w:tcBorders>
            <w:noWrap w:val="0"/>
            <w:vAlign w:val="center"/>
          </w:tcPr>
          <w:p w14:paraId="10B3C8C3">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p>
        </w:tc>
      </w:tr>
      <w:tr w14:paraId="2A6CDFA1">
        <w:tblPrEx>
          <w:tblCellMar>
            <w:top w:w="0" w:type="dxa"/>
            <w:left w:w="108" w:type="dxa"/>
            <w:bottom w:w="0" w:type="dxa"/>
            <w:right w:w="108" w:type="dxa"/>
          </w:tblCellMar>
        </w:tblPrEx>
        <w:trPr>
          <w:trHeight w:val="750" w:hRule="atLeast"/>
        </w:trPr>
        <w:tc>
          <w:tcPr>
            <w:tcW w:w="331" w:type="pct"/>
            <w:vMerge w:val="continue"/>
            <w:tcBorders>
              <w:top w:val="nil"/>
              <w:left w:val="single" w:color="auto" w:sz="4" w:space="0"/>
              <w:bottom w:val="single" w:color="auto" w:sz="4" w:space="0"/>
              <w:right w:val="single" w:color="auto" w:sz="4" w:space="0"/>
            </w:tcBorders>
            <w:noWrap w:val="0"/>
            <w:vAlign w:val="center"/>
          </w:tcPr>
          <w:p w14:paraId="1A5FB73C">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644" w:type="pct"/>
            <w:vMerge w:val="continue"/>
            <w:tcBorders>
              <w:top w:val="nil"/>
              <w:left w:val="single" w:color="auto" w:sz="4" w:space="0"/>
              <w:bottom w:val="single" w:color="auto" w:sz="4" w:space="0"/>
              <w:right w:val="single" w:color="auto" w:sz="4" w:space="0"/>
            </w:tcBorders>
            <w:noWrap w:val="0"/>
            <w:vAlign w:val="center"/>
          </w:tcPr>
          <w:p w14:paraId="290A312D">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2372" w:type="pct"/>
            <w:tcBorders>
              <w:top w:val="nil"/>
              <w:left w:val="nil"/>
              <w:bottom w:val="single" w:color="auto" w:sz="4" w:space="0"/>
              <w:right w:val="single" w:color="auto" w:sz="4" w:space="0"/>
            </w:tcBorders>
            <w:noWrap w:val="0"/>
            <w:vAlign w:val="center"/>
          </w:tcPr>
          <w:p w14:paraId="18A5790B">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（2）与地方有关部门积极沟通，并加强与周边居民的沟通、协商</w:t>
            </w:r>
          </w:p>
        </w:tc>
        <w:tc>
          <w:tcPr>
            <w:tcW w:w="777" w:type="pct"/>
            <w:tcBorders>
              <w:top w:val="nil"/>
              <w:left w:val="nil"/>
              <w:bottom w:val="single" w:color="auto" w:sz="4" w:space="0"/>
              <w:right w:val="single" w:color="auto" w:sz="4" w:space="0"/>
            </w:tcBorders>
            <w:noWrap w:val="0"/>
            <w:vAlign w:val="center"/>
          </w:tcPr>
          <w:p w14:paraId="6CD5ECB3">
            <w:pPr>
              <w:keepNext w:val="0"/>
              <w:keepLines w:val="0"/>
              <w:widowControl/>
              <w:suppressLineNumbers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工程建设单位</w:t>
            </w:r>
          </w:p>
        </w:tc>
        <w:tc>
          <w:tcPr>
            <w:tcW w:w="873" w:type="pct"/>
            <w:tcBorders>
              <w:top w:val="nil"/>
              <w:left w:val="nil"/>
              <w:bottom w:val="single" w:color="auto" w:sz="4" w:space="0"/>
              <w:right w:val="single" w:color="auto" w:sz="4" w:space="0"/>
            </w:tcBorders>
            <w:noWrap w:val="0"/>
            <w:vAlign w:val="center"/>
          </w:tcPr>
          <w:p w14:paraId="035ECD2E">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羊亭镇、张村镇各镇街</w:t>
            </w:r>
          </w:p>
        </w:tc>
      </w:tr>
      <w:tr w14:paraId="7FCE1F23">
        <w:tblPrEx>
          <w:tblCellMar>
            <w:top w:w="0" w:type="dxa"/>
            <w:left w:w="108" w:type="dxa"/>
            <w:bottom w:w="0" w:type="dxa"/>
            <w:right w:w="108" w:type="dxa"/>
          </w:tblCellMar>
        </w:tblPrEx>
        <w:trPr>
          <w:trHeight w:val="750" w:hRule="atLeast"/>
        </w:trPr>
        <w:tc>
          <w:tcPr>
            <w:tcW w:w="331" w:type="pct"/>
            <w:vMerge w:val="continue"/>
            <w:tcBorders>
              <w:top w:val="nil"/>
              <w:left w:val="single" w:color="auto" w:sz="4" w:space="0"/>
              <w:bottom w:val="single" w:color="auto" w:sz="4" w:space="0"/>
              <w:right w:val="single" w:color="auto" w:sz="4" w:space="0"/>
            </w:tcBorders>
            <w:noWrap w:val="0"/>
            <w:vAlign w:val="center"/>
          </w:tcPr>
          <w:p w14:paraId="472E2659">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644" w:type="pct"/>
            <w:vMerge w:val="continue"/>
            <w:tcBorders>
              <w:top w:val="nil"/>
              <w:left w:val="single" w:color="auto" w:sz="4" w:space="0"/>
              <w:bottom w:val="single" w:color="auto" w:sz="4" w:space="0"/>
              <w:right w:val="single" w:color="auto" w:sz="4" w:space="0"/>
            </w:tcBorders>
            <w:noWrap w:val="0"/>
            <w:vAlign w:val="center"/>
          </w:tcPr>
          <w:p w14:paraId="690F9017">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2372" w:type="pct"/>
            <w:tcBorders>
              <w:top w:val="nil"/>
              <w:left w:val="nil"/>
              <w:bottom w:val="single" w:color="auto" w:sz="4" w:space="0"/>
              <w:right w:val="single" w:color="auto" w:sz="4" w:space="0"/>
            </w:tcBorders>
            <w:noWrap w:val="0"/>
            <w:vAlign w:val="center"/>
          </w:tcPr>
          <w:p w14:paraId="2BC67BBF">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（3）合理安排工期，合理处理施工过程中的弃土等废弃材料</w:t>
            </w:r>
          </w:p>
        </w:tc>
        <w:tc>
          <w:tcPr>
            <w:tcW w:w="777" w:type="pct"/>
            <w:tcBorders>
              <w:top w:val="nil"/>
              <w:left w:val="nil"/>
              <w:bottom w:val="single" w:color="auto" w:sz="4" w:space="0"/>
              <w:right w:val="single" w:color="auto" w:sz="4" w:space="0"/>
            </w:tcBorders>
            <w:noWrap w:val="0"/>
            <w:vAlign w:val="center"/>
          </w:tcPr>
          <w:p w14:paraId="43144A1B">
            <w:pPr>
              <w:keepNext w:val="0"/>
              <w:keepLines w:val="0"/>
              <w:widowControl/>
              <w:suppressLineNumbers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施工单位</w:t>
            </w:r>
          </w:p>
        </w:tc>
        <w:tc>
          <w:tcPr>
            <w:tcW w:w="873" w:type="pct"/>
            <w:tcBorders>
              <w:top w:val="nil"/>
              <w:left w:val="nil"/>
              <w:bottom w:val="single" w:color="auto" w:sz="4" w:space="0"/>
              <w:right w:val="single" w:color="auto" w:sz="4" w:space="0"/>
            </w:tcBorders>
            <w:noWrap w:val="0"/>
            <w:vAlign w:val="center"/>
          </w:tcPr>
          <w:p w14:paraId="756F435A">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羊亭镇、张村镇各镇街</w:t>
            </w:r>
          </w:p>
        </w:tc>
      </w:tr>
      <w:tr w14:paraId="7221F60E">
        <w:tblPrEx>
          <w:tblCellMar>
            <w:top w:w="0" w:type="dxa"/>
            <w:left w:w="108" w:type="dxa"/>
            <w:bottom w:w="0" w:type="dxa"/>
            <w:right w:w="108" w:type="dxa"/>
          </w:tblCellMar>
        </w:tblPrEx>
        <w:trPr>
          <w:trHeight w:val="750" w:hRule="atLeast"/>
        </w:trPr>
        <w:tc>
          <w:tcPr>
            <w:tcW w:w="331" w:type="pct"/>
            <w:vMerge w:val="continue"/>
            <w:tcBorders>
              <w:top w:val="nil"/>
              <w:left w:val="single" w:color="auto" w:sz="4" w:space="0"/>
              <w:bottom w:val="single" w:color="auto" w:sz="4" w:space="0"/>
              <w:right w:val="single" w:color="auto" w:sz="4" w:space="0"/>
            </w:tcBorders>
            <w:noWrap w:val="0"/>
            <w:vAlign w:val="center"/>
          </w:tcPr>
          <w:p w14:paraId="2846ECBA">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644" w:type="pct"/>
            <w:vMerge w:val="continue"/>
            <w:tcBorders>
              <w:top w:val="nil"/>
              <w:left w:val="single" w:color="auto" w:sz="4" w:space="0"/>
              <w:bottom w:val="single" w:color="auto" w:sz="4" w:space="0"/>
              <w:right w:val="single" w:color="auto" w:sz="4" w:space="0"/>
            </w:tcBorders>
            <w:noWrap w:val="0"/>
            <w:vAlign w:val="center"/>
          </w:tcPr>
          <w:p w14:paraId="196477EF">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2372" w:type="pct"/>
            <w:tcBorders>
              <w:top w:val="nil"/>
              <w:left w:val="nil"/>
              <w:bottom w:val="single" w:color="auto" w:sz="4" w:space="0"/>
              <w:right w:val="single" w:color="auto" w:sz="4" w:space="0"/>
            </w:tcBorders>
            <w:noWrap w:val="0"/>
            <w:vAlign w:val="center"/>
          </w:tcPr>
          <w:p w14:paraId="34C915C4">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（4）建立工程保险制度，降低工程风险</w:t>
            </w:r>
          </w:p>
        </w:tc>
        <w:tc>
          <w:tcPr>
            <w:tcW w:w="777" w:type="pct"/>
            <w:tcBorders>
              <w:top w:val="nil"/>
              <w:left w:val="nil"/>
              <w:bottom w:val="single" w:color="auto" w:sz="4" w:space="0"/>
              <w:right w:val="single" w:color="auto" w:sz="4" w:space="0"/>
            </w:tcBorders>
            <w:noWrap w:val="0"/>
            <w:vAlign w:val="center"/>
          </w:tcPr>
          <w:p w14:paraId="38D6A35E">
            <w:pPr>
              <w:keepNext w:val="0"/>
              <w:keepLines w:val="0"/>
              <w:widowControl/>
              <w:suppressLineNumbers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施工单位</w:t>
            </w:r>
          </w:p>
        </w:tc>
        <w:tc>
          <w:tcPr>
            <w:tcW w:w="873" w:type="pct"/>
            <w:tcBorders>
              <w:top w:val="nil"/>
              <w:left w:val="nil"/>
              <w:bottom w:val="single" w:color="auto" w:sz="4" w:space="0"/>
              <w:right w:val="single" w:color="auto" w:sz="4" w:space="0"/>
            </w:tcBorders>
            <w:noWrap w:val="0"/>
            <w:vAlign w:val="center"/>
          </w:tcPr>
          <w:p w14:paraId="46F241FF">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　</w:t>
            </w:r>
          </w:p>
        </w:tc>
      </w:tr>
      <w:tr w14:paraId="2809931A">
        <w:tblPrEx>
          <w:tblCellMar>
            <w:top w:w="0" w:type="dxa"/>
            <w:left w:w="108" w:type="dxa"/>
            <w:bottom w:w="0" w:type="dxa"/>
            <w:right w:w="108" w:type="dxa"/>
          </w:tblCellMar>
        </w:tblPrEx>
        <w:trPr>
          <w:trHeight w:val="750" w:hRule="atLeast"/>
        </w:trPr>
        <w:tc>
          <w:tcPr>
            <w:tcW w:w="331" w:type="pct"/>
            <w:vMerge w:val="continue"/>
            <w:tcBorders>
              <w:top w:val="nil"/>
              <w:left w:val="single" w:color="auto" w:sz="4" w:space="0"/>
              <w:bottom w:val="single" w:color="auto" w:sz="4" w:space="0"/>
              <w:right w:val="single" w:color="auto" w:sz="4" w:space="0"/>
            </w:tcBorders>
            <w:noWrap w:val="0"/>
            <w:vAlign w:val="center"/>
          </w:tcPr>
          <w:p w14:paraId="44ABC0B7">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644" w:type="pct"/>
            <w:vMerge w:val="continue"/>
            <w:tcBorders>
              <w:top w:val="nil"/>
              <w:left w:val="single" w:color="auto" w:sz="4" w:space="0"/>
              <w:bottom w:val="single" w:color="auto" w:sz="4" w:space="0"/>
              <w:right w:val="single" w:color="auto" w:sz="4" w:space="0"/>
            </w:tcBorders>
            <w:noWrap w:val="0"/>
            <w:vAlign w:val="center"/>
          </w:tcPr>
          <w:p w14:paraId="21B42AE1">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2372" w:type="pct"/>
            <w:tcBorders>
              <w:top w:val="nil"/>
              <w:left w:val="nil"/>
              <w:bottom w:val="single" w:color="auto" w:sz="4" w:space="0"/>
              <w:right w:val="single" w:color="auto" w:sz="4" w:space="0"/>
            </w:tcBorders>
            <w:noWrap w:val="0"/>
            <w:vAlign w:val="center"/>
          </w:tcPr>
          <w:p w14:paraId="22B7198E">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（5）严格按照国家有关规定制定一整套质量安全管理体系</w:t>
            </w:r>
          </w:p>
        </w:tc>
        <w:tc>
          <w:tcPr>
            <w:tcW w:w="777" w:type="pct"/>
            <w:tcBorders>
              <w:top w:val="nil"/>
              <w:left w:val="nil"/>
              <w:bottom w:val="single" w:color="auto" w:sz="4" w:space="0"/>
              <w:right w:val="single" w:color="auto" w:sz="4" w:space="0"/>
            </w:tcBorders>
            <w:noWrap w:val="0"/>
            <w:vAlign w:val="center"/>
          </w:tcPr>
          <w:p w14:paraId="2AD1B931">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工程建设单位</w:t>
            </w:r>
          </w:p>
        </w:tc>
        <w:tc>
          <w:tcPr>
            <w:tcW w:w="873" w:type="pct"/>
            <w:tcBorders>
              <w:top w:val="nil"/>
              <w:left w:val="nil"/>
              <w:bottom w:val="single" w:color="auto" w:sz="4" w:space="0"/>
              <w:right w:val="single" w:color="auto" w:sz="4" w:space="0"/>
            </w:tcBorders>
            <w:noWrap w:val="0"/>
            <w:vAlign w:val="center"/>
          </w:tcPr>
          <w:p w14:paraId="131953E4">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　</w:t>
            </w:r>
          </w:p>
        </w:tc>
      </w:tr>
      <w:tr w14:paraId="0B9243BF">
        <w:tblPrEx>
          <w:tblCellMar>
            <w:top w:w="0" w:type="dxa"/>
            <w:left w:w="108" w:type="dxa"/>
            <w:bottom w:w="0" w:type="dxa"/>
            <w:right w:w="108" w:type="dxa"/>
          </w:tblCellMar>
        </w:tblPrEx>
        <w:trPr>
          <w:trHeight w:val="750" w:hRule="atLeast"/>
        </w:trPr>
        <w:tc>
          <w:tcPr>
            <w:tcW w:w="331" w:type="pct"/>
            <w:vMerge w:val="continue"/>
            <w:tcBorders>
              <w:top w:val="nil"/>
              <w:left w:val="single" w:color="auto" w:sz="4" w:space="0"/>
              <w:bottom w:val="single" w:color="auto" w:sz="4" w:space="0"/>
              <w:right w:val="single" w:color="auto" w:sz="4" w:space="0"/>
            </w:tcBorders>
            <w:noWrap w:val="0"/>
            <w:vAlign w:val="center"/>
          </w:tcPr>
          <w:p w14:paraId="3A51C86B">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644" w:type="pct"/>
            <w:vMerge w:val="continue"/>
            <w:tcBorders>
              <w:top w:val="nil"/>
              <w:left w:val="single" w:color="auto" w:sz="4" w:space="0"/>
              <w:bottom w:val="single" w:color="auto" w:sz="4" w:space="0"/>
              <w:right w:val="single" w:color="auto" w:sz="4" w:space="0"/>
            </w:tcBorders>
            <w:noWrap w:val="0"/>
            <w:vAlign w:val="center"/>
          </w:tcPr>
          <w:p w14:paraId="1C442AFB">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2372" w:type="pct"/>
            <w:tcBorders>
              <w:top w:val="nil"/>
              <w:left w:val="nil"/>
              <w:bottom w:val="single" w:color="auto" w:sz="4" w:space="0"/>
              <w:right w:val="single" w:color="auto" w:sz="4" w:space="0"/>
            </w:tcBorders>
            <w:noWrap w:val="0"/>
            <w:vAlign w:val="center"/>
          </w:tcPr>
          <w:p w14:paraId="10975F21">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（6）加强施工管理，严肃查处层层转包问题</w:t>
            </w:r>
          </w:p>
        </w:tc>
        <w:tc>
          <w:tcPr>
            <w:tcW w:w="777" w:type="pct"/>
            <w:tcBorders>
              <w:top w:val="nil"/>
              <w:left w:val="nil"/>
              <w:bottom w:val="single" w:color="auto" w:sz="4" w:space="0"/>
              <w:right w:val="single" w:color="auto" w:sz="4" w:space="0"/>
            </w:tcBorders>
            <w:noWrap w:val="0"/>
            <w:vAlign w:val="center"/>
          </w:tcPr>
          <w:p w14:paraId="068AF918">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项目主管部门</w:t>
            </w:r>
          </w:p>
        </w:tc>
        <w:tc>
          <w:tcPr>
            <w:tcW w:w="873" w:type="pct"/>
            <w:tcBorders>
              <w:top w:val="nil"/>
              <w:left w:val="nil"/>
              <w:bottom w:val="single" w:color="auto" w:sz="4" w:space="0"/>
              <w:right w:val="single" w:color="auto" w:sz="4" w:space="0"/>
            </w:tcBorders>
            <w:noWrap w:val="0"/>
            <w:vAlign w:val="center"/>
          </w:tcPr>
          <w:p w14:paraId="6AF10C50">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　</w:t>
            </w:r>
          </w:p>
        </w:tc>
      </w:tr>
      <w:tr w14:paraId="32CE5CB6">
        <w:tblPrEx>
          <w:tblCellMar>
            <w:top w:w="0" w:type="dxa"/>
            <w:left w:w="108" w:type="dxa"/>
            <w:bottom w:w="0" w:type="dxa"/>
            <w:right w:w="108" w:type="dxa"/>
          </w:tblCellMar>
        </w:tblPrEx>
        <w:trPr>
          <w:trHeight w:val="750" w:hRule="atLeast"/>
        </w:trPr>
        <w:tc>
          <w:tcPr>
            <w:tcW w:w="331" w:type="pct"/>
            <w:vMerge w:val="restart"/>
            <w:tcBorders>
              <w:top w:val="nil"/>
              <w:left w:val="single" w:color="auto" w:sz="4" w:space="0"/>
              <w:bottom w:val="single" w:color="000000" w:sz="4" w:space="0"/>
              <w:right w:val="single" w:color="auto" w:sz="4" w:space="0"/>
            </w:tcBorders>
            <w:noWrap w:val="0"/>
            <w:vAlign w:val="center"/>
          </w:tcPr>
          <w:p w14:paraId="7EC69EFC">
            <w:pPr>
              <w:keepNext w:val="0"/>
              <w:keepLines w:val="0"/>
              <w:widowControl/>
              <w:suppressLineNumbers w:val="0"/>
              <w:adjustRightInd w:val="0"/>
              <w:snapToGrid w:val="0"/>
              <w:spacing w:before="0" w:beforeAutospacing="0" w:after="0" w:afterAutospacing="0" w:line="61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4</w:t>
            </w:r>
          </w:p>
        </w:tc>
        <w:tc>
          <w:tcPr>
            <w:tcW w:w="644" w:type="pct"/>
            <w:vMerge w:val="restart"/>
            <w:tcBorders>
              <w:top w:val="nil"/>
              <w:left w:val="single" w:color="auto" w:sz="4" w:space="0"/>
              <w:bottom w:val="single" w:color="auto" w:sz="4" w:space="0"/>
              <w:right w:val="single" w:color="auto" w:sz="4" w:space="0"/>
            </w:tcBorders>
            <w:noWrap w:val="0"/>
            <w:vAlign w:val="center"/>
          </w:tcPr>
          <w:p w14:paraId="68187C9C">
            <w:pPr>
              <w:keepNext w:val="0"/>
              <w:keepLines w:val="0"/>
              <w:widowControl/>
              <w:suppressLineNumbers w:val="0"/>
              <w:adjustRightInd w:val="0"/>
              <w:snapToGrid w:val="0"/>
              <w:spacing w:before="0" w:beforeAutospacing="0" w:after="0" w:afterAutospacing="0" w:line="61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社会治安和公共安全</w:t>
            </w:r>
          </w:p>
        </w:tc>
        <w:tc>
          <w:tcPr>
            <w:tcW w:w="2372" w:type="pct"/>
            <w:tcBorders>
              <w:top w:val="nil"/>
              <w:left w:val="nil"/>
              <w:bottom w:val="single" w:color="auto" w:sz="4" w:space="0"/>
              <w:right w:val="single" w:color="auto" w:sz="4" w:space="0"/>
            </w:tcBorders>
            <w:noWrap w:val="0"/>
            <w:vAlign w:val="center"/>
          </w:tcPr>
          <w:p w14:paraId="4FE1F5A3">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（1）施工单位配合公安部门加强对施工外来人员的管理</w:t>
            </w:r>
          </w:p>
        </w:tc>
        <w:tc>
          <w:tcPr>
            <w:tcW w:w="777" w:type="pct"/>
            <w:tcBorders>
              <w:top w:val="nil"/>
              <w:left w:val="nil"/>
              <w:bottom w:val="single" w:color="auto" w:sz="4" w:space="0"/>
              <w:right w:val="single" w:color="auto" w:sz="4" w:space="0"/>
            </w:tcBorders>
            <w:noWrap w:val="0"/>
            <w:vAlign w:val="center"/>
          </w:tcPr>
          <w:p w14:paraId="65230583">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施工单位</w:t>
            </w:r>
          </w:p>
        </w:tc>
        <w:tc>
          <w:tcPr>
            <w:tcW w:w="873" w:type="pct"/>
            <w:tcBorders>
              <w:top w:val="nil"/>
              <w:left w:val="nil"/>
              <w:bottom w:val="single" w:color="auto" w:sz="4" w:space="0"/>
              <w:right w:val="single" w:color="auto" w:sz="4" w:space="0"/>
            </w:tcBorders>
            <w:noWrap w:val="0"/>
            <w:vAlign w:val="center"/>
          </w:tcPr>
          <w:p w14:paraId="53729A5F">
            <w:pPr>
              <w:keepNext w:val="0"/>
              <w:keepLines w:val="0"/>
              <w:widowControl/>
              <w:suppressLineNumbers w:val="0"/>
              <w:adjustRightInd w:val="0"/>
              <w:snapToGrid w:val="0"/>
              <w:spacing w:before="0" w:beforeAutospacing="0" w:after="0" w:afterAutospacing="0" w:line="400" w:lineRule="exact"/>
              <w:ind w:left="0" w:right="0"/>
              <w:rPr>
                <w:rFonts w:hint="default" w:ascii="宋体" w:hAnsi="宋体" w:cs="宋体"/>
                <w:color w:val="000000"/>
                <w:kern w:val="0"/>
                <w:sz w:val="22"/>
                <w:szCs w:val="22"/>
              </w:rPr>
            </w:pPr>
            <w:r>
              <w:rPr>
                <w:rFonts w:hint="eastAsia" w:ascii="宋体" w:hAnsi="宋体" w:cs="宋体"/>
                <w:color w:val="000000"/>
                <w:kern w:val="0"/>
                <w:sz w:val="22"/>
                <w:szCs w:val="22"/>
              </w:rPr>
              <w:t>区公安局</w:t>
            </w:r>
          </w:p>
        </w:tc>
      </w:tr>
      <w:tr w14:paraId="355C21E5">
        <w:tblPrEx>
          <w:tblCellMar>
            <w:top w:w="0" w:type="dxa"/>
            <w:left w:w="108" w:type="dxa"/>
            <w:bottom w:w="0" w:type="dxa"/>
            <w:right w:w="108" w:type="dxa"/>
          </w:tblCellMar>
        </w:tblPrEx>
        <w:trPr>
          <w:trHeight w:val="750" w:hRule="atLeast"/>
        </w:trPr>
        <w:tc>
          <w:tcPr>
            <w:tcW w:w="331" w:type="pct"/>
            <w:vMerge w:val="continue"/>
            <w:tcBorders>
              <w:top w:val="nil"/>
              <w:left w:val="single" w:color="auto" w:sz="4" w:space="0"/>
              <w:bottom w:val="single" w:color="000000" w:sz="4" w:space="0"/>
              <w:right w:val="single" w:color="auto" w:sz="4" w:space="0"/>
            </w:tcBorders>
            <w:noWrap w:val="0"/>
            <w:vAlign w:val="center"/>
          </w:tcPr>
          <w:p w14:paraId="4B13CE92">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644" w:type="pct"/>
            <w:vMerge w:val="continue"/>
            <w:tcBorders>
              <w:top w:val="nil"/>
              <w:left w:val="single" w:color="auto" w:sz="4" w:space="0"/>
              <w:bottom w:val="single" w:color="auto" w:sz="4" w:space="0"/>
              <w:right w:val="single" w:color="auto" w:sz="4" w:space="0"/>
            </w:tcBorders>
            <w:noWrap w:val="0"/>
            <w:vAlign w:val="center"/>
          </w:tcPr>
          <w:p w14:paraId="0D287F46">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2372" w:type="pct"/>
            <w:tcBorders>
              <w:top w:val="nil"/>
              <w:left w:val="nil"/>
              <w:bottom w:val="single" w:color="auto" w:sz="4" w:space="0"/>
              <w:right w:val="single" w:color="auto" w:sz="4" w:space="0"/>
            </w:tcBorders>
            <w:noWrap w:val="0"/>
            <w:vAlign w:val="center"/>
          </w:tcPr>
          <w:p w14:paraId="286312D1">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（2）按时支付人员工资，减少矛盾</w:t>
            </w:r>
          </w:p>
        </w:tc>
        <w:tc>
          <w:tcPr>
            <w:tcW w:w="777" w:type="pct"/>
            <w:tcBorders>
              <w:top w:val="nil"/>
              <w:left w:val="nil"/>
              <w:bottom w:val="single" w:color="auto" w:sz="4" w:space="0"/>
              <w:right w:val="single" w:color="auto" w:sz="4" w:space="0"/>
            </w:tcBorders>
            <w:noWrap w:val="0"/>
            <w:vAlign w:val="center"/>
          </w:tcPr>
          <w:p w14:paraId="1BDB2D98">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工程建设单位、施工单位</w:t>
            </w:r>
          </w:p>
        </w:tc>
        <w:tc>
          <w:tcPr>
            <w:tcW w:w="873" w:type="pct"/>
            <w:tcBorders>
              <w:top w:val="nil"/>
              <w:left w:val="nil"/>
              <w:bottom w:val="single" w:color="auto" w:sz="4" w:space="0"/>
              <w:right w:val="single" w:color="auto" w:sz="4" w:space="0"/>
            </w:tcBorders>
            <w:noWrap w:val="0"/>
            <w:vAlign w:val="center"/>
          </w:tcPr>
          <w:p w14:paraId="1E2DAE48">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　</w:t>
            </w:r>
          </w:p>
        </w:tc>
      </w:tr>
      <w:tr w14:paraId="3DF636F8">
        <w:tblPrEx>
          <w:tblCellMar>
            <w:top w:w="0" w:type="dxa"/>
            <w:left w:w="108" w:type="dxa"/>
            <w:bottom w:w="0" w:type="dxa"/>
            <w:right w:w="108" w:type="dxa"/>
          </w:tblCellMar>
        </w:tblPrEx>
        <w:trPr>
          <w:trHeight w:val="750" w:hRule="atLeast"/>
        </w:trPr>
        <w:tc>
          <w:tcPr>
            <w:tcW w:w="331" w:type="pct"/>
            <w:vMerge w:val="continue"/>
            <w:tcBorders>
              <w:top w:val="nil"/>
              <w:left w:val="single" w:color="auto" w:sz="4" w:space="0"/>
              <w:bottom w:val="single" w:color="000000" w:sz="4" w:space="0"/>
              <w:right w:val="single" w:color="auto" w:sz="4" w:space="0"/>
            </w:tcBorders>
            <w:noWrap w:val="0"/>
            <w:vAlign w:val="center"/>
          </w:tcPr>
          <w:p w14:paraId="4E93BEC6">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644" w:type="pct"/>
            <w:vMerge w:val="continue"/>
            <w:tcBorders>
              <w:top w:val="nil"/>
              <w:left w:val="single" w:color="auto" w:sz="4" w:space="0"/>
              <w:bottom w:val="single" w:color="auto" w:sz="4" w:space="0"/>
              <w:right w:val="single" w:color="auto" w:sz="4" w:space="0"/>
            </w:tcBorders>
            <w:noWrap w:val="0"/>
            <w:vAlign w:val="center"/>
          </w:tcPr>
          <w:p w14:paraId="2B78468F">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2372" w:type="pct"/>
            <w:tcBorders>
              <w:top w:val="nil"/>
              <w:left w:val="nil"/>
              <w:bottom w:val="single" w:color="auto" w:sz="4" w:space="0"/>
              <w:right w:val="single" w:color="auto" w:sz="4" w:space="0"/>
            </w:tcBorders>
            <w:noWrap w:val="0"/>
            <w:vAlign w:val="center"/>
          </w:tcPr>
          <w:p w14:paraId="17F0CD03">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（3）建立健全项目单位与地方政府的协商机制</w:t>
            </w:r>
          </w:p>
        </w:tc>
        <w:tc>
          <w:tcPr>
            <w:tcW w:w="777" w:type="pct"/>
            <w:tcBorders>
              <w:top w:val="nil"/>
              <w:left w:val="nil"/>
              <w:bottom w:val="single" w:color="auto" w:sz="4" w:space="0"/>
              <w:right w:val="single" w:color="auto" w:sz="4" w:space="0"/>
            </w:tcBorders>
            <w:noWrap w:val="0"/>
            <w:vAlign w:val="center"/>
          </w:tcPr>
          <w:p w14:paraId="0D3C17D5">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工程建设单位、施工单位</w:t>
            </w:r>
          </w:p>
        </w:tc>
        <w:tc>
          <w:tcPr>
            <w:tcW w:w="873" w:type="pct"/>
            <w:tcBorders>
              <w:top w:val="nil"/>
              <w:left w:val="nil"/>
              <w:bottom w:val="single" w:color="auto" w:sz="4" w:space="0"/>
              <w:right w:val="single" w:color="auto" w:sz="4" w:space="0"/>
            </w:tcBorders>
            <w:noWrap w:val="0"/>
            <w:vAlign w:val="center"/>
          </w:tcPr>
          <w:p w14:paraId="2920B10E">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羊亭镇、张村镇各镇街</w:t>
            </w:r>
          </w:p>
        </w:tc>
      </w:tr>
      <w:tr w14:paraId="26C4F67A">
        <w:tblPrEx>
          <w:tblCellMar>
            <w:top w:w="0" w:type="dxa"/>
            <w:left w:w="108" w:type="dxa"/>
            <w:bottom w:w="0" w:type="dxa"/>
            <w:right w:w="108" w:type="dxa"/>
          </w:tblCellMar>
        </w:tblPrEx>
        <w:trPr>
          <w:trHeight w:val="750" w:hRule="atLeast"/>
        </w:trPr>
        <w:tc>
          <w:tcPr>
            <w:tcW w:w="331" w:type="pct"/>
            <w:vMerge w:val="restart"/>
            <w:tcBorders>
              <w:top w:val="nil"/>
              <w:left w:val="single" w:color="auto" w:sz="4" w:space="0"/>
              <w:right w:val="single" w:color="auto" w:sz="4" w:space="0"/>
            </w:tcBorders>
            <w:noWrap w:val="0"/>
            <w:vAlign w:val="center"/>
          </w:tcPr>
          <w:p w14:paraId="2642E79E">
            <w:pPr>
              <w:keepNext w:val="0"/>
              <w:keepLines w:val="0"/>
              <w:widowControl/>
              <w:suppressLineNumbers w:val="0"/>
              <w:spacing w:before="0" w:beforeAutospacing="0" w:after="0" w:afterAutospacing="0" w:line="61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5</w:t>
            </w:r>
          </w:p>
        </w:tc>
        <w:tc>
          <w:tcPr>
            <w:tcW w:w="644" w:type="pct"/>
            <w:vMerge w:val="restart"/>
            <w:tcBorders>
              <w:top w:val="nil"/>
              <w:left w:val="single" w:color="auto" w:sz="4" w:space="0"/>
              <w:right w:val="single" w:color="auto" w:sz="4" w:space="0"/>
            </w:tcBorders>
            <w:noWrap w:val="0"/>
            <w:vAlign w:val="center"/>
          </w:tcPr>
          <w:p w14:paraId="18D62B7B">
            <w:pPr>
              <w:keepNext w:val="0"/>
              <w:keepLines w:val="0"/>
              <w:widowControl/>
              <w:suppressLineNumbers w:val="0"/>
              <w:adjustRightInd w:val="0"/>
              <w:snapToGrid w:val="0"/>
              <w:spacing w:before="0" w:beforeAutospacing="0" w:after="0" w:afterAutospacing="0" w:line="61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舆论导向及其影响</w:t>
            </w:r>
          </w:p>
        </w:tc>
        <w:tc>
          <w:tcPr>
            <w:tcW w:w="2372" w:type="pct"/>
            <w:tcBorders>
              <w:top w:val="nil"/>
              <w:left w:val="nil"/>
              <w:bottom w:val="single" w:color="auto" w:sz="4" w:space="0"/>
              <w:right w:val="single" w:color="auto" w:sz="4" w:space="0"/>
            </w:tcBorders>
            <w:noWrap w:val="0"/>
            <w:vAlign w:val="center"/>
          </w:tcPr>
          <w:p w14:paraId="76F41847">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（1）保证处理厂尾水监测数据公开透明，强化政府责任，及时回应民众关切事宜，确保群众知情</w:t>
            </w:r>
          </w:p>
        </w:tc>
        <w:tc>
          <w:tcPr>
            <w:tcW w:w="777" w:type="pct"/>
            <w:tcBorders>
              <w:top w:val="nil"/>
              <w:left w:val="nil"/>
              <w:bottom w:val="single" w:color="auto" w:sz="4" w:space="0"/>
              <w:right w:val="single" w:color="auto" w:sz="4" w:space="0"/>
            </w:tcBorders>
            <w:noWrap w:val="0"/>
            <w:vAlign w:val="center"/>
          </w:tcPr>
          <w:p w14:paraId="0BC2D478">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环翠区污水处理厂、工程建设单位</w:t>
            </w:r>
          </w:p>
        </w:tc>
        <w:tc>
          <w:tcPr>
            <w:tcW w:w="873" w:type="pct"/>
            <w:tcBorders>
              <w:top w:val="nil"/>
              <w:left w:val="nil"/>
              <w:bottom w:val="single" w:color="auto" w:sz="4" w:space="0"/>
              <w:right w:val="single" w:color="auto" w:sz="4" w:space="0"/>
            </w:tcBorders>
            <w:noWrap w:val="0"/>
            <w:vAlign w:val="center"/>
          </w:tcPr>
          <w:p w14:paraId="78D830D7">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羊亭镇政府、张村镇政府</w:t>
            </w:r>
          </w:p>
        </w:tc>
      </w:tr>
      <w:tr w14:paraId="36BFA57A">
        <w:tblPrEx>
          <w:tblCellMar>
            <w:top w:w="0" w:type="dxa"/>
            <w:left w:w="108" w:type="dxa"/>
            <w:bottom w:w="0" w:type="dxa"/>
            <w:right w:w="108" w:type="dxa"/>
          </w:tblCellMar>
        </w:tblPrEx>
        <w:trPr>
          <w:trHeight w:val="750" w:hRule="atLeast"/>
        </w:trPr>
        <w:tc>
          <w:tcPr>
            <w:tcW w:w="331" w:type="pct"/>
            <w:vMerge w:val="continue"/>
            <w:tcBorders>
              <w:left w:val="single" w:color="auto" w:sz="4" w:space="0"/>
              <w:right w:val="single" w:color="auto" w:sz="4" w:space="0"/>
            </w:tcBorders>
            <w:noWrap w:val="0"/>
            <w:vAlign w:val="center"/>
          </w:tcPr>
          <w:p w14:paraId="1DF056A6">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644" w:type="pct"/>
            <w:vMerge w:val="continue"/>
            <w:tcBorders>
              <w:left w:val="single" w:color="auto" w:sz="4" w:space="0"/>
              <w:right w:val="single" w:color="auto" w:sz="4" w:space="0"/>
            </w:tcBorders>
            <w:noWrap w:val="0"/>
            <w:vAlign w:val="center"/>
          </w:tcPr>
          <w:p w14:paraId="13161FE1">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2372" w:type="pct"/>
            <w:tcBorders>
              <w:top w:val="single" w:color="auto" w:sz="4" w:space="0"/>
              <w:left w:val="single" w:color="auto" w:sz="4" w:space="0"/>
              <w:bottom w:val="single" w:color="auto" w:sz="4" w:space="0"/>
              <w:right w:val="single" w:color="auto" w:sz="4" w:space="0"/>
            </w:tcBorders>
            <w:noWrap w:val="0"/>
            <w:vAlign w:val="center"/>
          </w:tcPr>
          <w:p w14:paraId="3D14D5D0">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（2）开展面相群众的水知识宣传科普</w:t>
            </w:r>
          </w:p>
        </w:tc>
        <w:tc>
          <w:tcPr>
            <w:tcW w:w="777" w:type="pct"/>
            <w:tcBorders>
              <w:top w:val="single" w:color="auto" w:sz="4" w:space="0"/>
              <w:left w:val="single" w:color="auto" w:sz="4" w:space="0"/>
              <w:bottom w:val="single" w:color="auto" w:sz="4" w:space="0"/>
              <w:right w:val="single" w:color="auto" w:sz="4" w:space="0"/>
            </w:tcBorders>
            <w:noWrap w:val="0"/>
            <w:vAlign w:val="center"/>
          </w:tcPr>
          <w:p w14:paraId="52DEFC68">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工程建设单位</w:t>
            </w:r>
          </w:p>
        </w:tc>
        <w:tc>
          <w:tcPr>
            <w:tcW w:w="873" w:type="pct"/>
            <w:tcBorders>
              <w:top w:val="single" w:color="auto" w:sz="4" w:space="0"/>
              <w:left w:val="single" w:color="auto" w:sz="4" w:space="0"/>
              <w:bottom w:val="single" w:color="auto" w:sz="4" w:space="0"/>
              <w:right w:val="single" w:color="auto" w:sz="4" w:space="0"/>
            </w:tcBorders>
            <w:noWrap w:val="0"/>
            <w:vAlign w:val="center"/>
          </w:tcPr>
          <w:p w14:paraId="24B94433">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r>
              <w:rPr>
                <w:rFonts w:hint="eastAsia" w:ascii="宋体" w:hAnsi="宋体" w:cs="宋体"/>
                <w:color w:val="000000"/>
                <w:kern w:val="0"/>
                <w:sz w:val="22"/>
                <w:szCs w:val="22"/>
              </w:rPr>
              <w:t>羊亭镇、张村镇各镇街</w:t>
            </w:r>
          </w:p>
        </w:tc>
      </w:tr>
      <w:tr w14:paraId="0A0010D8">
        <w:tblPrEx>
          <w:tblCellMar>
            <w:top w:w="0" w:type="dxa"/>
            <w:left w:w="108" w:type="dxa"/>
            <w:bottom w:w="0" w:type="dxa"/>
            <w:right w:w="108" w:type="dxa"/>
          </w:tblCellMar>
        </w:tblPrEx>
        <w:trPr>
          <w:trHeight w:val="750" w:hRule="atLeast"/>
        </w:trPr>
        <w:tc>
          <w:tcPr>
            <w:tcW w:w="331" w:type="pct"/>
            <w:vMerge w:val="continue"/>
            <w:tcBorders>
              <w:left w:val="single" w:color="auto" w:sz="4" w:space="0"/>
              <w:bottom w:val="single" w:color="000000" w:sz="4" w:space="0"/>
              <w:right w:val="single" w:color="auto" w:sz="4" w:space="0"/>
            </w:tcBorders>
            <w:noWrap w:val="0"/>
            <w:vAlign w:val="center"/>
          </w:tcPr>
          <w:p w14:paraId="2A1C6391">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644" w:type="pct"/>
            <w:vMerge w:val="continue"/>
            <w:tcBorders>
              <w:left w:val="single" w:color="auto" w:sz="4" w:space="0"/>
              <w:bottom w:val="single" w:color="auto" w:sz="4" w:space="0"/>
              <w:right w:val="single" w:color="auto" w:sz="4" w:space="0"/>
            </w:tcBorders>
            <w:noWrap w:val="0"/>
            <w:vAlign w:val="center"/>
          </w:tcPr>
          <w:p w14:paraId="316F6F8C">
            <w:pPr>
              <w:keepNext w:val="0"/>
              <w:keepLines w:val="0"/>
              <w:widowControl/>
              <w:suppressLineNumbers w:val="0"/>
              <w:spacing w:before="0" w:beforeAutospacing="0" w:after="0" w:afterAutospacing="0" w:line="610" w:lineRule="exact"/>
              <w:ind w:left="0" w:right="0"/>
              <w:jc w:val="left"/>
              <w:rPr>
                <w:rFonts w:hint="default" w:ascii="宋体" w:hAnsi="宋体" w:cs="宋体"/>
                <w:color w:val="000000"/>
                <w:kern w:val="0"/>
                <w:sz w:val="22"/>
                <w:szCs w:val="22"/>
              </w:rPr>
            </w:pPr>
          </w:p>
        </w:tc>
        <w:tc>
          <w:tcPr>
            <w:tcW w:w="2372" w:type="pct"/>
            <w:tcBorders>
              <w:top w:val="single" w:color="auto" w:sz="4" w:space="0"/>
              <w:left w:val="single" w:color="auto" w:sz="4" w:space="0"/>
              <w:bottom w:val="single" w:color="auto" w:sz="4" w:space="0"/>
              <w:right w:val="single" w:color="auto" w:sz="4" w:space="0"/>
            </w:tcBorders>
            <w:noWrap w:val="0"/>
            <w:vAlign w:val="center"/>
          </w:tcPr>
          <w:p w14:paraId="6BE82302">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cs="宋体"/>
                <w:color w:val="000000"/>
                <w:kern w:val="0"/>
                <w:sz w:val="22"/>
                <w:szCs w:val="22"/>
              </w:rPr>
            </w:pPr>
            <w:r>
              <w:rPr>
                <w:rFonts w:hint="eastAsia" w:ascii="宋体" w:hAnsi="宋体" w:cs="宋体"/>
                <w:color w:val="000000"/>
                <w:kern w:val="0"/>
                <w:sz w:val="22"/>
                <w:szCs w:val="22"/>
              </w:rPr>
              <w:t>（3）严格宣传纪律，加强舆论监督工作，创造良好舆论环境</w:t>
            </w:r>
          </w:p>
        </w:tc>
        <w:tc>
          <w:tcPr>
            <w:tcW w:w="777" w:type="pct"/>
            <w:tcBorders>
              <w:top w:val="single" w:color="auto" w:sz="4" w:space="0"/>
              <w:left w:val="single" w:color="auto" w:sz="4" w:space="0"/>
              <w:bottom w:val="single" w:color="auto" w:sz="4" w:space="0"/>
              <w:right w:val="single" w:color="auto" w:sz="4" w:space="0"/>
            </w:tcBorders>
            <w:noWrap w:val="0"/>
            <w:vAlign w:val="center"/>
          </w:tcPr>
          <w:p w14:paraId="2CD6E047">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cs="宋体"/>
                <w:color w:val="000000"/>
                <w:kern w:val="0"/>
                <w:sz w:val="22"/>
                <w:szCs w:val="22"/>
              </w:rPr>
            </w:pPr>
            <w:r>
              <w:rPr>
                <w:rFonts w:hint="eastAsia" w:ascii="宋体" w:hAnsi="宋体" w:cs="宋体"/>
                <w:color w:val="000000"/>
                <w:kern w:val="0"/>
                <w:sz w:val="22"/>
                <w:szCs w:val="22"/>
              </w:rPr>
              <w:t>羊亭镇政府、张村镇政府</w:t>
            </w:r>
          </w:p>
        </w:tc>
        <w:tc>
          <w:tcPr>
            <w:tcW w:w="873" w:type="pct"/>
            <w:tcBorders>
              <w:top w:val="single" w:color="auto" w:sz="4" w:space="0"/>
              <w:left w:val="single" w:color="auto" w:sz="4" w:space="0"/>
              <w:bottom w:val="single" w:color="auto" w:sz="4" w:space="0"/>
              <w:right w:val="single" w:color="auto" w:sz="4" w:space="0"/>
            </w:tcBorders>
            <w:noWrap w:val="0"/>
            <w:vAlign w:val="center"/>
          </w:tcPr>
          <w:p w14:paraId="1BA63910">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cs="宋体"/>
                <w:color w:val="000000"/>
                <w:kern w:val="0"/>
                <w:sz w:val="22"/>
                <w:szCs w:val="22"/>
              </w:rPr>
            </w:pPr>
          </w:p>
        </w:tc>
      </w:tr>
    </w:tbl>
    <w:p w14:paraId="59234893">
      <w:pPr>
        <w:spacing w:line="610" w:lineRule="exact"/>
        <w:ind w:firstLine="640" w:firstLineChars="200"/>
        <w:rPr>
          <w:rFonts w:hint="eastAsia" w:eastAsia="仿宋_GB2312"/>
          <w:sz w:val="32"/>
          <w:szCs w:val="32"/>
        </w:rPr>
      </w:pPr>
      <w:r>
        <w:rPr>
          <w:rFonts w:hint="eastAsia" w:eastAsia="仿宋_GB2312"/>
          <w:sz w:val="32"/>
          <w:szCs w:val="32"/>
        </w:rPr>
        <w:tab/>
      </w:r>
    </w:p>
    <w:p w14:paraId="23467D5D">
      <w:pPr>
        <w:pStyle w:val="5"/>
        <w:bidi w:val="0"/>
        <w:ind w:left="995" w:leftChars="0" w:hanging="575" w:firstLineChars="0"/>
        <w:rPr>
          <w:rFonts w:hint="eastAsia"/>
          <w:lang w:val="en-US" w:eastAsia="zh-CN"/>
        </w:rPr>
      </w:pPr>
      <w:bookmarkStart w:id="18" w:name="_Toc31819"/>
      <w:r>
        <w:rPr>
          <w:rFonts w:hint="eastAsia"/>
          <w:lang w:val="en-US" w:eastAsia="zh-CN"/>
        </w:rPr>
        <w:t>落实措施后的风险等级确定</w:t>
      </w:r>
      <w:bookmarkEnd w:id="18"/>
    </w:p>
    <w:p w14:paraId="3FDF5AC2">
      <w:pPr>
        <w:pStyle w:val="6"/>
        <w:bidi w:val="0"/>
        <w:ind w:left="720" w:leftChars="0" w:hanging="300" w:firstLineChars="0"/>
        <w:rPr>
          <w:rFonts w:hint="eastAsia" w:eastAsia="仿宋_GB2312"/>
          <w:sz w:val="32"/>
          <w:szCs w:val="32"/>
          <w:lang w:eastAsia="zh-CN"/>
        </w:rPr>
      </w:pPr>
      <w:r>
        <w:rPr>
          <w:rFonts w:hint="eastAsia" w:eastAsia="仿宋_GB2312"/>
          <w:sz w:val="32"/>
          <w:szCs w:val="32"/>
          <w:lang w:eastAsia="zh-CN"/>
        </w:rPr>
        <w:t>风险评估标准</w:t>
      </w:r>
    </w:p>
    <w:p w14:paraId="53EA7E73">
      <w:pPr>
        <w:spacing w:line="540" w:lineRule="exact"/>
        <w:ind w:firstLine="560" w:firstLineChars="200"/>
        <w:rPr>
          <w:rFonts w:hint="default" w:ascii="仿宋" w:hAnsi="仿宋" w:eastAsia="仿宋"/>
          <w:kern w:val="0"/>
          <w:sz w:val="28"/>
          <w:szCs w:val="32"/>
          <w:lang w:val="en-US" w:eastAsia="zh-CN"/>
        </w:rPr>
      </w:pPr>
      <w:r>
        <w:rPr>
          <w:rFonts w:hint="default" w:ascii="仿宋" w:hAnsi="仿宋" w:eastAsia="仿宋"/>
          <w:kern w:val="0"/>
          <w:sz w:val="28"/>
          <w:szCs w:val="32"/>
          <w:lang w:val="en-US" w:eastAsia="zh-CN"/>
        </w:rPr>
        <w:t>评估工作组在风险调查和风险识别的基础上，对各风险因素在</w:t>
      </w:r>
      <w:r>
        <w:rPr>
          <w:rFonts w:hint="eastAsia" w:ascii="仿宋" w:hAnsi="仿宋" w:eastAsia="仿宋"/>
          <w:kern w:val="0"/>
          <w:sz w:val="28"/>
          <w:szCs w:val="32"/>
          <w:lang w:val="en-US" w:eastAsia="zh-CN"/>
        </w:rPr>
        <w:t>项目</w:t>
      </w:r>
      <w:r>
        <w:rPr>
          <w:rFonts w:hint="default" w:ascii="仿宋" w:hAnsi="仿宋" w:eastAsia="仿宋"/>
          <w:kern w:val="0"/>
          <w:sz w:val="28"/>
          <w:szCs w:val="32"/>
          <w:lang w:val="en-US" w:eastAsia="zh-CN"/>
        </w:rPr>
        <w:t>整体风险中的重要性程度（I）、发生风险事件的概率（p）和影响程度（q）进行估计，计算各风险因素的风险程度 （R=p×q）和</w:t>
      </w:r>
      <w:r>
        <w:rPr>
          <w:rFonts w:hint="eastAsia" w:ascii="仿宋" w:hAnsi="仿宋" w:eastAsia="仿宋"/>
          <w:kern w:val="0"/>
          <w:sz w:val="28"/>
          <w:szCs w:val="32"/>
          <w:lang w:val="en-US" w:eastAsia="zh-CN"/>
        </w:rPr>
        <w:t>项目</w:t>
      </w:r>
      <w:r>
        <w:rPr>
          <w:rFonts w:hint="default" w:ascii="仿宋" w:hAnsi="仿宋" w:eastAsia="仿宋"/>
          <w:kern w:val="0"/>
          <w:sz w:val="28"/>
          <w:szCs w:val="32"/>
          <w:lang w:val="en-US" w:eastAsia="zh-CN"/>
        </w:rPr>
        <w:t>的综合风险指数∑（I×R），确定风险等级。</w:t>
      </w:r>
    </w:p>
    <w:p w14:paraId="585013EF">
      <w:pPr>
        <w:spacing w:line="540" w:lineRule="exact"/>
        <w:ind w:firstLine="560" w:firstLineChars="200"/>
        <w:rPr>
          <w:rFonts w:hint="default" w:ascii="仿宋" w:hAnsi="仿宋" w:eastAsia="仿宋"/>
          <w:kern w:val="0"/>
          <w:sz w:val="28"/>
          <w:szCs w:val="32"/>
          <w:lang w:val="en-US" w:eastAsia="zh-CN"/>
        </w:rPr>
      </w:pPr>
      <w:r>
        <w:rPr>
          <w:rFonts w:hint="default" w:ascii="仿宋" w:hAnsi="仿宋" w:eastAsia="仿宋"/>
          <w:kern w:val="0"/>
          <w:sz w:val="28"/>
          <w:szCs w:val="32"/>
          <w:lang w:val="en-US" w:eastAsia="zh-CN"/>
        </w:rPr>
        <w:t>1.打分参考标准如下：</w:t>
      </w:r>
    </w:p>
    <w:p w14:paraId="11E27A35">
      <w:pPr>
        <w:tabs>
          <w:tab w:val="left" w:pos="3178"/>
        </w:tabs>
        <w:spacing w:line="560" w:lineRule="exact"/>
        <w:ind w:firstLine="560" w:firstLineChars="200"/>
        <w:jc w:val="left"/>
        <w:rPr>
          <w:rFonts w:hint="default" w:ascii="Times New Roman" w:hAnsi="Times New Roman" w:eastAsia="仿宋_GB2312" w:cs="Times New Roman"/>
          <w:b w:val="0"/>
          <w:bCs w:val="0"/>
          <w:color w:val="auto"/>
          <w:sz w:val="28"/>
          <w:szCs w:val="28"/>
          <w:highlight w:val="none"/>
        </w:rPr>
      </w:pPr>
      <w:r>
        <w:rPr>
          <w:rFonts w:hint="default" w:ascii="Times New Roman" w:hAnsi="Times New Roman" w:eastAsia="仿宋_GB2312" w:cs="Times New Roman"/>
          <w:b w:val="0"/>
          <w:bCs w:val="0"/>
          <w:color w:val="auto"/>
          <w:sz w:val="28"/>
          <w:szCs w:val="28"/>
          <w:highlight w:val="none"/>
          <w:lang w:eastAsia="zh-CN"/>
        </w:rPr>
        <w:t>（</w:t>
      </w:r>
      <w:r>
        <w:rPr>
          <w:rFonts w:hint="default" w:ascii="Times New Roman" w:hAnsi="Times New Roman" w:eastAsia="仿宋_GB2312" w:cs="Times New Roman"/>
          <w:b w:val="0"/>
          <w:bCs w:val="0"/>
          <w:color w:val="auto"/>
          <w:sz w:val="28"/>
          <w:szCs w:val="28"/>
          <w:highlight w:val="none"/>
        </w:rPr>
        <w:t>1</w:t>
      </w:r>
      <w:r>
        <w:rPr>
          <w:rFonts w:hint="default" w:ascii="Times New Roman" w:hAnsi="Times New Roman" w:eastAsia="仿宋_GB2312" w:cs="Times New Roman"/>
          <w:b w:val="0"/>
          <w:bCs w:val="0"/>
          <w:color w:val="auto"/>
          <w:sz w:val="28"/>
          <w:szCs w:val="28"/>
          <w:highlight w:val="none"/>
          <w:lang w:eastAsia="zh-CN"/>
        </w:rPr>
        <w:t>）</w:t>
      </w:r>
      <w:r>
        <w:rPr>
          <w:rFonts w:hint="default" w:ascii="Times New Roman" w:hAnsi="Times New Roman" w:eastAsia="仿宋_GB2312" w:cs="Times New Roman"/>
          <w:b w:val="0"/>
          <w:bCs w:val="0"/>
          <w:color w:val="auto"/>
          <w:sz w:val="28"/>
          <w:szCs w:val="28"/>
          <w:highlight w:val="none"/>
        </w:rPr>
        <w:t>重要性程度打分参考标准</w:t>
      </w:r>
    </w:p>
    <w:p w14:paraId="2DC0A44F">
      <w:pPr>
        <w:tabs>
          <w:tab w:val="left" w:pos="3178"/>
        </w:tabs>
        <w:spacing w:line="560" w:lineRule="exact"/>
        <w:ind w:firstLine="560" w:firstLineChars="200"/>
        <w:jc w:val="left"/>
        <w:rPr>
          <w:rFonts w:hint="default" w:ascii="仿宋" w:hAnsi="仿宋" w:eastAsia="仿宋"/>
          <w:kern w:val="0"/>
          <w:sz w:val="28"/>
          <w:szCs w:val="32"/>
          <w:lang w:val="en-US" w:eastAsia="zh-CN"/>
        </w:rPr>
      </w:pPr>
      <w:r>
        <w:rPr>
          <w:rFonts w:hint="default" w:ascii="仿宋" w:hAnsi="仿宋" w:eastAsia="仿宋"/>
          <w:kern w:val="0"/>
          <w:sz w:val="28"/>
          <w:szCs w:val="32"/>
          <w:lang w:val="en-US" w:eastAsia="zh-CN"/>
        </w:rPr>
        <w:t>利用专家经验，对风险因素的重要性程度进行打分。打分范围为1～10，分数越高，表示该风险因素越重要。分数为0，表示该风险因素可以忽略不计。通过计算各主要风险因素重要性打分均值占所有风险因素重要性打分均值和的比例，得到各主要风险因素的权重（I）。</w:t>
      </w:r>
    </w:p>
    <w:p w14:paraId="6BB85933">
      <w:pPr>
        <w:tabs>
          <w:tab w:val="left" w:pos="3178"/>
        </w:tabs>
        <w:spacing w:line="560" w:lineRule="exact"/>
        <w:ind w:firstLine="560" w:firstLineChars="200"/>
        <w:jc w:val="left"/>
        <w:rPr>
          <w:rFonts w:hint="default" w:ascii="Times New Roman" w:hAnsi="Times New Roman" w:eastAsia="仿宋_GB2312" w:cs="Times New Roman"/>
          <w:b w:val="0"/>
          <w:bCs w:val="0"/>
          <w:color w:val="auto"/>
          <w:sz w:val="28"/>
          <w:szCs w:val="28"/>
          <w:highlight w:val="none"/>
          <w:lang w:eastAsia="zh-CN"/>
        </w:rPr>
      </w:pPr>
      <w:r>
        <w:rPr>
          <w:rFonts w:hint="default" w:ascii="Times New Roman" w:hAnsi="Times New Roman" w:eastAsia="仿宋_GB2312" w:cs="Times New Roman"/>
          <w:b w:val="0"/>
          <w:bCs w:val="0"/>
          <w:color w:val="auto"/>
          <w:sz w:val="28"/>
          <w:szCs w:val="28"/>
          <w:highlight w:val="none"/>
          <w:lang w:eastAsia="zh-CN"/>
        </w:rPr>
        <w:t>（</w:t>
      </w:r>
      <w:r>
        <w:rPr>
          <w:rFonts w:hint="default" w:ascii="Times New Roman" w:hAnsi="Times New Roman" w:eastAsia="仿宋_GB2312" w:cs="Times New Roman"/>
          <w:b w:val="0"/>
          <w:bCs w:val="0"/>
          <w:color w:val="auto"/>
          <w:sz w:val="28"/>
          <w:szCs w:val="28"/>
          <w:highlight w:val="none"/>
          <w:lang w:val="en-US" w:eastAsia="zh-CN"/>
        </w:rPr>
        <w:t>2</w:t>
      </w:r>
      <w:r>
        <w:rPr>
          <w:rFonts w:hint="default" w:ascii="Times New Roman" w:hAnsi="Times New Roman" w:eastAsia="仿宋_GB2312" w:cs="Times New Roman"/>
          <w:b w:val="0"/>
          <w:bCs w:val="0"/>
          <w:color w:val="auto"/>
          <w:sz w:val="28"/>
          <w:szCs w:val="28"/>
          <w:highlight w:val="none"/>
          <w:lang w:eastAsia="zh-CN"/>
        </w:rPr>
        <w:t>）风险概率评判标准</w:t>
      </w:r>
    </w:p>
    <w:p w14:paraId="472078C4">
      <w:pPr>
        <w:spacing w:line="540" w:lineRule="exact"/>
        <w:ind w:firstLine="560" w:firstLineChars="200"/>
        <w:rPr>
          <w:rFonts w:hint="default" w:ascii="仿宋" w:hAnsi="仿宋" w:eastAsia="仿宋"/>
          <w:kern w:val="0"/>
          <w:sz w:val="28"/>
          <w:szCs w:val="32"/>
          <w:lang w:val="en-US" w:eastAsia="zh-CN"/>
        </w:rPr>
      </w:pPr>
      <w:r>
        <w:rPr>
          <w:rFonts w:hint="default" w:ascii="仿宋" w:hAnsi="仿宋" w:eastAsia="仿宋"/>
          <w:kern w:val="0"/>
          <w:sz w:val="28"/>
          <w:szCs w:val="32"/>
          <w:lang w:val="en-US" w:eastAsia="zh-CN"/>
        </w:rPr>
        <w:t>风险因素发生的概率等级，分为很高、较高、中等、较低和很低五个等级。评判标准见下表。</w:t>
      </w:r>
    </w:p>
    <w:p w14:paraId="7BEA9B12">
      <w:pPr>
        <w:tabs>
          <w:tab w:val="left" w:pos="3178"/>
        </w:tabs>
        <w:spacing w:line="560" w:lineRule="exact"/>
        <w:jc w:val="center"/>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rPr>
        <w:t>风险因素发生的概率评判标准</w:t>
      </w:r>
    </w:p>
    <w:tbl>
      <w:tblPr>
        <w:tblStyle w:val="19"/>
        <w:tblW w:w="9300" w:type="dxa"/>
        <w:tblInd w:w="93" w:type="dxa"/>
        <w:tblLayout w:type="fixed"/>
        <w:tblCellMar>
          <w:top w:w="0" w:type="dxa"/>
          <w:left w:w="108" w:type="dxa"/>
          <w:bottom w:w="0" w:type="dxa"/>
          <w:right w:w="108" w:type="dxa"/>
        </w:tblCellMar>
      </w:tblPr>
      <w:tblGrid>
        <w:gridCol w:w="1577"/>
        <w:gridCol w:w="4966"/>
        <w:gridCol w:w="2757"/>
      </w:tblGrid>
      <w:tr w14:paraId="0ADFE957">
        <w:tblPrEx>
          <w:tblCellMar>
            <w:top w:w="0" w:type="dxa"/>
            <w:left w:w="108" w:type="dxa"/>
            <w:bottom w:w="0" w:type="dxa"/>
            <w:right w:w="108" w:type="dxa"/>
          </w:tblCellMar>
        </w:tblPrEx>
        <w:trPr>
          <w:trHeight w:val="371" w:hRule="atLeast"/>
        </w:trPr>
        <w:tc>
          <w:tcPr>
            <w:tcW w:w="1577" w:type="dxa"/>
            <w:tcBorders>
              <w:top w:val="single" w:color="auto" w:sz="4" w:space="0"/>
              <w:left w:val="single" w:color="auto" w:sz="4" w:space="0"/>
              <w:bottom w:val="single" w:color="auto" w:sz="4" w:space="0"/>
              <w:right w:val="single" w:color="auto" w:sz="4" w:space="0"/>
            </w:tcBorders>
            <w:vAlign w:val="center"/>
          </w:tcPr>
          <w:p w14:paraId="574A6D3B">
            <w:pPr>
              <w:keepNext w:val="0"/>
              <w:keepLines w:val="0"/>
              <w:pageBreakBefore w:val="0"/>
              <w:widowControl w:val="0"/>
              <w:suppressLineNumbers w:val="0"/>
              <w:tabs>
                <w:tab w:val="left" w:pos="3178"/>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黑体" w:cs="Times New Roman"/>
                <w:color w:val="auto"/>
                <w:sz w:val="24"/>
                <w:szCs w:val="24"/>
                <w:highlight w:val="none"/>
              </w:rPr>
            </w:pPr>
            <w:r>
              <w:rPr>
                <w:rFonts w:hint="default" w:ascii="Times New Roman" w:hAnsi="Times New Roman" w:eastAsia="黑体" w:cs="Times New Roman"/>
                <w:color w:val="auto"/>
                <w:sz w:val="24"/>
                <w:szCs w:val="24"/>
                <w:highlight w:val="none"/>
              </w:rPr>
              <w:t>等级</w:t>
            </w:r>
          </w:p>
        </w:tc>
        <w:tc>
          <w:tcPr>
            <w:tcW w:w="4966" w:type="dxa"/>
            <w:tcBorders>
              <w:top w:val="single" w:color="auto" w:sz="4" w:space="0"/>
              <w:left w:val="nil"/>
              <w:bottom w:val="single" w:color="auto" w:sz="4" w:space="0"/>
              <w:right w:val="single" w:color="auto" w:sz="4" w:space="0"/>
            </w:tcBorders>
            <w:vAlign w:val="center"/>
          </w:tcPr>
          <w:p w14:paraId="0B06ABD7">
            <w:pPr>
              <w:keepNext w:val="0"/>
              <w:keepLines w:val="0"/>
              <w:pageBreakBefore w:val="0"/>
              <w:widowControl w:val="0"/>
              <w:suppressLineNumbers w:val="0"/>
              <w:tabs>
                <w:tab w:val="left" w:pos="3178"/>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黑体" w:cs="Times New Roman"/>
                <w:color w:val="auto"/>
                <w:sz w:val="24"/>
                <w:szCs w:val="24"/>
                <w:highlight w:val="none"/>
              </w:rPr>
            </w:pPr>
            <w:r>
              <w:rPr>
                <w:rFonts w:hint="default" w:ascii="Times New Roman" w:hAnsi="Times New Roman" w:eastAsia="黑体" w:cs="Times New Roman"/>
                <w:color w:val="auto"/>
                <w:sz w:val="24"/>
                <w:szCs w:val="24"/>
                <w:highlight w:val="none"/>
              </w:rPr>
              <w:t>定性评判标准</w:t>
            </w:r>
          </w:p>
        </w:tc>
        <w:tc>
          <w:tcPr>
            <w:tcW w:w="2757" w:type="dxa"/>
            <w:tcBorders>
              <w:top w:val="single" w:color="auto" w:sz="4" w:space="0"/>
              <w:left w:val="nil"/>
              <w:bottom w:val="single" w:color="auto" w:sz="4" w:space="0"/>
              <w:right w:val="single" w:color="auto" w:sz="4" w:space="0"/>
            </w:tcBorders>
            <w:vAlign w:val="center"/>
          </w:tcPr>
          <w:p w14:paraId="2B43CFCA">
            <w:pPr>
              <w:keepNext w:val="0"/>
              <w:keepLines w:val="0"/>
              <w:pageBreakBefore w:val="0"/>
              <w:widowControl w:val="0"/>
              <w:suppressLineNumbers w:val="0"/>
              <w:tabs>
                <w:tab w:val="left" w:pos="3178"/>
              </w:tabs>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黑体" w:cs="Times New Roman"/>
                <w:color w:val="auto"/>
                <w:sz w:val="24"/>
                <w:szCs w:val="24"/>
                <w:highlight w:val="none"/>
              </w:rPr>
            </w:pPr>
            <w:r>
              <w:rPr>
                <w:rFonts w:hint="default" w:ascii="Times New Roman" w:hAnsi="Times New Roman" w:eastAsia="黑体" w:cs="Times New Roman"/>
                <w:color w:val="auto"/>
                <w:sz w:val="24"/>
                <w:szCs w:val="24"/>
                <w:highlight w:val="none"/>
              </w:rPr>
              <w:t>定量评判标准</w:t>
            </w:r>
          </w:p>
        </w:tc>
      </w:tr>
      <w:tr w14:paraId="3D856297">
        <w:tblPrEx>
          <w:tblCellMar>
            <w:top w:w="0" w:type="dxa"/>
            <w:left w:w="108" w:type="dxa"/>
            <w:bottom w:w="0" w:type="dxa"/>
            <w:right w:w="108" w:type="dxa"/>
          </w:tblCellMar>
        </w:tblPrEx>
        <w:trPr>
          <w:trHeight w:val="385" w:hRule="exact"/>
        </w:trPr>
        <w:tc>
          <w:tcPr>
            <w:tcW w:w="1577" w:type="dxa"/>
            <w:tcBorders>
              <w:top w:val="nil"/>
              <w:left w:val="single" w:color="auto" w:sz="4" w:space="0"/>
              <w:bottom w:val="single" w:color="auto" w:sz="4" w:space="0"/>
              <w:right w:val="single" w:color="auto" w:sz="4" w:space="0"/>
            </w:tcBorders>
            <w:vAlign w:val="center"/>
          </w:tcPr>
          <w:p w14:paraId="289B4FB6">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很高</w:t>
            </w:r>
          </w:p>
        </w:tc>
        <w:tc>
          <w:tcPr>
            <w:tcW w:w="4966" w:type="dxa"/>
            <w:tcBorders>
              <w:top w:val="nil"/>
              <w:left w:val="nil"/>
              <w:bottom w:val="single" w:color="auto" w:sz="4" w:space="0"/>
              <w:right w:val="single" w:color="auto" w:sz="4" w:space="0"/>
            </w:tcBorders>
            <w:vAlign w:val="center"/>
          </w:tcPr>
          <w:p w14:paraId="5AA494D4">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几乎确定</w:t>
            </w:r>
          </w:p>
        </w:tc>
        <w:tc>
          <w:tcPr>
            <w:tcW w:w="2757" w:type="dxa"/>
            <w:tcBorders>
              <w:top w:val="nil"/>
              <w:left w:val="nil"/>
              <w:bottom w:val="single" w:color="auto" w:sz="4" w:space="0"/>
              <w:right w:val="single" w:color="auto" w:sz="4" w:space="0"/>
            </w:tcBorders>
            <w:vAlign w:val="center"/>
          </w:tcPr>
          <w:p w14:paraId="3D94BCAF">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1.0≥p＞0.8</w:t>
            </w:r>
          </w:p>
        </w:tc>
      </w:tr>
      <w:tr w14:paraId="3913C760">
        <w:tblPrEx>
          <w:tblCellMar>
            <w:top w:w="0" w:type="dxa"/>
            <w:left w:w="108" w:type="dxa"/>
            <w:bottom w:w="0" w:type="dxa"/>
            <w:right w:w="108" w:type="dxa"/>
          </w:tblCellMar>
        </w:tblPrEx>
        <w:trPr>
          <w:trHeight w:val="448" w:hRule="exact"/>
        </w:trPr>
        <w:tc>
          <w:tcPr>
            <w:tcW w:w="1577" w:type="dxa"/>
            <w:tcBorders>
              <w:top w:val="nil"/>
              <w:left w:val="single" w:color="auto" w:sz="4" w:space="0"/>
              <w:bottom w:val="single" w:color="auto" w:sz="4" w:space="0"/>
              <w:right w:val="single" w:color="auto" w:sz="4" w:space="0"/>
            </w:tcBorders>
            <w:vAlign w:val="center"/>
          </w:tcPr>
          <w:p w14:paraId="1FCDD43C">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较高</w:t>
            </w:r>
          </w:p>
        </w:tc>
        <w:tc>
          <w:tcPr>
            <w:tcW w:w="4966" w:type="dxa"/>
            <w:tcBorders>
              <w:top w:val="nil"/>
              <w:left w:val="nil"/>
              <w:bottom w:val="single" w:color="auto" w:sz="4" w:space="0"/>
              <w:right w:val="single" w:color="auto" w:sz="4" w:space="0"/>
            </w:tcBorders>
            <w:vAlign w:val="center"/>
          </w:tcPr>
          <w:p w14:paraId="66EDE195">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很有可能发生</w:t>
            </w:r>
          </w:p>
        </w:tc>
        <w:tc>
          <w:tcPr>
            <w:tcW w:w="2757" w:type="dxa"/>
            <w:tcBorders>
              <w:top w:val="nil"/>
              <w:left w:val="nil"/>
              <w:bottom w:val="single" w:color="auto" w:sz="4" w:space="0"/>
              <w:right w:val="single" w:color="auto" w:sz="4" w:space="0"/>
            </w:tcBorders>
            <w:vAlign w:val="center"/>
          </w:tcPr>
          <w:p w14:paraId="6104D839">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0.8≥p＞0.6</w:t>
            </w:r>
          </w:p>
        </w:tc>
      </w:tr>
      <w:tr w14:paraId="348772E0">
        <w:tblPrEx>
          <w:tblCellMar>
            <w:top w:w="0" w:type="dxa"/>
            <w:left w:w="108" w:type="dxa"/>
            <w:bottom w:w="0" w:type="dxa"/>
            <w:right w:w="108" w:type="dxa"/>
          </w:tblCellMar>
        </w:tblPrEx>
        <w:trPr>
          <w:trHeight w:val="412" w:hRule="exact"/>
        </w:trPr>
        <w:tc>
          <w:tcPr>
            <w:tcW w:w="1577" w:type="dxa"/>
            <w:tcBorders>
              <w:top w:val="nil"/>
              <w:left w:val="single" w:color="auto" w:sz="4" w:space="0"/>
              <w:bottom w:val="single" w:color="000000" w:sz="4" w:space="0"/>
              <w:right w:val="single" w:color="auto" w:sz="4" w:space="0"/>
            </w:tcBorders>
            <w:vAlign w:val="center"/>
          </w:tcPr>
          <w:p w14:paraId="69428BDC">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中等</w:t>
            </w:r>
          </w:p>
        </w:tc>
        <w:tc>
          <w:tcPr>
            <w:tcW w:w="4966" w:type="dxa"/>
            <w:tcBorders>
              <w:top w:val="nil"/>
              <w:left w:val="nil"/>
              <w:bottom w:val="single" w:color="000000" w:sz="4" w:space="0"/>
              <w:right w:val="single" w:color="auto" w:sz="4" w:space="0"/>
            </w:tcBorders>
            <w:vAlign w:val="center"/>
          </w:tcPr>
          <w:p w14:paraId="0A76FD68">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有可能发生</w:t>
            </w:r>
          </w:p>
        </w:tc>
        <w:tc>
          <w:tcPr>
            <w:tcW w:w="2757" w:type="dxa"/>
            <w:tcBorders>
              <w:top w:val="nil"/>
              <w:left w:val="nil"/>
              <w:bottom w:val="single" w:color="000000" w:sz="4" w:space="0"/>
              <w:right w:val="single" w:color="auto" w:sz="4" w:space="0"/>
            </w:tcBorders>
            <w:vAlign w:val="center"/>
          </w:tcPr>
          <w:p w14:paraId="48124412">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0.6≥p＞0.4</w:t>
            </w:r>
          </w:p>
        </w:tc>
      </w:tr>
      <w:tr w14:paraId="4F9CFEBE">
        <w:tblPrEx>
          <w:tblCellMar>
            <w:top w:w="0" w:type="dxa"/>
            <w:left w:w="108" w:type="dxa"/>
            <w:bottom w:w="0" w:type="dxa"/>
            <w:right w:w="108" w:type="dxa"/>
          </w:tblCellMar>
        </w:tblPrEx>
        <w:trPr>
          <w:trHeight w:val="497" w:hRule="exact"/>
        </w:trPr>
        <w:tc>
          <w:tcPr>
            <w:tcW w:w="1577" w:type="dxa"/>
            <w:tcBorders>
              <w:top w:val="single" w:color="000000" w:sz="4" w:space="0"/>
              <w:left w:val="single" w:color="000000" w:sz="4" w:space="0"/>
              <w:bottom w:val="single" w:color="000000" w:sz="4" w:space="0"/>
              <w:right w:val="single" w:color="000000" w:sz="4" w:space="0"/>
            </w:tcBorders>
            <w:vAlign w:val="center"/>
          </w:tcPr>
          <w:p w14:paraId="441F354A">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较低</w:t>
            </w:r>
          </w:p>
        </w:tc>
        <w:tc>
          <w:tcPr>
            <w:tcW w:w="4966" w:type="dxa"/>
            <w:tcBorders>
              <w:top w:val="single" w:color="000000" w:sz="4" w:space="0"/>
              <w:left w:val="single" w:color="000000" w:sz="4" w:space="0"/>
              <w:bottom w:val="single" w:color="000000" w:sz="4" w:space="0"/>
              <w:right w:val="single" w:color="000000" w:sz="4" w:space="0"/>
            </w:tcBorders>
            <w:vAlign w:val="center"/>
          </w:tcPr>
          <w:p w14:paraId="04064506">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发生的可能性很小</w:t>
            </w:r>
          </w:p>
        </w:tc>
        <w:tc>
          <w:tcPr>
            <w:tcW w:w="2757" w:type="dxa"/>
            <w:tcBorders>
              <w:top w:val="single" w:color="000000" w:sz="4" w:space="0"/>
              <w:left w:val="single" w:color="000000" w:sz="4" w:space="0"/>
              <w:bottom w:val="single" w:color="000000" w:sz="4" w:space="0"/>
              <w:right w:val="single" w:color="000000" w:sz="4" w:space="0"/>
            </w:tcBorders>
            <w:vAlign w:val="center"/>
          </w:tcPr>
          <w:p w14:paraId="269FF80E">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0.4≥p＞0.2</w:t>
            </w:r>
          </w:p>
        </w:tc>
      </w:tr>
      <w:tr w14:paraId="137C1F73">
        <w:tblPrEx>
          <w:tblCellMar>
            <w:top w:w="0" w:type="dxa"/>
            <w:left w:w="108" w:type="dxa"/>
            <w:bottom w:w="0" w:type="dxa"/>
            <w:right w:w="108" w:type="dxa"/>
          </w:tblCellMar>
        </w:tblPrEx>
        <w:trPr>
          <w:trHeight w:val="523" w:hRule="exact"/>
        </w:trPr>
        <w:tc>
          <w:tcPr>
            <w:tcW w:w="1577" w:type="dxa"/>
            <w:tcBorders>
              <w:top w:val="single" w:color="000000" w:sz="4" w:space="0"/>
              <w:left w:val="single" w:color="auto" w:sz="4" w:space="0"/>
              <w:bottom w:val="single" w:color="auto" w:sz="4" w:space="0"/>
              <w:right w:val="single" w:color="auto" w:sz="4" w:space="0"/>
            </w:tcBorders>
            <w:vAlign w:val="center"/>
          </w:tcPr>
          <w:p w14:paraId="4F7B8679">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很低</w:t>
            </w:r>
          </w:p>
        </w:tc>
        <w:tc>
          <w:tcPr>
            <w:tcW w:w="4966" w:type="dxa"/>
            <w:tcBorders>
              <w:top w:val="single" w:color="000000" w:sz="4" w:space="0"/>
              <w:left w:val="nil"/>
              <w:bottom w:val="single" w:color="auto" w:sz="4" w:space="0"/>
              <w:right w:val="single" w:color="auto" w:sz="4" w:space="0"/>
            </w:tcBorders>
            <w:vAlign w:val="center"/>
          </w:tcPr>
          <w:p w14:paraId="6E2FF019">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发生的可能性很小，几乎不可能</w:t>
            </w:r>
          </w:p>
        </w:tc>
        <w:tc>
          <w:tcPr>
            <w:tcW w:w="2757" w:type="dxa"/>
            <w:tcBorders>
              <w:top w:val="single" w:color="000000" w:sz="4" w:space="0"/>
              <w:left w:val="nil"/>
              <w:bottom w:val="single" w:color="auto" w:sz="4" w:space="0"/>
              <w:right w:val="single" w:color="auto" w:sz="4" w:space="0"/>
            </w:tcBorders>
            <w:vAlign w:val="center"/>
          </w:tcPr>
          <w:p w14:paraId="17557262">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0.2≥p＞0</w:t>
            </w:r>
          </w:p>
        </w:tc>
      </w:tr>
    </w:tbl>
    <w:p w14:paraId="5AF15147">
      <w:pPr>
        <w:spacing w:line="540" w:lineRule="exact"/>
        <w:rPr>
          <w:rFonts w:hint="default" w:ascii="Times New Roman" w:hAnsi="Times New Roman" w:eastAsia="仿宋_GB2312" w:cs="Times New Roman"/>
          <w:color w:val="auto"/>
          <w:sz w:val="32"/>
          <w:szCs w:val="32"/>
          <w:highlight w:val="none"/>
        </w:rPr>
        <w:sectPr>
          <w:pgSz w:w="11906" w:h="16838"/>
          <w:pgMar w:top="1440" w:right="1418" w:bottom="851" w:left="1418" w:header="851" w:footer="992" w:gutter="0"/>
          <w:pgBorders>
            <w:top w:val="none" w:sz="0" w:space="0"/>
            <w:left w:val="none" w:sz="0" w:space="0"/>
            <w:bottom w:val="none" w:sz="0" w:space="0"/>
            <w:right w:val="none" w:sz="0" w:space="0"/>
          </w:pgBorders>
          <w:pgNumType w:fmt="numberInDash"/>
          <w:cols w:space="720" w:num="1"/>
          <w:docGrid w:linePitch="312" w:charSpace="0"/>
        </w:sectPr>
      </w:pPr>
    </w:p>
    <w:p w14:paraId="743B88CE">
      <w:pPr>
        <w:tabs>
          <w:tab w:val="left" w:pos="3178"/>
        </w:tabs>
        <w:spacing w:line="560" w:lineRule="exact"/>
        <w:ind w:firstLine="560" w:firstLineChars="200"/>
        <w:jc w:val="left"/>
        <w:rPr>
          <w:rFonts w:hint="default" w:ascii="Times New Roman" w:hAnsi="Times New Roman" w:eastAsia="仿宋_GB2312" w:cs="Times New Roman"/>
          <w:b w:val="0"/>
          <w:bCs w:val="0"/>
          <w:color w:val="auto"/>
          <w:sz w:val="28"/>
          <w:szCs w:val="28"/>
          <w:highlight w:val="none"/>
          <w:lang w:eastAsia="zh-CN"/>
        </w:rPr>
      </w:pPr>
      <w:r>
        <w:rPr>
          <w:rFonts w:hint="default" w:ascii="Times New Roman" w:hAnsi="Times New Roman" w:eastAsia="仿宋_GB2312" w:cs="Times New Roman"/>
          <w:b w:val="0"/>
          <w:bCs w:val="0"/>
          <w:color w:val="auto"/>
          <w:sz w:val="28"/>
          <w:szCs w:val="28"/>
          <w:highlight w:val="none"/>
          <w:lang w:eastAsia="zh-CN"/>
        </w:rPr>
        <w:t>（3）风险影响程度评判标准</w:t>
      </w:r>
    </w:p>
    <w:p w14:paraId="23E22EDB">
      <w:pPr>
        <w:spacing w:line="540" w:lineRule="exact"/>
        <w:ind w:firstLine="560" w:firstLineChars="200"/>
        <w:rPr>
          <w:rFonts w:hint="default" w:ascii="仿宋" w:hAnsi="仿宋" w:eastAsia="仿宋"/>
          <w:kern w:val="0"/>
          <w:sz w:val="28"/>
          <w:szCs w:val="32"/>
          <w:lang w:val="en-US" w:eastAsia="zh-CN"/>
        </w:rPr>
      </w:pPr>
      <w:r>
        <w:rPr>
          <w:rFonts w:hint="default" w:ascii="仿宋" w:hAnsi="仿宋" w:eastAsia="仿宋"/>
          <w:kern w:val="0"/>
          <w:sz w:val="28"/>
          <w:szCs w:val="32"/>
          <w:lang w:val="en-US" w:eastAsia="zh-CN"/>
        </w:rPr>
        <w:t>风险影响程度是指一旦发生风险事件，对事事项标所产生影响的大小，可划分为严重、较大、中等、较小和可忽略五个等级。评判标准见下表。</w:t>
      </w:r>
    </w:p>
    <w:p w14:paraId="6F0F1CB2">
      <w:pPr>
        <w:tabs>
          <w:tab w:val="left" w:pos="3178"/>
        </w:tabs>
        <w:spacing w:line="600" w:lineRule="exact"/>
        <w:jc w:val="center"/>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rPr>
        <w:t>风险事件发生后的影响程度评判标准</w:t>
      </w:r>
    </w:p>
    <w:tbl>
      <w:tblPr>
        <w:tblStyle w:val="19"/>
        <w:tblW w:w="9280" w:type="dxa"/>
        <w:jc w:val="center"/>
        <w:tblLayout w:type="fixed"/>
        <w:tblCellMar>
          <w:top w:w="0" w:type="dxa"/>
          <w:left w:w="108" w:type="dxa"/>
          <w:bottom w:w="0" w:type="dxa"/>
          <w:right w:w="108" w:type="dxa"/>
        </w:tblCellMar>
      </w:tblPr>
      <w:tblGrid>
        <w:gridCol w:w="1775"/>
        <w:gridCol w:w="5508"/>
        <w:gridCol w:w="1997"/>
      </w:tblGrid>
      <w:tr w14:paraId="11F7A6F3">
        <w:tblPrEx>
          <w:tblCellMar>
            <w:top w:w="0" w:type="dxa"/>
            <w:left w:w="108" w:type="dxa"/>
            <w:bottom w:w="0" w:type="dxa"/>
            <w:right w:w="108" w:type="dxa"/>
          </w:tblCellMar>
        </w:tblPrEx>
        <w:trPr>
          <w:trHeight w:val="691" w:hRule="atLeast"/>
          <w:jc w:val="center"/>
        </w:trPr>
        <w:tc>
          <w:tcPr>
            <w:tcW w:w="1775" w:type="dxa"/>
            <w:tcBorders>
              <w:top w:val="single" w:color="auto" w:sz="4" w:space="0"/>
              <w:left w:val="single" w:color="auto" w:sz="4" w:space="0"/>
              <w:bottom w:val="single" w:color="auto" w:sz="4" w:space="0"/>
              <w:right w:val="single" w:color="auto" w:sz="4" w:space="0"/>
            </w:tcBorders>
            <w:vAlign w:val="center"/>
          </w:tcPr>
          <w:p w14:paraId="3E18B355">
            <w:pPr>
              <w:keepNext w:val="0"/>
              <w:keepLines w:val="0"/>
              <w:widowControl/>
              <w:suppressLineNumbers w:val="0"/>
              <w:spacing w:before="0" w:beforeAutospacing="0" w:after="0" w:afterAutospacing="0"/>
              <w:ind w:left="0" w:right="0"/>
              <w:jc w:val="center"/>
              <w:rPr>
                <w:rFonts w:hint="eastAsia" w:ascii="Times New Roman" w:hAnsi="Times New Roman" w:eastAsia="黑体" w:cs="黑体"/>
                <w:b w:val="0"/>
                <w:bCs w:val="0"/>
                <w:color w:val="auto"/>
                <w:kern w:val="0"/>
                <w:sz w:val="24"/>
                <w:szCs w:val="24"/>
                <w:highlight w:val="none"/>
              </w:rPr>
            </w:pPr>
            <w:r>
              <w:rPr>
                <w:rFonts w:hint="eastAsia" w:ascii="Times New Roman" w:hAnsi="Times New Roman" w:eastAsia="黑体" w:cs="黑体"/>
                <w:b w:val="0"/>
                <w:bCs w:val="0"/>
                <w:color w:val="auto"/>
                <w:kern w:val="0"/>
                <w:sz w:val="24"/>
                <w:szCs w:val="24"/>
                <w:highlight w:val="none"/>
              </w:rPr>
              <w:t>等级</w:t>
            </w:r>
          </w:p>
        </w:tc>
        <w:tc>
          <w:tcPr>
            <w:tcW w:w="5508" w:type="dxa"/>
            <w:tcBorders>
              <w:top w:val="single" w:color="auto" w:sz="4" w:space="0"/>
              <w:left w:val="nil"/>
              <w:bottom w:val="single" w:color="auto" w:sz="4" w:space="0"/>
              <w:right w:val="single" w:color="auto" w:sz="4" w:space="0"/>
            </w:tcBorders>
            <w:vAlign w:val="center"/>
          </w:tcPr>
          <w:p w14:paraId="2A1C15DB">
            <w:pPr>
              <w:keepNext w:val="0"/>
              <w:keepLines w:val="0"/>
              <w:widowControl/>
              <w:suppressLineNumbers w:val="0"/>
              <w:spacing w:before="0" w:beforeAutospacing="0" w:after="0" w:afterAutospacing="0"/>
              <w:ind w:left="0" w:right="0"/>
              <w:jc w:val="center"/>
              <w:rPr>
                <w:rFonts w:hint="eastAsia" w:ascii="Times New Roman" w:hAnsi="Times New Roman" w:eastAsia="黑体" w:cs="黑体"/>
                <w:b w:val="0"/>
                <w:bCs w:val="0"/>
                <w:color w:val="auto"/>
                <w:kern w:val="0"/>
                <w:sz w:val="24"/>
                <w:szCs w:val="24"/>
                <w:highlight w:val="none"/>
              </w:rPr>
            </w:pPr>
            <w:r>
              <w:rPr>
                <w:rFonts w:hint="eastAsia" w:ascii="Times New Roman" w:hAnsi="Times New Roman" w:eastAsia="黑体" w:cs="黑体"/>
                <w:b w:val="0"/>
                <w:bCs w:val="0"/>
                <w:color w:val="auto"/>
                <w:kern w:val="0"/>
                <w:sz w:val="24"/>
                <w:szCs w:val="24"/>
                <w:highlight w:val="none"/>
              </w:rPr>
              <w:t>定性评判标准</w:t>
            </w:r>
          </w:p>
        </w:tc>
        <w:tc>
          <w:tcPr>
            <w:tcW w:w="1997" w:type="dxa"/>
            <w:tcBorders>
              <w:top w:val="single" w:color="auto" w:sz="4" w:space="0"/>
              <w:left w:val="nil"/>
              <w:bottom w:val="single" w:color="auto" w:sz="4" w:space="0"/>
              <w:right w:val="single" w:color="auto" w:sz="4" w:space="0"/>
            </w:tcBorders>
            <w:vAlign w:val="center"/>
          </w:tcPr>
          <w:p w14:paraId="5513A657">
            <w:pPr>
              <w:keepNext w:val="0"/>
              <w:keepLines w:val="0"/>
              <w:widowControl/>
              <w:suppressLineNumbers w:val="0"/>
              <w:spacing w:before="0" w:beforeAutospacing="0" w:after="0" w:afterAutospacing="0"/>
              <w:ind w:left="0" w:right="0"/>
              <w:jc w:val="center"/>
              <w:rPr>
                <w:rFonts w:hint="eastAsia" w:ascii="Times New Roman" w:hAnsi="Times New Roman" w:eastAsia="黑体" w:cs="黑体"/>
                <w:b w:val="0"/>
                <w:bCs w:val="0"/>
                <w:color w:val="auto"/>
                <w:kern w:val="0"/>
                <w:sz w:val="24"/>
                <w:szCs w:val="24"/>
                <w:highlight w:val="none"/>
              </w:rPr>
            </w:pPr>
            <w:r>
              <w:rPr>
                <w:rFonts w:hint="eastAsia" w:ascii="Times New Roman" w:hAnsi="Times New Roman" w:eastAsia="黑体" w:cs="黑体"/>
                <w:b w:val="0"/>
                <w:bCs w:val="0"/>
                <w:color w:val="auto"/>
                <w:kern w:val="0"/>
                <w:sz w:val="24"/>
                <w:szCs w:val="24"/>
                <w:highlight w:val="none"/>
              </w:rPr>
              <w:t>定量评判标准</w:t>
            </w:r>
          </w:p>
        </w:tc>
      </w:tr>
      <w:tr w14:paraId="490888D0">
        <w:tblPrEx>
          <w:tblCellMar>
            <w:top w:w="0" w:type="dxa"/>
            <w:left w:w="108" w:type="dxa"/>
            <w:bottom w:w="0" w:type="dxa"/>
            <w:right w:w="108" w:type="dxa"/>
          </w:tblCellMar>
        </w:tblPrEx>
        <w:trPr>
          <w:trHeight w:val="691" w:hRule="atLeast"/>
          <w:jc w:val="center"/>
        </w:trPr>
        <w:tc>
          <w:tcPr>
            <w:tcW w:w="1775" w:type="dxa"/>
            <w:tcBorders>
              <w:top w:val="nil"/>
              <w:left w:val="single" w:color="auto" w:sz="4" w:space="0"/>
              <w:bottom w:val="single" w:color="auto" w:sz="4" w:space="0"/>
              <w:right w:val="single" w:color="auto" w:sz="4" w:space="0"/>
            </w:tcBorders>
            <w:vAlign w:val="center"/>
          </w:tcPr>
          <w:p w14:paraId="731C5C3D">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严重影响</w:t>
            </w:r>
          </w:p>
        </w:tc>
        <w:tc>
          <w:tcPr>
            <w:tcW w:w="5508" w:type="dxa"/>
            <w:tcBorders>
              <w:top w:val="nil"/>
              <w:left w:val="nil"/>
              <w:bottom w:val="single" w:color="auto" w:sz="4" w:space="0"/>
              <w:right w:val="single" w:color="auto" w:sz="4" w:space="0"/>
            </w:tcBorders>
            <w:vAlign w:val="center"/>
          </w:tcPr>
          <w:p w14:paraId="6E11A263">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lang w:val="en-US" w:eastAsia="zh-CN"/>
              </w:rPr>
              <w:t>在全市或更大范围内造成一定负面影响（社会稳定、形象等方面），需要通过长时间的努力才能消除，且付出巨大代价。</w:t>
            </w:r>
          </w:p>
        </w:tc>
        <w:tc>
          <w:tcPr>
            <w:tcW w:w="1997" w:type="dxa"/>
            <w:tcBorders>
              <w:top w:val="nil"/>
              <w:left w:val="nil"/>
              <w:bottom w:val="single" w:color="auto" w:sz="4" w:space="0"/>
              <w:right w:val="single" w:color="auto" w:sz="4" w:space="0"/>
            </w:tcBorders>
            <w:vAlign w:val="center"/>
          </w:tcPr>
          <w:p w14:paraId="0C401F28">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1.0≥q＞0.8</w:t>
            </w:r>
          </w:p>
        </w:tc>
      </w:tr>
      <w:tr w14:paraId="16C6BE2F">
        <w:tblPrEx>
          <w:tblCellMar>
            <w:top w:w="0" w:type="dxa"/>
            <w:left w:w="108" w:type="dxa"/>
            <w:bottom w:w="0" w:type="dxa"/>
            <w:right w:w="108" w:type="dxa"/>
          </w:tblCellMar>
        </w:tblPrEx>
        <w:trPr>
          <w:trHeight w:val="691" w:hRule="atLeast"/>
          <w:jc w:val="center"/>
        </w:trPr>
        <w:tc>
          <w:tcPr>
            <w:tcW w:w="1775" w:type="dxa"/>
            <w:tcBorders>
              <w:top w:val="nil"/>
              <w:left w:val="single" w:color="auto" w:sz="4" w:space="0"/>
              <w:bottom w:val="single" w:color="auto" w:sz="4" w:space="0"/>
              <w:right w:val="single" w:color="auto" w:sz="4" w:space="0"/>
            </w:tcBorders>
            <w:vAlign w:val="center"/>
          </w:tcPr>
          <w:p w14:paraId="466E6D52">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较大影响</w:t>
            </w:r>
          </w:p>
        </w:tc>
        <w:tc>
          <w:tcPr>
            <w:tcW w:w="5508" w:type="dxa"/>
            <w:tcBorders>
              <w:top w:val="nil"/>
              <w:left w:val="nil"/>
              <w:bottom w:val="single" w:color="auto" w:sz="4" w:space="0"/>
              <w:right w:val="single" w:color="auto" w:sz="4" w:space="0"/>
            </w:tcBorders>
            <w:vAlign w:val="center"/>
          </w:tcPr>
          <w:p w14:paraId="00B03BDB">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lang w:val="en-US" w:eastAsia="zh-CN"/>
              </w:rPr>
              <w:t>在市内造成一定影响（社会稳定、形象等方面），需要通过较长时间才能消除，并需付出较大代价。</w:t>
            </w:r>
          </w:p>
        </w:tc>
        <w:tc>
          <w:tcPr>
            <w:tcW w:w="1997" w:type="dxa"/>
            <w:tcBorders>
              <w:top w:val="nil"/>
              <w:left w:val="nil"/>
              <w:bottom w:val="single" w:color="auto" w:sz="4" w:space="0"/>
              <w:right w:val="single" w:color="auto" w:sz="4" w:space="0"/>
            </w:tcBorders>
            <w:vAlign w:val="center"/>
          </w:tcPr>
          <w:p w14:paraId="4EA488D4">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0.8≥q＞0.6</w:t>
            </w:r>
          </w:p>
        </w:tc>
      </w:tr>
      <w:tr w14:paraId="20090A04">
        <w:tblPrEx>
          <w:tblCellMar>
            <w:top w:w="0" w:type="dxa"/>
            <w:left w:w="108" w:type="dxa"/>
            <w:bottom w:w="0" w:type="dxa"/>
            <w:right w:w="108" w:type="dxa"/>
          </w:tblCellMar>
        </w:tblPrEx>
        <w:trPr>
          <w:trHeight w:val="691" w:hRule="atLeast"/>
          <w:jc w:val="center"/>
        </w:trPr>
        <w:tc>
          <w:tcPr>
            <w:tcW w:w="1775" w:type="dxa"/>
            <w:tcBorders>
              <w:top w:val="nil"/>
              <w:left w:val="single" w:color="auto" w:sz="4" w:space="0"/>
              <w:bottom w:val="single" w:color="auto" w:sz="4" w:space="0"/>
              <w:right w:val="single" w:color="auto" w:sz="4" w:space="0"/>
            </w:tcBorders>
            <w:vAlign w:val="center"/>
          </w:tcPr>
          <w:p w14:paraId="7B8D7D3C">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中等影响</w:t>
            </w:r>
          </w:p>
        </w:tc>
        <w:tc>
          <w:tcPr>
            <w:tcW w:w="5508" w:type="dxa"/>
            <w:tcBorders>
              <w:top w:val="nil"/>
              <w:left w:val="nil"/>
              <w:bottom w:val="single" w:color="auto" w:sz="4" w:space="0"/>
              <w:right w:val="single" w:color="auto" w:sz="4" w:space="0"/>
            </w:tcBorders>
            <w:vAlign w:val="center"/>
          </w:tcPr>
          <w:p w14:paraId="5E6A83E3">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lang w:val="en-US" w:eastAsia="zh-CN"/>
              </w:rPr>
              <w:t>在当地造成一定影响（社会稳定、形象等方面），需要通过一定时间才能消除，并需付出一定代价。</w:t>
            </w:r>
          </w:p>
        </w:tc>
        <w:tc>
          <w:tcPr>
            <w:tcW w:w="1997" w:type="dxa"/>
            <w:tcBorders>
              <w:top w:val="nil"/>
              <w:left w:val="nil"/>
              <w:bottom w:val="single" w:color="auto" w:sz="4" w:space="0"/>
              <w:right w:val="single" w:color="auto" w:sz="4" w:space="0"/>
            </w:tcBorders>
            <w:vAlign w:val="center"/>
          </w:tcPr>
          <w:p w14:paraId="6C31CA97">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0.6≥q＞0.4</w:t>
            </w:r>
          </w:p>
        </w:tc>
      </w:tr>
      <w:tr w14:paraId="4CDCA4F0">
        <w:tblPrEx>
          <w:tblCellMar>
            <w:top w:w="0" w:type="dxa"/>
            <w:left w:w="108" w:type="dxa"/>
            <w:bottom w:w="0" w:type="dxa"/>
            <w:right w:w="108" w:type="dxa"/>
          </w:tblCellMar>
        </w:tblPrEx>
        <w:trPr>
          <w:trHeight w:val="691" w:hRule="atLeast"/>
          <w:jc w:val="center"/>
        </w:trPr>
        <w:tc>
          <w:tcPr>
            <w:tcW w:w="1775" w:type="dxa"/>
            <w:tcBorders>
              <w:top w:val="nil"/>
              <w:left w:val="single" w:color="auto" w:sz="4" w:space="0"/>
              <w:bottom w:val="single" w:color="auto" w:sz="4" w:space="0"/>
              <w:right w:val="single" w:color="auto" w:sz="4" w:space="0"/>
            </w:tcBorders>
            <w:vAlign w:val="center"/>
          </w:tcPr>
          <w:p w14:paraId="14588B59">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较小影响</w:t>
            </w:r>
          </w:p>
        </w:tc>
        <w:tc>
          <w:tcPr>
            <w:tcW w:w="5508" w:type="dxa"/>
            <w:tcBorders>
              <w:top w:val="nil"/>
              <w:left w:val="nil"/>
              <w:bottom w:val="single" w:color="auto" w:sz="4" w:space="0"/>
              <w:right w:val="single" w:color="auto" w:sz="4" w:space="0"/>
            </w:tcBorders>
            <w:vAlign w:val="center"/>
          </w:tcPr>
          <w:p w14:paraId="3165F855">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lang w:val="en-US" w:eastAsia="zh-CN"/>
              </w:rPr>
              <w:t>在当地造成一定影响（社会稳定、形象等方面），但可在短期内消除。</w:t>
            </w:r>
          </w:p>
        </w:tc>
        <w:tc>
          <w:tcPr>
            <w:tcW w:w="1997" w:type="dxa"/>
            <w:tcBorders>
              <w:top w:val="nil"/>
              <w:left w:val="nil"/>
              <w:bottom w:val="single" w:color="auto" w:sz="4" w:space="0"/>
              <w:right w:val="single" w:color="auto" w:sz="4" w:space="0"/>
            </w:tcBorders>
            <w:vAlign w:val="center"/>
          </w:tcPr>
          <w:p w14:paraId="43C6A29A">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0.4≥q＞0.2</w:t>
            </w:r>
          </w:p>
        </w:tc>
      </w:tr>
      <w:tr w14:paraId="4EBA95B9">
        <w:tblPrEx>
          <w:tblCellMar>
            <w:top w:w="0" w:type="dxa"/>
            <w:left w:w="108" w:type="dxa"/>
            <w:bottom w:w="0" w:type="dxa"/>
            <w:right w:w="108" w:type="dxa"/>
          </w:tblCellMar>
        </w:tblPrEx>
        <w:trPr>
          <w:trHeight w:val="1129" w:hRule="atLeast"/>
          <w:jc w:val="center"/>
        </w:trPr>
        <w:tc>
          <w:tcPr>
            <w:tcW w:w="1775" w:type="dxa"/>
            <w:tcBorders>
              <w:top w:val="nil"/>
              <w:left w:val="single" w:color="auto" w:sz="4" w:space="0"/>
              <w:bottom w:val="single" w:color="auto" w:sz="4" w:space="0"/>
              <w:right w:val="single" w:color="auto" w:sz="4" w:space="0"/>
            </w:tcBorders>
            <w:vAlign w:val="center"/>
          </w:tcPr>
          <w:p w14:paraId="06E5E21C">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可忽略影响</w:t>
            </w:r>
          </w:p>
        </w:tc>
        <w:tc>
          <w:tcPr>
            <w:tcW w:w="5508" w:type="dxa"/>
            <w:tcBorders>
              <w:top w:val="nil"/>
              <w:left w:val="nil"/>
              <w:bottom w:val="single" w:color="auto" w:sz="4" w:space="0"/>
              <w:right w:val="single" w:color="auto" w:sz="4" w:space="0"/>
            </w:tcBorders>
            <w:vAlign w:val="center"/>
          </w:tcPr>
          <w:p w14:paraId="43F67757">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lang w:val="en-US" w:eastAsia="zh-CN"/>
              </w:rPr>
              <w:t>在当地造成很小影响，可自行消除。</w:t>
            </w:r>
          </w:p>
        </w:tc>
        <w:tc>
          <w:tcPr>
            <w:tcW w:w="1997" w:type="dxa"/>
            <w:tcBorders>
              <w:top w:val="nil"/>
              <w:left w:val="nil"/>
              <w:bottom w:val="single" w:color="auto" w:sz="4" w:space="0"/>
              <w:right w:val="single" w:color="auto" w:sz="4" w:space="0"/>
            </w:tcBorders>
            <w:vAlign w:val="center"/>
          </w:tcPr>
          <w:p w14:paraId="504B963C">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0.2≥q＞0</w:t>
            </w:r>
          </w:p>
        </w:tc>
      </w:tr>
    </w:tbl>
    <w:p w14:paraId="4EAC75E8">
      <w:pPr>
        <w:tabs>
          <w:tab w:val="left" w:pos="3178"/>
        </w:tabs>
        <w:spacing w:line="560" w:lineRule="exact"/>
        <w:ind w:firstLine="640" w:firstLineChars="200"/>
        <w:rPr>
          <w:rFonts w:hint="default" w:ascii="Times New Roman" w:hAnsi="Times New Roman" w:eastAsia="楷体_GB2312" w:cs="Times New Roman"/>
          <w:b w:val="0"/>
          <w:bCs w:val="0"/>
          <w:color w:val="auto"/>
          <w:sz w:val="32"/>
          <w:szCs w:val="32"/>
          <w:highlight w:val="none"/>
        </w:rPr>
      </w:pPr>
      <w:r>
        <w:rPr>
          <w:rFonts w:hint="default" w:ascii="Times New Roman" w:hAnsi="Times New Roman" w:eastAsia="楷体_GB2312" w:cs="Times New Roman"/>
          <w:b w:val="0"/>
          <w:bCs w:val="0"/>
          <w:color w:val="auto"/>
          <w:sz w:val="32"/>
          <w:szCs w:val="32"/>
          <w:highlight w:val="none"/>
          <w:lang w:val="en-US" w:eastAsia="zh-CN"/>
        </w:rPr>
        <w:t>2.</w:t>
      </w:r>
      <w:r>
        <w:rPr>
          <w:rFonts w:hint="default" w:ascii="Times New Roman" w:hAnsi="Times New Roman" w:eastAsia="楷体_GB2312" w:cs="Times New Roman"/>
          <w:b w:val="0"/>
          <w:bCs w:val="0"/>
          <w:color w:val="auto"/>
          <w:sz w:val="32"/>
          <w:szCs w:val="32"/>
          <w:highlight w:val="none"/>
        </w:rPr>
        <w:t>各主要风险因素风险程度</w:t>
      </w:r>
    </w:p>
    <w:p w14:paraId="614187BF">
      <w:pPr>
        <w:tabs>
          <w:tab w:val="left" w:pos="3178"/>
        </w:tabs>
        <w:spacing w:line="560" w:lineRule="exact"/>
        <w:rPr>
          <w:rFonts w:hint="default" w:ascii="仿宋" w:hAnsi="仿宋" w:eastAsia="仿宋"/>
          <w:kern w:val="0"/>
          <w:sz w:val="28"/>
          <w:szCs w:val="32"/>
          <w:lang w:val="en-US" w:eastAsia="zh-CN"/>
        </w:rPr>
      </w:pPr>
      <w:r>
        <w:rPr>
          <w:rFonts w:hint="default" w:ascii="Times New Roman" w:hAnsi="Times New Roman" w:eastAsia="仿宋_GB2312" w:cs="Times New Roman"/>
          <w:color w:val="auto"/>
          <w:sz w:val="32"/>
          <w:szCs w:val="32"/>
          <w:highlight w:val="none"/>
        </w:rPr>
        <w:t xml:space="preserve">    </w:t>
      </w:r>
      <w:r>
        <w:rPr>
          <w:rFonts w:hint="default" w:ascii="仿宋" w:hAnsi="仿宋" w:eastAsia="仿宋"/>
          <w:kern w:val="0"/>
          <w:sz w:val="28"/>
          <w:szCs w:val="32"/>
          <w:lang w:val="en-US" w:eastAsia="zh-CN"/>
        </w:rPr>
        <w:t>风险程度是评价风险大小的指标，可分为重大风险、较大风险、一般风险、较小风险和微小风险五个等级。评判标准见下表：</w:t>
      </w:r>
    </w:p>
    <w:p w14:paraId="07947C19">
      <w:pPr>
        <w:spacing w:line="540" w:lineRule="exact"/>
        <w:jc w:val="center"/>
        <w:rPr>
          <w:rFonts w:hint="eastAsia" w:ascii="黑体" w:hAnsi="黑体" w:eastAsia="黑体" w:cs="黑体"/>
          <w:color w:val="auto"/>
          <w:sz w:val="32"/>
          <w:szCs w:val="32"/>
          <w:highlight w:val="none"/>
        </w:rPr>
      </w:pPr>
    </w:p>
    <w:p w14:paraId="03B64632">
      <w:pPr>
        <w:spacing w:line="540" w:lineRule="exact"/>
        <w:jc w:val="center"/>
        <w:rPr>
          <w:rFonts w:hint="eastAsia" w:ascii="黑体" w:hAnsi="黑体" w:eastAsia="黑体" w:cs="黑体"/>
          <w:color w:val="auto"/>
          <w:sz w:val="28"/>
          <w:szCs w:val="28"/>
          <w:highlight w:val="none"/>
        </w:rPr>
      </w:pPr>
      <w:r>
        <w:rPr>
          <w:rFonts w:hint="eastAsia" w:ascii="黑体" w:hAnsi="黑体" w:eastAsia="黑体" w:cs="黑体"/>
          <w:color w:val="auto"/>
          <w:sz w:val="32"/>
          <w:szCs w:val="32"/>
          <w:highlight w:val="none"/>
        </w:rPr>
        <w:t>单因素风险程度评判标准</w:t>
      </w:r>
    </w:p>
    <w:tbl>
      <w:tblPr>
        <w:tblStyle w:val="19"/>
        <w:tblW w:w="9580" w:type="dxa"/>
        <w:jc w:val="center"/>
        <w:tblLayout w:type="fixed"/>
        <w:tblCellMar>
          <w:top w:w="0" w:type="dxa"/>
          <w:left w:w="108" w:type="dxa"/>
          <w:bottom w:w="0" w:type="dxa"/>
          <w:right w:w="108" w:type="dxa"/>
        </w:tblCellMar>
      </w:tblPr>
      <w:tblGrid>
        <w:gridCol w:w="1577"/>
        <w:gridCol w:w="5370"/>
        <w:gridCol w:w="2633"/>
      </w:tblGrid>
      <w:tr w14:paraId="5D726B21">
        <w:tblPrEx>
          <w:tblCellMar>
            <w:top w:w="0" w:type="dxa"/>
            <w:left w:w="108" w:type="dxa"/>
            <w:bottom w:w="0" w:type="dxa"/>
            <w:right w:w="108" w:type="dxa"/>
          </w:tblCellMar>
        </w:tblPrEx>
        <w:trPr>
          <w:trHeight w:val="703" w:hRule="atLeast"/>
          <w:jc w:val="center"/>
        </w:trPr>
        <w:tc>
          <w:tcPr>
            <w:tcW w:w="1577" w:type="dxa"/>
            <w:tcBorders>
              <w:top w:val="single" w:color="auto" w:sz="4" w:space="0"/>
              <w:left w:val="single" w:color="auto" w:sz="4" w:space="0"/>
              <w:bottom w:val="single" w:color="auto" w:sz="4" w:space="0"/>
              <w:right w:val="single" w:color="auto" w:sz="4" w:space="0"/>
            </w:tcBorders>
            <w:vAlign w:val="center"/>
          </w:tcPr>
          <w:p w14:paraId="15698CB4">
            <w:pPr>
              <w:keepNext w:val="0"/>
              <w:keepLines w:val="0"/>
              <w:widowControl/>
              <w:suppressLineNumbers w:val="0"/>
              <w:spacing w:before="0" w:beforeAutospacing="0" w:after="0" w:afterAutospacing="0"/>
              <w:ind w:left="0" w:right="0"/>
              <w:jc w:val="center"/>
              <w:rPr>
                <w:rFonts w:hint="eastAsia" w:ascii="Times New Roman" w:hAnsi="Times New Roman" w:eastAsia="黑体" w:cs="黑体"/>
                <w:color w:val="auto"/>
                <w:kern w:val="0"/>
                <w:sz w:val="24"/>
                <w:szCs w:val="24"/>
                <w:highlight w:val="none"/>
              </w:rPr>
            </w:pPr>
            <w:r>
              <w:rPr>
                <w:rFonts w:hint="eastAsia" w:ascii="Times New Roman" w:hAnsi="Times New Roman" w:eastAsia="黑体" w:cs="黑体"/>
                <w:color w:val="auto"/>
                <w:kern w:val="0"/>
                <w:sz w:val="24"/>
                <w:szCs w:val="24"/>
                <w:highlight w:val="none"/>
              </w:rPr>
              <w:t>风险程度</w:t>
            </w:r>
          </w:p>
        </w:tc>
        <w:tc>
          <w:tcPr>
            <w:tcW w:w="5370" w:type="dxa"/>
            <w:tcBorders>
              <w:top w:val="single" w:color="auto" w:sz="4" w:space="0"/>
              <w:left w:val="nil"/>
              <w:bottom w:val="single" w:color="auto" w:sz="4" w:space="0"/>
              <w:right w:val="single" w:color="auto" w:sz="4" w:space="0"/>
            </w:tcBorders>
            <w:vAlign w:val="center"/>
          </w:tcPr>
          <w:p w14:paraId="568B342A">
            <w:pPr>
              <w:keepNext w:val="0"/>
              <w:keepLines w:val="0"/>
              <w:widowControl/>
              <w:suppressLineNumbers w:val="0"/>
              <w:spacing w:before="0" w:beforeAutospacing="0" w:after="0" w:afterAutospacing="0"/>
              <w:ind w:left="0" w:right="0"/>
              <w:jc w:val="center"/>
              <w:rPr>
                <w:rFonts w:hint="eastAsia" w:ascii="Times New Roman" w:hAnsi="Times New Roman" w:eastAsia="黑体" w:cs="黑体"/>
                <w:color w:val="auto"/>
                <w:kern w:val="0"/>
                <w:sz w:val="24"/>
                <w:szCs w:val="24"/>
                <w:highlight w:val="none"/>
              </w:rPr>
            </w:pPr>
            <w:r>
              <w:rPr>
                <w:rFonts w:hint="eastAsia" w:ascii="Times New Roman" w:hAnsi="Times New Roman" w:eastAsia="黑体" w:cs="黑体"/>
                <w:color w:val="auto"/>
                <w:kern w:val="0"/>
                <w:sz w:val="24"/>
                <w:szCs w:val="24"/>
                <w:highlight w:val="none"/>
              </w:rPr>
              <w:t>发生的可能性和后果</w:t>
            </w:r>
          </w:p>
        </w:tc>
        <w:tc>
          <w:tcPr>
            <w:tcW w:w="2633" w:type="dxa"/>
            <w:tcBorders>
              <w:top w:val="single" w:color="auto" w:sz="4" w:space="0"/>
              <w:left w:val="nil"/>
              <w:bottom w:val="single" w:color="auto" w:sz="4" w:space="0"/>
              <w:right w:val="single" w:color="auto" w:sz="4" w:space="0"/>
            </w:tcBorders>
            <w:vAlign w:val="center"/>
          </w:tcPr>
          <w:p w14:paraId="167814F8">
            <w:pPr>
              <w:keepNext w:val="0"/>
              <w:keepLines w:val="0"/>
              <w:widowControl/>
              <w:suppressLineNumbers w:val="0"/>
              <w:spacing w:before="0" w:beforeAutospacing="0" w:after="0" w:afterAutospacing="0"/>
              <w:ind w:left="0" w:right="0"/>
              <w:jc w:val="center"/>
              <w:rPr>
                <w:rFonts w:hint="eastAsia" w:ascii="Times New Roman" w:hAnsi="Times New Roman" w:eastAsia="黑体" w:cs="黑体"/>
                <w:color w:val="auto"/>
                <w:kern w:val="0"/>
                <w:sz w:val="24"/>
                <w:szCs w:val="24"/>
                <w:highlight w:val="none"/>
              </w:rPr>
            </w:pPr>
            <w:r>
              <w:rPr>
                <w:rFonts w:hint="eastAsia" w:ascii="Times New Roman" w:hAnsi="Times New Roman" w:eastAsia="黑体" w:cs="黑体"/>
                <w:color w:val="auto"/>
                <w:kern w:val="0"/>
                <w:sz w:val="24"/>
                <w:szCs w:val="24"/>
                <w:highlight w:val="none"/>
              </w:rPr>
              <w:t>定量评判标准</w:t>
            </w:r>
          </w:p>
        </w:tc>
      </w:tr>
      <w:tr w14:paraId="4DE5420C">
        <w:tblPrEx>
          <w:tblCellMar>
            <w:top w:w="0" w:type="dxa"/>
            <w:left w:w="108" w:type="dxa"/>
            <w:bottom w:w="0" w:type="dxa"/>
            <w:right w:w="108" w:type="dxa"/>
          </w:tblCellMar>
        </w:tblPrEx>
        <w:trPr>
          <w:trHeight w:val="668" w:hRule="atLeast"/>
          <w:jc w:val="center"/>
        </w:trPr>
        <w:tc>
          <w:tcPr>
            <w:tcW w:w="1577" w:type="dxa"/>
            <w:tcBorders>
              <w:top w:val="nil"/>
              <w:left w:val="single" w:color="auto" w:sz="4" w:space="0"/>
              <w:bottom w:val="single" w:color="auto" w:sz="4" w:space="0"/>
              <w:right w:val="single" w:color="auto" w:sz="4" w:space="0"/>
            </w:tcBorders>
            <w:vAlign w:val="center"/>
          </w:tcPr>
          <w:p w14:paraId="4F69265C">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重大风险</w:t>
            </w:r>
          </w:p>
        </w:tc>
        <w:tc>
          <w:tcPr>
            <w:tcW w:w="5370" w:type="dxa"/>
            <w:tcBorders>
              <w:top w:val="nil"/>
              <w:left w:val="nil"/>
              <w:bottom w:val="single" w:color="auto" w:sz="4" w:space="0"/>
              <w:right w:val="single" w:color="auto" w:sz="4" w:space="0"/>
            </w:tcBorders>
            <w:vAlign w:val="center"/>
          </w:tcPr>
          <w:p w14:paraId="3A2BA33F">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lang w:val="en-US" w:eastAsia="zh-CN"/>
              </w:rPr>
              <w:t>可能性大，社会影响和损失大，影响和损失不可接受，必须采取积极有效的防范化解措施。</w:t>
            </w:r>
          </w:p>
        </w:tc>
        <w:tc>
          <w:tcPr>
            <w:tcW w:w="2633" w:type="dxa"/>
            <w:tcBorders>
              <w:top w:val="nil"/>
              <w:left w:val="nil"/>
              <w:bottom w:val="single" w:color="auto" w:sz="4" w:space="0"/>
              <w:right w:val="single" w:color="auto" w:sz="4" w:space="0"/>
            </w:tcBorders>
            <w:vAlign w:val="center"/>
          </w:tcPr>
          <w:p w14:paraId="35ACD010">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R＞0.64</w:t>
            </w:r>
          </w:p>
        </w:tc>
      </w:tr>
      <w:tr w14:paraId="2BAFAC8B">
        <w:tblPrEx>
          <w:tblCellMar>
            <w:top w:w="0" w:type="dxa"/>
            <w:left w:w="108" w:type="dxa"/>
            <w:bottom w:w="0" w:type="dxa"/>
            <w:right w:w="108" w:type="dxa"/>
          </w:tblCellMar>
        </w:tblPrEx>
        <w:trPr>
          <w:trHeight w:val="668" w:hRule="atLeast"/>
          <w:jc w:val="center"/>
        </w:trPr>
        <w:tc>
          <w:tcPr>
            <w:tcW w:w="1577" w:type="dxa"/>
            <w:tcBorders>
              <w:top w:val="nil"/>
              <w:left w:val="single" w:color="auto" w:sz="4" w:space="0"/>
              <w:bottom w:val="single" w:color="auto" w:sz="4" w:space="0"/>
              <w:right w:val="single" w:color="auto" w:sz="4" w:space="0"/>
            </w:tcBorders>
            <w:vAlign w:val="center"/>
          </w:tcPr>
          <w:p w14:paraId="7CEB68C2">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较大风险</w:t>
            </w:r>
          </w:p>
        </w:tc>
        <w:tc>
          <w:tcPr>
            <w:tcW w:w="5370" w:type="dxa"/>
            <w:tcBorders>
              <w:top w:val="nil"/>
              <w:left w:val="nil"/>
              <w:bottom w:val="single" w:color="auto" w:sz="4" w:space="0"/>
              <w:right w:val="single" w:color="auto" w:sz="4" w:space="0"/>
            </w:tcBorders>
            <w:vAlign w:val="center"/>
          </w:tcPr>
          <w:p w14:paraId="56DF4344">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lang w:val="en-US" w:eastAsia="zh-CN"/>
              </w:rPr>
              <w:t>可能性较大，或社会影响和损失较大，影响和损失是可以接受的，需采取一定的防范化解措施。</w:t>
            </w:r>
          </w:p>
        </w:tc>
        <w:tc>
          <w:tcPr>
            <w:tcW w:w="2633" w:type="dxa"/>
            <w:tcBorders>
              <w:top w:val="nil"/>
              <w:left w:val="nil"/>
              <w:bottom w:val="single" w:color="auto" w:sz="4" w:space="0"/>
              <w:right w:val="single" w:color="auto" w:sz="4" w:space="0"/>
            </w:tcBorders>
            <w:vAlign w:val="center"/>
          </w:tcPr>
          <w:p w14:paraId="2210A8FF">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0.64≥R＞0.36</w:t>
            </w:r>
          </w:p>
        </w:tc>
      </w:tr>
      <w:tr w14:paraId="221C74EC">
        <w:tblPrEx>
          <w:tblCellMar>
            <w:top w:w="0" w:type="dxa"/>
            <w:left w:w="108" w:type="dxa"/>
            <w:bottom w:w="0" w:type="dxa"/>
            <w:right w:w="108" w:type="dxa"/>
          </w:tblCellMar>
        </w:tblPrEx>
        <w:trPr>
          <w:trHeight w:val="668" w:hRule="atLeast"/>
          <w:jc w:val="center"/>
        </w:trPr>
        <w:tc>
          <w:tcPr>
            <w:tcW w:w="1577" w:type="dxa"/>
            <w:tcBorders>
              <w:top w:val="nil"/>
              <w:left w:val="single" w:color="auto" w:sz="4" w:space="0"/>
              <w:bottom w:val="single" w:color="auto" w:sz="4" w:space="0"/>
              <w:right w:val="single" w:color="auto" w:sz="4" w:space="0"/>
            </w:tcBorders>
            <w:vAlign w:val="center"/>
          </w:tcPr>
          <w:p w14:paraId="4E7FE858">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一般风险</w:t>
            </w:r>
          </w:p>
        </w:tc>
        <w:tc>
          <w:tcPr>
            <w:tcW w:w="5370" w:type="dxa"/>
            <w:tcBorders>
              <w:top w:val="nil"/>
              <w:left w:val="nil"/>
              <w:bottom w:val="single" w:color="auto" w:sz="4" w:space="0"/>
              <w:right w:val="single" w:color="auto" w:sz="4" w:space="0"/>
            </w:tcBorders>
            <w:vAlign w:val="center"/>
          </w:tcPr>
          <w:p w14:paraId="1CCF386C">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lang w:val="en-US" w:eastAsia="zh-CN"/>
              </w:rPr>
              <w:t>可能性不大，或社会影响和损失不大，一般不影响项目的可行性，应采取一定的防范化解措施。</w:t>
            </w:r>
          </w:p>
        </w:tc>
        <w:tc>
          <w:tcPr>
            <w:tcW w:w="2633" w:type="dxa"/>
            <w:tcBorders>
              <w:top w:val="nil"/>
              <w:left w:val="nil"/>
              <w:bottom w:val="single" w:color="auto" w:sz="4" w:space="0"/>
              <w:right w:val="single" w:color="auto" w:sz="4" w:space="0"/>
            </w:tcBorders>
            <w:vAlign w:val="center"/>
          </w:tcPr>
          <w:p w14:paraId="2BEEC2A7">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0.36≥R＞0.16</w:t>
            </w:r>
          </w:p>
        </w:tc>
      </w:tr>
      <w:tr w14:paraId="4AC5D493">
        <w:tblPrEx>
          <w:tblCellMar>
            <w:top w:w="0" w:type="dxa"/>
            <w:left w:w="108" w:type="dxa"/>
            <w:bottom w:w="0" w:type="dxa"/>
            <w:right w:w="108" w:type="dxa"/>
          </w:tblCellMar>
        </w:tblPrEx>
        <w:trPr>
          <w:trHeight w:val="1518" w:hRule="atLeast"/>
          <w:jc w:val="center"/>
        </w:trPr>
        <w:tc>
          <w:tcPr>
            <w:tcW w:w="1577" w:type="dxa"/>
            <w:tcBorders>
              <w:top w:val="nil"/>
              <w:left w:val="single" w:color="auto" w:sz="4" w:space="0"/>
              <w:bottom w:val="single" w:color="auto" w:sz="4" w:space="0"/>
              <w:right w:val="single" w:color="auto" w:sz="4" w:space="0"/>
            </w:tcBorders>
            <w:vAlign w:val="center"/>
          </w:tcPr>
          <w:p w14:paraId="0BA2C0D8">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较小风险</w:t>
            </w:r>
          </w:p>
        </w:tc>
        <w:tc>
          <w:tcPr>
            <w:tcW w:w="5370" w:type="dxa"/>
            <w:tcBorders>
              <w:top w:val="nil"/>
              <w:left w:val="nil"/>
              <w:bottom w:val="single" w:color="auto" w:sz="4" w:space="0"/>
              <w:right w:val="single" w:color="auto" w:sz="4" w:space="0"/>
            </w:tcBorders>
            <w:vAlign w:val="center"/>
          </w:tcPr>
          <w:p w14:paraId="08C03F86">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lang w:val="en-US" w:eastAsia="zh-CN"/>
              </w:rPr>
              <w:t>可能性较小，或社会影响和损失较小，不影响项目的可行性。</w:t>
            </w:r>
          </w:p>
        </w:tc>
        <w:tc>
          <w:tcPr>
            <w:tcW w:w="2633" w:type="dxa"/>
            <w:tcBorders>
              <w:top w:val="nil"/>
              <w:left w:val="nil"/>
              <w:bottom w:val="single" w:color="auto" w:sz="4" w:space="0"/>
              <w:right w:val="single" w:color="auto" w:sz="4" w:space="0"/>
            </w:tcBorders>
            <w:vAlign w:val="center"/>
          </w:tcPr>
          <w:p w14:paraId="0DF921DA">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0.16≥R＞0.04</w:t>
            </w:r>
          </w:p>
        </w:tc>
      </w:tr>
      <w:tr w14:paraId="4C42F734">
        <w:tblPrEx>
          <w:tblCellMar>
            <w:top w:w="0" w:type="dxa"/>
            <w:left w:w="108" w:type="dxa"/>
            <w:bottom w:w="0" w:type="dxa"/>
            <w:right w:w="108" w:type="dxa"/>
          </w:tblCellMar>
        </w:tblPrEx>
        <w:trPr>
          <w:trHeight w:val="679" w:hRule="atLeast"/>
          <w:jc w:val="center"/>
        </w:trPr>
        <w:tc>
          <w:tcPr>
            <w:tcW w:w="1577" w:type="dxa"/>
            <w:tcBorders>
              <w:top w:val="nil"/>
              <w:left w:val="single" w:color="auto" w:sz="4" w:space="0"/>
              <w:bottom w:val="single" w:color="auto" w:sz="4" w:space="0"/>
              <w:right w:val="single" w:color="auto" w:sz="4" w:space="0"/>
            </w:tcBorders>
            <w:vAlign w:val="center"/>
          </w:tcPr>
          <w:p w14:paraId="4A0A8D7C">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rPr>
              <w:t>微小风险</w:t>
            </w:r>
          </w:p>
        </w:tc>
        <w:tc>
          <w:tcPr>
            <w:tcW w:w="5370" w:type="dxa"/>
            <w:tcBorders>
              <w:top w:val="nil"/>
              <w:left w:val="nil"/>
              <w:bottom w:val="single" w:color="auto" w:sz="4" w:space="0"/>
              <w:right w:val="single" w:color="auto" w:sz="4" w:space="0"/>
            </w:tcBorders>
            <w:vAlign w:val="center"/>
          </w:tcPr>
          <w:p w14:paraId="5B1FAE5A">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rPr>
            </w:pPr>
            <w:r>
              <w:rPr>
                <w:rFonts w:hint="eastAsia" w:ascii="宋体" w:hAnsi="宋体" w:eastAsia="宋体" w:cs="宋体"/>
                <w:color w:val="000000"/>
                <w:kern w:val="0"/>
                <w:sz w:val="22"/>
                <w:szCs w:val="22"/>
                <w:lang w:val="en-US" w:eastAsia="zh-CN"/>
              </w:rPr>
              <w:t>可能性很小，且社会影响和损失很小，对项目影响很小。</w:t>
            </w:r>
          </w:p>
        </w:tc>
        <w:tc>
          <w:tcPr>
            <w:tcW w:w="2633" w:type="dxa"/>
            <w:tcBorders>
              <w:top w:val="nil"/>
              <w:left w:val="nil"/>
              <w:bottom w:val="single" w:color="auto" w:sz="4" w:space="0"/>
              <w:right w:val="single" w:color="auto" w:sz="4" w:space="0"/>
            </w:tcBorders>
            <w:vAlign w:val="center"/>
          </w:tcPr>
          <w:p w14:paraId="700BB1A1">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R≤0.04</w:t>
            </w:r>
          </w:p>
        </w:tc>
      </w:tr>
    </w:tbl>
    <w:p w14:paraId="38A47D42">
      <w:pPr>
        <w:spacing w:line="540" w:lineRule="exact"/>
        <w:ind w:firstLine="560" w:firstLineChars="200"/>
        <w:rPr>
          <w:rFonts w:hint="default" w:ascii="仿宋" w:hAnsi="仿宋" w:eastAsia="仿宋"/>
          <w:kern w:val="0"/>
          <w:sz w:val="28"/>
          <w:szCs w:val="32"/>
          <w:lang w:val="en-US" w:eastAsia="zh-CN"/>
        </w:rPr>
      </w:pPr>
      <w:r>
        <w:rPr>
          <w:rFonts w:hint="default" w:ascii="仿宋" w:hAnsi="仿宋" w:eastAsia="仿宋"/>
          <w:kern w:val="0"/>
          <w:sz w:val="28"/>
          <w:szCs w:val="32"/>
          <w:lang w:val="en-US" w:eastAsia="zh-CN"/>
        </w:rPr>
        <w:t>评估工作小组通过打分，得出各主要风险因素发生风险事件的概率（p）、发生后的影响程度（q）和各主要风险因素的风险程度（R）。</w:t>
      </w:r>
    </w:p>
    <w:p w14:paraId="6929B6FF">
      <w:pPr>
        <w:spacing w:line="540" w:lineRule="exact"/>
        <w:ind w:firstLine="560" w:firstLineChars="200"/>
        <w:rPr>
          <w:rFonts w:hint="default" w:ascii="仿宋" w:hAnsi="仿宋" w:eastAsia="仿宋"/>
          <w:kern w:val="0"/>
          <w:sz w:val="28"/>
          <w:szCs w:val="32"/>
          <w:lang w:val="en-US" w:eastAsia="zh-CN"/>
        </w:rPr>
      </w:pPr>
      <w:r>
        <w:rPr>
          <w:rFonts w:hint="default" w:ascii="仿宋" w:hAnsi="仿宋" w:eastAsia="仿宋"/>
          <w:kern w:val="0"/>
          <w:sz w:val="28"/>
          <w:szCs w:val="32"/>
          <w:lang w:val="en-US" w:eastAsia="zh-CN"/>
        </w:rPr>
        <w:t>根据分析结果，</w:t>
      </w:r>
      <w:r>
        <w:rPr>
          <w:rFonts w:hint="eastAsia" w:ascii="仿宋" w:hAnsi="仿宋" w:eastAsia="仿宋"/>
          <w:kern w:val="0"/>
          <w:sz w:val="28"/>
          <w:szCs w:val="32"/>
          <w:lang w:val="en-US" w:eastAsia="zh-CN"/>
        </w:rPr>
        <w:t>项目实施后的社会舆论导向为一般风险，项目单位管理以及文明施工、安全质量管理为较小风险，其余风险因素均为微小风险。</w:t>
      </w:r>
    </w:p>
    <w:p w14:paraId="487F5898">
      <w:pPr>
        <w:spacing w:line="540" w:lineRule="exact"/>
        <w:ind w:firstLine="560" w:firstLineChars="200"/>
        <w:rPr>
          <w:rFonts w:hint="default" w:ascii="仿宋" w:hAnsi="仿宋" w:eastAsia="仿宋"/>
          <w:kern w:val="0"/>
          <w:sz w:val="28"/>
          <w:szCs w:val="32"/>
          <w:lang w:val="en-US" w:eastAsia="zh-CN"/>
        </w:rPr>
      </w:pPr>
      <w:r>
        <w:rPr>
          <w:rFonts w:hint="default" w:ascii="仿宋" w:hAnsi="仿宋" w:eastAsia="仿宋"/>
          <w:kern w:val="0"/>
          <w:sz w:val="28"/>
          <w:szCs w:val="32"/>
          <w:lang w:val="en-US" w:eastAsia="zh-CN"/>
        </w:rPr>
        <w:t>具体如下：</w:t>
      </w:r>
    </w:p>
    <w:p w14:paraId="2B347CAA">
      <w:pPr>
        <w:tabs>
          <w:tab w:val="left" w:pos="3178"/>
        </w:tabs>
        <w:spacing w:line="560" w:lineRule="exact"/>
        <w:jc w:val="center"/>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lang w:val="en-US" w:eastAsia="zh-CN"/>
        </w:rPr>
        <w:t xml:space="preserve"> </w:t>
      </w:r>
      <w:r>
        <w:rPr>
          <w:rFonts w:hint="eastAsia" w:ascii="黑体" w:hAnsi="黑体" w:eastAsia="黑体" w:cs="黑体"/>
          <w:color w:val="auto"/>
          <w:sz w:val="32"/>
          <w:szCs w:val="32"/>
          <w:highlight w:val="none"/>
        </w:rPr>
        <w:t>风险因素及其风险程度汇总表</w:t>
      </w:r>
    </w:p>
    <w:tbl>
      <w:tblPr>
        <w:tblStyle w:val="19"/>
        <w:tblW w:w="9371" w:type="dxa"/>
        <w:tblInd w:w="93" w:type="dxa"/>
        <w:tblLayout w:type="fixed"/>
        <w:tblCellMar>
          <w:top w:w="0" w:type="dxa"/>
          <w:left w:w="108" w:type="dxa"/>
          <w:bottom w:w="0" w:type="dxa"/>
          <w:right w:w="108" w:type="dxa"/>
        </w:tblCellMar>
      </w:tblPr>
      <w:tblGrid>
        <w:gridCol w:w="531"/>
        <w:gridCol w:w="3270"/>
        <w:gridCol w:w="1770"/>
        <w:gridCol w:w="1920"/>
        <w:gridCol w:w="1880"/>
      </w:tblGrid>
      <w:tr w14:paraId="0D5B45BA">
        <w:tblPrEx>
          <w:tblCellMar>
            <w:top w:w="0" w:type="dxa"/>
            <w:left w:w="108" w:type="dxa"/>
            <w:bottom w:w="0" w:type="dxa"/>
            <w:right w:w="108" w:type="dxa"/>
          </w:tblCellMar>
        </w:tblPrEx>
        <w:trPr>
          <w:trHeight w:val="600" w:hRule="atLeast"/>
        </w:trPr>
        <w:tc>
          <w:tcPr>
            <w:tcW w:w="531" w:type="dxa"/>
            <w:tcBorders>
              <w:top w:val="single" w:color="auto" w:sz="4" w:space="0"/>
              <w:left w:val="single" w:color="auto" w:sz="4" w:space="0"/>
              <w:bottom w:val="single" w:color="auto" w:sz="4" w:space="0"/>
              <w:right w:val="single" w:color="auto" w:sz="4" w:space="0"/>
            </w:tcBorders>
            <w:vAlign w:val="center"/>
          </w:tcPr>
          <w:p w14:paraId="458144EC">
            <w:pPr>
              <w:keepNext w:val="0"/>
              <w:keepLines w:val="0"/>
              <w:suppressLineNumbers w:val="0"/>
              <w:tabs>
                <w:tab w:val="left" w:pos="3178"/>
              </w:tabs>
              <w:spacing w:before="0" w:beforeAutospacing="0" w:after="0" w:afterAutospacing="0" w:line="560" w:lineRule="exact"/>
              <w:ind w:left="0" w:right="0"/>
              <w:jc w:val="center"/>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序号</w:t>
            </w:r>
          </w:p>
        </w:tc>
        <w:tc>
          <w:tcPr>
            <w:tcW w:w="3270" w:type="dxa"/>
            <w:tcBorders>
              <w:top w:val="single" w:color="auto" w:sz="4" w:space="0"/>
              <w:left w:val="nil"/>
              <w:bottom w:val="single" w:color="auto" w:sz="4" w:space="0"/>
              <w:right w:val="single" w:color="auto" w:sz="4" w:space="0"/>
            </w:tcBorders>
            <w:vAlign w:val="center"/>
          </w:tcPr>
          <w:p w14:paraId="4BAD9AAD">
            <w:pPr>
              <w:keepNext w:val="0"/>
              <w:keepLines w:val="0"/>
              <w:suppressLineNumbers w:val="0"/>
              <w:tabs>
                <w:tab w:val="left" w:pos="3178"/>
              </w:tabs>
              <w:spacing w:before="0" w:beforeAutospacing="0" w:after="0" w:afterAutospacing="0" w:line="560" w:lineRule="exact"/>
              <w:ind w:left="0" w:right="0"/>
              <w:jc w:val="center"/>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风险因素</w:t>
            </w:r>
          </w:p>
        </w:tc>
        <w:tc>
          <w:tcPr>
            <w:tcW w:w="1770" w:type="dxa"/>
            <w:tcBorders>
              <w:top w:val="single" w:color="auto" w:sz="4" w:space="0"/>
              <w:left w:val="nil"/>
              <w:bottom w:val="single" w:color="auto" w:sz="4" w:space="0"/>
              <w:right w:val="single" w:color="auto" w:sz="4" w:space="0"/>
            </w:tcBorders>
            <w:vAlign w:val="center"/>
          </w:tcPr>
          <w:p w14:paraId="4BBED411">
            <w:pPr>
              <w:keepNext w:val="0"/>
              <w:keepLines w:val="0"/>
              <w:suppressLineNumbers w:val="0"/>
              <w:tabs>
                <w:tab w:val="left" w:pos="3178"/>
              </w:tabs>
              <w:spacing w:before="0" w:beforeAutospacing="0" w:after="0" w:afterAutospacing="0" w:line="560" w:lineRule="exact"/>
              <w:ind w:left="0" w:right="0"/>
              <w:jc w:val="center"/>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rPr>
              <w:t>风险概率（p）</w:t>
            </w:r>
          </w:p>
        </w:tc>
        <w:tc>
          <w:tcPr>
            <w:tcW w:w="1920" w:type="dxa"/>
            <w:tcBorders>
              <w:top w:val="single" w:color="auto" w:sz="4" w:space="0"/>
              <w:left w:val="nil"/>
              <w:bottom w:val="single" w:color="auto" w:sz="4" w:space="0"/>
              <w:right w:val="single" w:color="auto" w:sz="4" w:space="0"/>
            </w:tcBorders>
            <w:vAlign w:val="center"/>
          </w:tcPr>
          <w:p w14:paraId="3BDFD95C">
            <w:pPr>
              <w:keepNext w:val="0"/>
              <w:keepLines w:val="0"/>
              <w:suppressLineNumbers w:val="0"/>
              <w:tabs>
                <w:tab w:val="left" w:pos="3178"/>
              </w:tabs>
              <w:spacing w:before="0" w:beforeAutospacing="0" w:after="0" w:afterAutospacing="0" w:line="560" w:lineRule="exact"/>
              <w:ind w:left="0" w:right="0"/>
              <w:jc w:val="center"/>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rPr>
              <w:t>影响程度（</w:t>
            </w:r>
            <w:r>
              <w:rPr>
                <w:rFonts w:hint="eastAsia" w:ascii="黑体" w:hAnsi="黑体" w:eastAsia="黑体" w:cs="黑体"/>
                <w:color w:val="auto"/>
                <w:sz w:val="24"/>
                <w:szCs w:val="24"/>
                <w:highlight w:val="none"/>
                <w:lang w:val="en-US" w:eastAsia="zh-CN"/>
              </w:rPr>
              <w:t>q</w:t>
            </w:r>
            <w:r>
              <w:rPr>
                <w:rFonts w:hint="eastAsia" w:ascii="黑体" w:hAnsi="黑体" w:eastAsia="黑体" w:cs="黑体"/>
                <w:color w:val="auto"/>
                <w:sz w:val="24"/>
                <w:szCs w:val="24"/>
                <w:highlight w:val="none"/>
              </w:rPr>
              <w:t>）</w:t>
            </w:r>
          </w:p>
        </w:tc>
        <w:tc>
          <w:tcPr>
            <w:tcW w:w="1880" w:type="dxa"/>
            <w:tcBorders>
              <w:top w:val="single" w:color="auto" w:sz="4" w:space="0"/>
              <w:left w:val="nil"/>
              <w:bottom w:val="single" w:color="auto" w:sz="4" w:space="0"/>
              <w:right w:val="single" w:color="auto" w:sz="4" w:space="0"/>
            </w:tcBorders>
            <w:vAlign w:val="center"/>
          </w:tcPr>
          <w:p w14:paraId="343CD18A">
            <w:pPr>
              <w:keepNext w:val="0"/>
              <w:keepLines w:val="0"/>
              <w:pageBreakBefore w:val="0"/>
              <w:widowControl w:val="0"/>
              <w:suppressLineNumbers w:val="0"/>
              <w:tabs>
                <w:tab w:val="left" w:pos="3178"/>
              </w:tabs>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rPr>
              <w:t>风险程度</w:t>
            </w:r>
            <w:r>
              <w:rPr>
                <w:rFonts w:hint="eastAsia" w:ascii="黑体" w:hAnsi="黑体" w:eastAsia="黑体" w:cs="黑体"/>
                <w:color w:val="auto"/>
                <w:sz w:val="24"/>
                <w:szCs w:val="24"/>
                <w:highlight w:val="none"/>
                <w:lang w:val="en-US" w:eastAsia="zh-CN"/>
              </w:rPr>
              <w:t>(R</w:t>
            </w:r>
            <w:r>
              <w:rPr>
                <w:rFonts w:hint="eastAsia" w:ascii="黑体" w:hAnsi="黑体" w:eastAsia="黑体" w:cs="黑体"/>
                <w:color w:val="auto"/>
                <w:sz w:val="24"/>
                <w:szCs w:val="24"/>
                <w:highlight w:val="none"/>
              </w:rPr>
              <w:t>）</w:t>
            </w:r>
          </w:p>
        </w:tc>
      </w:tr>
      <w:tr w14:paraId="67F843B8">
        <w:tblPrEx>
          <w:tblCellMar>
            <w:top w:w="0" w:type="dxa"/>
            <w:left w:w="108" w:type="dxa"/>
            <w:bottom w:w="0" w:type="dxa"/>
            <w:right w:w="108" w:type="dxa"/>
          </w:tblCellMar>
        </w:tblPrEx>
        <w:trPr>
          <w:trHeight w:val="800" w:hRule="atLeast"/>
        </w:trPr>
        <w:tc>
          <w:tcPr>
            <w:tcW w:w="531" w:type="dxa"/>
            <w:tcBorders>
              <w:top w:val="single" w:color="auto" w:sz="4" w:space="0"/>
              <w:left w:val="single" w:color="auto" w:sz="4" w:space="0"/>
              <w:bottom w:val="single" w:color="auto" w:sz="4" w:space="0"/>
              <w:right w:val="single" w:color="auto" w:sz="4" w:space="0"/>
            </w:tcBorders>
            <w:vAlign w:val="center"/>
          </w:tcPr>
          <w:p w14:paraId="57D59F51">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lang w:val="en-US" w:eastAsia="zh-CN"/>
              </w:rPr>
            </w:pPr>
            <w:r>
              <w:rPr>
                <w:rFonts w:hint="eastAsia" w:ascii="宋体" w:hAnsi="宋体" w:eastAsia="宋体" w:cs="宋体"/>
                <w:color w:val="000000"/>
                <w:kern w:val="0"/>
                <w:sz w:val="22"/>
                <w:szCs w:val="22"/>
                <w:lang w:val="en-US" w:eastAsia="zh-CN"/>
              </w:rPr>
              <w:t>1</w:t>
            </w:r>
          </w:p>
        </w:tc>
        <w:tc>
          <w:tcPr>
            <w:tcW w:w="3270" w:type="dxa"/>
            <w:tcBorders>
              <w:top w:val="single" w:color="auto" w:sz="4" w:space="0"/>
              <w:left w:val="single" w:color="auto" w:sz="4" w:space="0"/>
              <w:bottom w:val="single" w:color="auto" w:sz="4" w:space="0"/>
              <w:right w:val="single" w:color="auto" w:sz="4" w:space="0"/>
            </w:tcBorders>
            <w:vAlign w:val="center"/>
          </w:tcPr>
          <w:p w14:paraId="7BBDB870">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lang w:val="en-US" w:eastAsia="zh-CN"/>
              </w:rPr>
            </w:pPr>
            <w:r>
              <w:rPr>
                <w:rFonts w:hint="eastAsia" w:ascii="宋体" w:hAnsi="宋体" w:eastAsia="宋体" w:cs="宋体"/>
                <w:color w:val="000000"/>
                <w:kern w:val="0"/>
                <w:sz w:val="22"/>
                <w:szCs w:val="22"/>
              </w:rPr>
              <w:t>工程方案</w:t>
            </w:r>
          </w:p>
        </w:tc>
        <w:tc>
          <w:tcPr>
            <w:tcW w:w="1770" w:type="dxa"/>
            <w:tcBorders>
              <w:top w:val="single" w:color="auto" w:sz="4" w:space="0"/>
              <w:left w:val="single" w:color="auto" w:sz="4" w:space="0"/>
              <w:bottom w:val="single" w:color="auto" w:sz="4" w:space="0"/>
              <w:right w:val="single" w:color="auto" w:sz="4" w:space="0"/>
            </w:tcBorders>
            <w:vAlign w:val="center"/>
          </w:tcPr>
          <w:p w14:paraId="4823360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0.07</w:t>
            </w:r>
          </w:p>
        </w:tc>
        <w:tc>
          <w:tcPr>
            <w:tcW w:w="1920" w:type="dxa"/>
            <w:tcBorders>
              <w:top w:val="single" w:color="auto" w:sz="4" w:space="0"/>
              <w:left w:val="single" w:color="auto" w:sz="4" w:space="0"/>
              <w:bottom w:val="single" w:color="auto" w:sz="4" w:space="0"/>
              <w:right w:val="single" w:color="auto" w:sz="4" w:space="0"/>
            </w:tcBorders>
            <w:vAlign w:val="center"/>
          </w:tcPr>
          <w:p w14:paraId="06D42770">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 xml:space="preserve">0.23 </w:t>
            </w:r>
          </w:p>
        </w:tc>
        <w:tc>
          <w:tcPr>
            <w:tcW w:w="1880" w:type="dxa"/>
            <w:tcBorders>
              <w:top w:val="single" w:color="auto" w:sz="4" w:space="0"/>
              <w:left w:val="single" w:color="auto" w:sz="4" w:space="0"/>
              <w:bottom w:val="single" w:color="auto" w:sz="4" w:space="0"/>
              <w:right w:val="single" w:color="auto" w:sz="4" w:space="0"/>
            </w:tcBorders>
            <w:vAlign w:val="center"/>
          </w:tcPr>
          <w:p w14:paraId="7D1A9F6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0.0161</w:t>
            </w:r>
          </w:p>
        </w:tc>
      </w:tr>
      <w:tr w14:paraId="3C3C2281">
        <w:tblPrEx>
          <w:tblCellMar>
            <w:top w:w="0" w:type="dxa"/>
            <w:left w:w="108" w:type="dxa"/>
            <w:bottom w:w="0" w:type="dxa"/>
            <w:right w:w="108" w:type="dxa"/>
          </w:tblCellMar>
        </w:tblPrEx>
        <w:trPr>
          <w:trHeight w:val="890" w:hRule="atLeast"/>
        </w:trPr>
        <w:tc>
          <w:tcPr>
            <w:tcW w:w="531" w:type="dxa"/>
            <w:tcBorders>
              <w:top w:val="single" w:color="auto" w:sz="4" w:space="0"/>
              <w:left w:val="single" w:color="auto" w:sz="4" w:space="0"/>
              <w:bottom w:val="single" w:color="auto" w:sz="4" w:space="0"/>
              <w:right w:val="single" w:color="auto" w:sz="4" w:space="0"/>
            </w:tcBorders>
            <w:vAlign w:val="center"/>
          </w:tcPr>
          <w:p w14:paraId="1C497CAB">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lang w:val="en-US" w:eastAsia="zh-CN"/>
              </w:rPr>
            </w:pPr>
            <w:r>
              <w:rPr>
                <w:rFonts w:hint="eastAsia" w:ascii="宋体" w:hAnsi="宋体" w:eastAsia="宋体" w:cs="宋体"/>
                <w:color w:val="000000"/>
                <w:kern w:val="0"/>
                <w:sz w:val="22"/>
                <w:szCs w:val="22"/>
                <w:lang w:val="en-US" w:eastAsia="zh-CN"/>
              </w:rPr>
              <w:t>2</w:t>
            </w:r>
          </w:p>
        </w:tc>
        <w:tc>
          <w:tcPr>
            <w:tcW w:w="3270" w:type="dxa"/>
            <w:tcBorders>
              <w:top w:val="single" w:color="auto" w:sz="4" w:space="0"/>
              <w:left w:val="single" w:color="auto" w:sz="4" w:space="0"/>
              <w:bottom w:val="single" w:color="auto" w:sz="4" w:space="0"/>
              <w:right w:val="single" w:color="auto" w:sz="4" w:space="0"/>
            </w:tcBorders>
            <w:vAlign w:val="center"/>
          </w:tcPr>
          <w:p w14:paraId="48A9D3A1">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lang w:val="en-US" w:eastAsia="zh-CN"/>
              </w:rPr>
            </w:pPr>
            <w:r>
              <w:rPr>
                <w:rFonts w:hint="eastAsia" w:ascii="宋体" w:hAnsi="宋体" w:eastAsia="宋体" w:cs="宋体"/>
                <w:color w:val="000000"/>
                <w:kern w:val="0"/>
                <w:sz w:val="22"/>
                <w:szCs w:val="22"/>
              </w:rPr>
              <w:t>项目单位管理</w:t>
            </w:r>
          </w:p>
        </w:tc>
        <w:tc>
          <w:tcPr>
            <w:tcW w:w="1770" w:type="dxa"/>
            <w:tcBorders>
              <w:top w:val="single" w:color="auto" w:sz="4" w:space="0"/>
              <w:left w:val="single" w:color="auto" w:sz="4" w:space="0"/>
              <w:bottom w:val="single" w:color="auto" w:sz="4" w:space="0"/>
              <w:right w:val="single" w:color="auto" w:sz="4" w:space="0"/>
            </w:tcBorders>
            <w:vAlign w:val="center"/>
          </w:tcPr>
          <w:p w14:paraId="7683494F">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0.3</w:t>
            </w:r>
          </w:p>
        </w:tc>
        <w:tc>
          <w:tcPr>
            <w:tcW w:w="1920" w:type="dxa"/>
            <w:tcBorders>
              <w:top w:val="single" w:color="auto" w:sz="4" w:space="0"/>
              <w:left w:val="single" w:color="auto" w:sz="4" w:space="0"/>
              <w:bottom w:val="single" w:color="auto" w:sz="4" w:space="0"/>
              <w:right w:val="single" w:color="auto" w:sz="4" w:space="0"/>
            </w:tcBorders>
            <w:vAlign w:val="center"/>
          </w:tcPr>
          <w:p w14:paraId="7E0BA4B8">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 xml:space="preserve">0.28 </w:t>
            </w:r>
          </w:p>
        </w:tc>
        <w:tc>
          <w:tcPr>
            <w:tcW w:w="1880" w:type="dxa"/>
            <w:tcBorders>
              <w:top w:val="single" w:color="auto" w:sz="4" w:space="0"/>
              <w:left w:val="single" w:color="auto" w:sz="4" w:space="0"/>
              <w:bottom w:val="single" w:color="auto" w:sz="4" w:space="0"/>
              <w:right w:val="single" w:color="auto" w:sz="4" w:space="0"/>
            </w:tcBorders>
            <w:vAlign w:val="center"/>
          </w:tcPr>
          <w:p w14:paraId="254B72FC">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0.084</w:t>
            </w:r>
          </w:p>
        </w:tc>
      </w:tr>
      <w:tr w14:paraId="6FC3FFA6">
        <w:tblPrEx>
          <w:tblCellMar>
            <w:top w:w="0" w:type="dxa"/>
            <w:left w:w="108" w:type="dxa"/>
            <w:bottom w:w="0" w:type="dxa"/>
            <w:right w:w="108" w:type="dxa"/>
          </w:tblCellMar>
        </w:tblPrEx>
        <w:trPr>
          <w:trHeight w:val="815" w:hRule="atLeast"/>
        </w:trPr>
        <w:tc>
          <w:tcPr>
            <w:tcW w:w="531" w:type="dxa"/>
            <w:tcBorders>
              <w:top w:val="single" w:color="auto" w:sz="4" w:space="0"/>
              <w:left w:val="single" w:color="auto" w:sz="4" w:space="0"/>
              <w:bottom w:val="single" w:color="auto" w:sz="4" w:space="0"/>
              <w:right w:val="single" w:color="auto" w:sz="4" w:space="0"/>
            </w:tcBorders>
            <w:vAlign w:val="center"/>
          </w:tcPr>
          <w:p w14:paraId="7EFE0E33">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lang w:val="en-US" w:eastAsia="zh-CN"/>
              </w:rPr>
            </w:pPr>
            <w:r>
              <w:rPr>
                <w:rFonts w:hint="eastAsia" w:ascii="宋体" w:hAnsi="宋体" w:eastAsia="宋体" w:cs="宋体"/>
                <w:color w:val="000000"/>
                <w:kern w:val="0"/>
                <w:sz w:val="22"/>
                <w:szCs w:val="22"/>
                <w:lang w:val="en-US" w:eastAsia="zh-CN"/>
              </w:rPr>
              <w:t>3</w:t>
            </w:r>
          </w:p>
        </w:tc>
        <w:tc>
          <w:tcPr>
            <w:tcW w:w="3270" w:type="dxa"/>
            <w:tcBorders>
              <w:top w:val="single" w:color="auto" w:sz="4" w:space="0"/>
              <w:left w:val="single" w:color="auto" w:sz="4" w:space="0"/>
              <w:bottom w:val="single" w:color="auto" w:sz="4" w:space="0"/>
              <w:right w:val="single" w:color="auto" w:sz="4" w:space="0"/>
            </w:tcBorders>
            <w:vAlign w:val="center"/>
          </w:tcPr>
          <w:p w14:paraId="5104AC89">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lang w:val="en-US" w:eastAsia="zh-CN"/>
              </w:rPr>
            </w:pPr>
            <w:r>
              <w:rPr>
                <w:rFonts w:hint="eastAsia" w:ascii="宋体" w:hAnsi="宋体" w:eastAsia="宋体" w:cs="宋体"/>
                <w:color w:val="000000"/>
                <w:kern w:val="0"/>
                <w:sz w:val="22"/>
                <w:szCs w:val="22"/>
              </w:rPr>
              <w:t>文明施工、安全质量管</w:t>
            </w:r>
            <w:r>
              <w:rPr>
                <w:rFonts w:hint="eastAsia" w:ascii="宋体" w:hAnsi="宋体" w:eastAsia="宋体" w:cs="宋体"/>
                <w:color w:val="000000"/>
                <w:kern w:val="0"/>
                <w:sz w:val="22"/>
                <w:szCs w:val="22"/>
                <w:lang w:val="en-US" w:eastAsia="zh-CN"/>
              </w:rPr>
              <w:t>理</w:t>
            </w:r>
          </w:p>
        </w:tc>
        <w:tc>
          <w:tcPr>
            <w:tcW w:w="1770" w:type="dxa"/>
            <w:tcBorders>
              <w:top w:val="single" w:color="auto" w:sz="4" w:space="0"/>
              <w:left w:val="single" w:color="auto" w:sz="4" w:space="0"/>
              <w:bottom w:val="single" w:color="auto" w:sz="4" w:space="0"/>
              <w:right w:val="single" w:color="auto" w:sz="4" w:space="0"/>
            </w:tcBorders>
            <w:vAlign w:val="center"/>
          </w:tcPr>
          <w:p w14:paraId="7F6C8FC0">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0.21</w:t>
            </w:r>
          </w:p>
        </w:tc>
        <w:tc>
          <w:tcPr>
            <w:tcW w:w="1920" w:type="dxa"/>
            <w:tcBorders>
              <w:top w:val="single" w:color="auto" w:sz="4" w:space="0"/>
              <w:left w:val="single" w:color="auto" w:sz="4" w:space="0"/>
              <w:bottom w:val="single" w:color="auto" w:sz="4" w:space="0"/>
              <w:right w:val="single" w:color="auto" w:sz="4" w:space="0"/>
            </w:tcBorders>
            <w:vAlign w:val="center"/>
          </w:tcPr>
          <w:p w14:paraId="4D8E530C">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 xml:space="preserve">0.38 </w:t>
            </w:r>
          </w:p>
        </w:tc>
        <w:tc>
          <w:tcPr>
            <w:tcW w:w="1880" w:type="dxa"/>
            <w:tcBorders>
              <w:top w:val="single" w:color="auto" w:sz="4" w:space="0"/>
              <w:left w:val="single" w:color="auto" w:sz="4" w:space="0"/>
              <w:bottom w:val="single" w:color="auto" w:sz="4" w:space="0"/>
              <w:right w:val="single" w:color="auto" w:sz="4" w:space="0"/>
            </w:tcBorders>
            <w:vAlign w:val="center"/>
          </w:tcPr>
          <w:p w14:paraId="2E5220E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0.08</w:t>
            </w:r>
          </w:p>
        </w:tc>
      </w:tr>
      <w:tr w14:paraId="6FD32577">
        <w:tblPrEx>
          <w:tblCellMar>
            <w:top w:w="0" w:type="dxa"/>
            <w:left w:w="108" w:type="dxa"/>
            <w:bottom w:w="0" w:type="dxa"/>
            <w:right w:w="108" w:type="dxa"/>
          </w:tblCellMar>
        </w:tblPrEx>
        <w:trPr>
          <w:trHeight w:val="800" w:hRule="atLeast"/>
        </w:trPr>
        <w:tc>
          <w:tcPr>
            <w:tcW w:w="531" w:type="dxa"/>
            <w:tcBorders>
              <w:top w:val="single" w:color="auto" w:sz="4" w:space="0"/>
              <w:left w:val="single" w:color="auto" w:sz="4" w:space="0"/>
              <w:bottom w:val="single" w:color="auto" w:sz="4" w:space="0"/>
              <w:right w:val="single" w:color="auto" w:sz="4" w:space="0"/>
            </w:tcBorders>
            <w:vAlign w:val="center"/>
          </w:tcPr>
          <w:p w14:paraId="487C3AAD">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lang w:val="en-US" w:eastAsia="zh-CN"/>
              </w:rPr>
            </w:pPr>
            <w:r>
              <w:rPr>
                <w:rFonts w:hint="eastAsia" w:ascii="宋体" w:hAnsi="宋体" w:eastAsia="宋体" w:cs="宋体"/>
                <w:color w:val="000000"/>
                <w:kern w:val="0"/>
                <w:sz w:val="22"/>
                <w:szCs w:val="22"/>
                <w:lang w:val="en-US" w:eastAsia="zh-CN"/>
              </w:rPr>
              <w:t>4</w:t>
            </w:r>
          </w:p>
        </w:tc>
        <w:tc>
          <w:tcPr>
            <w:tcW w:w="3270" w:type="dxa"/>
            <w:tcBorders>
              <w:top w:val="single" w:color="auto" w:sz="4" w:space="0"/>
              <w:left w:val="single" w:color="auto" w:sz="4" w:space="0"/>
              <w:bottom w:val="single" w:color="auto" w:sz="4" w:space="0"/>
              <w:right w:val="single" w:color="auto" w:sz="4" w:space="0"/>
            </w:tcBorders>
            <w:vAlign w:val="center"/>
          </w:tcPr>
          <w:p w14:paraId="1582BBA0">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lang w:val="en-US" w:eastAsia="zh-CN"/>
              </w:rPr>
            </w:pPr>
            <w:r>
              <w:rPr>
                <w:rFonts w:hint="eastAsia" w:ascii="宋体" w:hAnsi="宋体" w:eastAsia="宋体" w:cs="宋体"/>
                <w:color w:val="000000"/>
                <w:kern w:val="0"/>
                <w:sz w:val="22"/>
                <w:szCs w:val="22"/>
              </w:rPr>
              <w:t>社会治安和公共安全</w:t>
            </w:r>
          </w:p>
        </w:tc>
        <w:tc>
          <w:tcPr>
            <w:tcW w:w="1770" w:type="dxa"/>
            <w:tcBorders>
              <w:top w:val="single" w:color="auto" w:sz="4" w:space="0"/>
              <w:left w:val="single" w:color="auto" w:sz="4" w:space="0"/>
              <w:bottom w:val="single" w:color="auto" w:sz="4" w:space="0"/>
              <w:right w:val="single" w:color="auto" w:sz="4" w:space="0"/>
            </w:tcBorders>
            <w:vAlign w:val="center"/>
          </w:tcPr>
          <w:p w14:paraId="0DC7D907">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0.08</w:t>
            </w:r>
          </w:p>
        </w:tc>
        <w:tc>
          <w:tcPr>
            <w:tcW w:w="1920" w:type="dxa"/>
            <w:tcBorders>
              <w:top w:val="single" w:color="auto" w:sz="4" w:space="0"/>
              <w:left w:val="single" w:color="auto" w:sz="4" w:space="0"/>
              <w:bottom w:val="single" w:color="auto" w:sz="4" w:space="0"/>
              <w:right w:val="single" w:color="auto" w:sz="4" w:space="0"/>
            </w:tcBorders>
            <w:vAlign w:val="center"/>
          </w:tcPr>
          <w:p w14:paraId="6D6D9027">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 xml:space="preserve">0.30 </w:t>
            </w:r>
          </w:p>
        </w:tc>
        <w:tc>
          <w:tcPr>
            <w:tcW w:w="1880" w:type="dxa"/>
            <w:tcBorders>
              <w:top w:val="single" w:color="auto" w:sz="4" w:space="0"/>
              <w:left w:val="single" w:color="auto" w:sz="4" w:space="0"/>
              <w:bottom w:val="single" w:color="auto" w:sz="4" w:space="0"/>
              <w:right w:val="single" w:color="auto" w:sz="4" w:space="0"/>
            </w:tcBorders>
            <w:vAlign w:val="center"/>
          </w:tcPr>
          <w:p w14:paraId="3C2F9ED7">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0.024</w:t>
            </w:r>
          </w:p>
        </w:tc>
      </w:tr>
      <w:tr w14:paraId="0857D941">
        <w:tblPrEx>
          <w:tblCellMar>
            <w:top w:w="0" w:type="dxa"/>
            <w:left w:w="108" w:type="dxa"/>
            <w:bottom w:w="0" w:type="dxa"/>
            <w:right w:w="108" w:type="dxa"/>
          </w:tblCellMar>
        </w:tblPrEx>
        <w:trPr>
          <w:trHeight w:val="900" w:hRule="atLeast"/>
        </w:trPr>
        <w:tc>
          <w:tcPr>
            <w:tcW w:w="531" w:type="dxa"/>
            <w:tcBorders>
              <w:top w:val="single" w:color="auto" w:sz="4" w:space="0"/>
              <w:left w:val="single" w:color="auto" w:sz="4" w:space="0"/>
              <w:bottom w:val="single" w:color="auto" w:sz="4" w:space="0"/>
              <w:right w:val="single" w:color="auto" w:sz="4" w:space="0"/>
            </w:tcBorders>
            <w:vAlign w:val="center"/>
          </w:tcPr>
          <w:p w14:paraId="196E3D4B">
            <w:pPr>
              <w:keepNext w:val="0"/>
              <w:keepLines w:val="0"/>
              <w:widowControl/>
              <w:suppressLineNumbers w:val="0"/>
              <w:adjustRightInd w:val="0"/>
              <w:snapToGrid w:val="0"/>
              <w:spacing w:before="0" w:beforeAutospacing="0" w:after="0" w:afterAutospacing="0" w:line="400" w:lineRule="exact"/>
              <w:ind w:left="0" w:right="0"/>
              <w:jc w:val="center"/>
              <w:rPr>
                <w:rFonts w:hint="eastAsia" w:ascii="宋体" w:hAnsi="宋体" w:eastAsia="宋体" w:cs="宋体"/>
                <w:color w:val="000000"/>
                <w:kern w:val="0"/>
                <w:sz w:val="22"/>
                <w:szCs w:val="22"/>
                <w:lang w:val="en-US" w:eastAsia="zh-CN"/>
              </w:rPr>
            </w:pPr>
            <w:r>
              <w:rPr>
                <w:rFonts w:hint="eastAsia" w:ascii="宋体" w:hAnsi="宋体" w:eastAsia="宋体" w:cs="宋体"/>
                <w:color w:val="000000"/>
                <w:kern w:val="0"/>
                <w:sz w:val="22"/>
                <w:szCs w:val="22"/>
                <w:lang w:val="en-US" w:eastAsia="zh-CN"/>
              </w:rPr>
              <w:t>5</w:t>
            </w:r>
          </w:p>
        </w:tc>
        <w:tc>
          <w:tcPr>
            <w:tcW w:w="3270" w:type="dxa"/>
            <w:tcBorders>
              <w:top w:val="single" w:color="auto" w:sz="4" w:space="0"/>
              <w:left w:val="single" w:color="auto" w:sz="4" w:space="0"/>
              <w:bottom w:val="single" w:color="auto" w:sz="4" w:space="0"/>
              <w:right w:val="single" w:color="auto" w:sz="4" w:space="0"/>
            </w:tcBorders>
            <w:vAlign w:val="center"/>
          </w:tcPr>
          <w:p w14:paraId="62E7D945">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lang w:val="en-US" w:eastAsia="zh-CN"/>
              </w:rPr>
            </w:pPr>
            <w:r>
              <w:rPr>
                <w:rFonts w:hint="eastAsia" w:ascii="宋体" w:hAnsi="宋体" w:eastAsia="宋体" w:cs="宋体"/>
                <w:color w:val="000000"/>
                <w:kern w:val="0"/>
                <w:sz w:val="22"/>
                <w:szCs w:val="22"/>
              </w:rPr>
              <w:t>舆论导向及其影响</w:t>
            </w:r>
          </w:p>
        </w:tc>
        <w:tc>
          <w:tcPr>
            <w:tcW w:w="1770" w:type="dxa"/>
            <w:tcBorders>
              <w:top w:val="single" w:color="auto" w:sz="4" w:space="0"/>
              <w:left w:val="single" w:color="auto" w:sz="4" w:space="0"/>
              <w:bottom w:val="single" w:color="auto" w:sz="4" w:space="0"/>
              <w:right w:val="single" w:color="auto" w:sz="4" w:space="0"/>
            </w:tcBorders>
            <w:vAlign w:val="center"/>
          </w:tcPr>
          <w:p w14:paraId="38FA024E">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0.52</w:t>
            </w:r>
          </w:p>
        </w:tc>
        <w:tc>
          <w:tcPr>
            <w:tcW w:w="1920" w:type="dxa"/>
            <w:tcBorders>
              <w:top w:val="single" w:color="auto" w:sz="4" w:space="0"/>
              <w:left w:val="single" w:color="auto" w:sz="4" w:space="0"/>
              <w:bottom w:val="single" w:color="auto" w:sz="4" w:space="0"/>
              <w:right w:val="single" w:color="auto" w:sz="4" w:space="0"/>
            </w:tcBorders>
            <w:vAlign w:val="center"/>
          </w:tcPr>
          <w:p w14:paraId="2F2F47B9">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 xml:space="preserve">0.5 </w:t>
            </w:r>
          </w:p>
        </w:tc>
        <w:tc>
          <w:tcPr>
            <w:tcW w:w="1880" w:type="dxa"/>
            <w:tcBorders>
              <w:top w:val="single" w:color="auto" w:sz="4" w:space="0"/>
              <w:left w:val="single" w:color="auto" w:sz="4" w:space="0"/>
              <w:bottom w:val="single" w:color="auto" w:sz="4" w:space="0"/>
              <w:right w:val="single" w:color="auto" w:sz="4" w:space="0"/>
            </w:tcBorders>
            <w:vAlign w:val="center"/>
          </w:tcPr>
          <w:p w14:paraId="32891F7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0.26</w:t>
            </w:r>
          </w:p>
        </w:tc>
      </w:tr>
    </w:tbl>
    <w:p w14:paraId="4E12AD04">
      <w:pPr>
        <w:pStyle w:val="6"/>
        <w:bidi w:val="0"/>
        <w:ind w:left="720" w:leftChars="0" w:hanging="300" w:firstLineChars="0"/>
        <w:rPr>
          <w:rFonts w:hint="default" w:eastAsia="仿宋_GB2312"/>
          <w:sz w:val="32"/>
          <w:szCs w:val="32"/>
        </w:rPr>
      </w:pPr>
      <w:r>
        <w:rPr>
          <w:rFonts w:hint="default" w:eastAsia="仿宋_GB2312"/>
          <w:sz w:val="32"/>
          <w:szCs w:val="32"/>
        </w:rPr>
        <w:t>综合风险等级判定</w:t>
      </w:r>
    </w:p>
    <w:p w14:paraId="7BA9ABB4">
      <w:pPr>
        <w:spacing w:line="540" w:lineRule="exact"/>
        <w:ind w:firstLine="560" w:firstLineChars="200"/>
        <w:rPr>
          <w:rFonts w:hint="default" w:ascii="仿宋" w:hAnsi="仿宋" w:eastAsia="仿宋"/>
          <w:kern w:val="0"/>
          <w:sz w:val="28"/>
          <w:szCs w:val="32"/>
          <w:lang w:val="en-US" w:eastAsia="zh-CN"/>
        </w:rPr>
      </w:pPr>
      <w:r>
        <w:rPr>
          <w:rFonts w:hint="default" w:ascii="仿宋" w:hAnsi="仿宋" w:eastAsia="仿宋"/>
          <w:kern w:val="0"/>
          <w:sz w:val="28"/>
          <w:szCs w:val="32"/>
          <w:lang w:val="en-US" w:eastAsia="zh-CN"/>
        </w:rPr>
        <w:t xml:space="preserve">    1.综合风险等级评判标准</w:t>
      </w:r>
    </w:p>
    <w:p w14:paraId="6AC6F3DA">
      <w:pPr>
        <w:keepNext w:val="0"/>
        <w:keepLines w:val="0"/>
        <w:pageBreakBefore w:val="0"/>
        <w:widowControl w:val="0"/>
        <w:tabs>
          <w:tab w:val="left" w:pos="3178"/>
        </w:tabs>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 xml:space="preserve">    </w:t>
      </w:r>
      <w:r>
        <w:rPr>
          <w:rFonts w:hint="default" w:ascii="仿宋" w:hAnsi="仿宋" w:eastAsia="仿宋"/>
          <w:kern w:val="0"/>
          <w:sz w:val="28"/>
          <w:szCs w:val="32"/>
          <w:lang w:val="en-US" w:eastAsia="zh-CN"/>
        </w:rPr>
        <w:t>社会稳定风险等级分为三级：</w:t>
      </w:r>
    </w:p>
    <w:p w14:paraId="0AF0C9B0">
      <w:pPr>
        <w:tabs>
          <w:tab w:val="left" w:pos="3178"/>
        </w:tabs>
        <w:spacing w:line="560" w:lineRule="exact"/>
        <w:ind w:firstLine="560" w:firstLineChars="200"/>
        <w:jc w:val="left"/>
        <w:rPr>
          <w:rFonts w:hint="default" w:ascii="Times New Roman" w:hAnsi="Times New Roman" w:eastAsia="仿宋_GB2312" w:cs="Times New Roman"/>
          <w:b w:val="0"/>
          <w:bCs w:val="0"/>
          <w:color w:val="auto"/>
          <w:sz w:val="28"/>
          <w:szCs w:val="28"/>
          <w:highlight w:val="none"/>
          <w:lang w:eastAsia="zh-CN"/>
        </w:rPr>
      </w:pPr>
      <w:r>
        <w:rPr>
          <w:rFonts w:hint="eastAsia" w:eastAsia="仿宋_GB2312" w:cs="Times New Roman"/>
          <w:b w:val="0"/>
          <w:bCs w:val="0"/>
          <w:color w:val="auto"/>
          <w:sz w:val="28"/>
          <w:szCs w:val="28"/>
          <w:highlight w:val="none"/>
          <w:lang w:eastAsia="zh-CN"/>
        </w:rPr>
        <w:t>（</w:t>
      </w:r>
      <w:r>
        <w:rPr>
          <w:rFonts w:hint="eastAsia" w:eastAsia="仿宋_GB2312" w:cs="Times New Roman"/>
          <w:b w:val="0"/>
          <w:bCs w:val="0"/>
          <w:color w:val="auto"/>
          <w:sz w:val="28"/>
          <w:szCs w:val="28"/>
          <w:highlight w:val="none"/>
          <w:lang w:val="en-US" w:eastAsia="zh-CN"/>
        </w:rPr>
        <w:t>1</w:t>
      </w:r>
      <w:r>
        <w:rPr>
          <w:rFonts w:hint="eastAsia" w:eastAsia="仿宋_GB2312" w:cs="Times New Roman"/>
          <w:b w:val="0"/>
          <w:bCs w:val="0"/>
          <w:color w:val="auto"/>
          <w:sz w:val="28"/>
          <w:szCs w:val="28"/>
          <w:highlight w:val="none"/>
          <w:lang w:eastAsia="zh-CN"/>
        </w:rPr>
        <w:t>）</w:t>
      </w:r>
      <w:r>
        <w:rPr>
          <w:rFonts w:hint="default" w:ascii="Times New Roman" w:hAnsi="Times New Roman" w:eastAsia="仿宋_GB2312" w:cs="Times New Roman"/>
          <w:b w:val="0"/>
          <w:bCs w:val="0"/>
          <w:color w:val="auto"/>
          <w:sz w:val="28"/>
          <w:szCs w:val="28"/>
          <w:highlight w:val="none"/>
          <w:lang w:eastAsia="zh-CN"/>
        </w:rPr>
        <w:t>高风险。</w:t>
      </w:r>
    </w:p>
    <w:p w14:paraId="0731793B">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firstLineChars="200"/>
        <w:jc w:val="both"/>
        <w:textAlignment w:val="auto"/>
        <w:outlineLvl w:val="9"/>
        <w:rPr>
          <w:rFonts w:hint="default" w:ascii="仿宋" w:hAnsi="仿宋" w:eastAsia="仿宋"/>
          <w:kern w:val="0"/>
          <w:sz w:val="28"/>
          <w:szCs w:val="32"/>
          <w:lang w:val="en-US" w:eastAsia="zh-CN"/>
        </w:rPr>
      </w:pPr>
      <w:r>
        <w:rPr>
          <w:rFonts w:hint="default" w:ascii="仿宋" w:hAnsi="仿宋" w:eastAsia="仿宋"/>
          <w:kern w:val="0"/>
          <w:sz w:val="28"/>
          <w:szCs w:val="32"/>
          <w:lang w:val="en-US" w:eastAsia="zh-CN"/>
        </w:rPr>
        <w:t>重大决策事项与党的路线方针政策、国家法律法规和经济社会发展总体规划不完全一致的；应予以社会公示的未予公示，或虽经过社会公示、征求意见和民意测评，大多数群众表示反对的；采取面向特定对象征求意见的方式，超过33%的征求意见对象明确表示反对的；参与评估部门、单位和专业机构对主要问题的意见不一致、存在重大分歧的；可能引发到重点地区较大规模非正常群体访、大规模群体访和个人极端行为的；可能引发相关地区、部门和利益群体连锁反应、相互攀比的；可能引发媒体网络持续炒作、形成舆论热点，对重大决策实施造成较大负面影响的；可能引发围堵冲击党政机关、非法聚集、非法集会、集体械斗等事件的；可能引发群众聚集阻塞国家干线铁路、高速公路、城市交通主干道及重要交通枢纽的；其他可能引发影响社会稳定大的问题，在较短时间内难以有效解决的。</w:t>
      </w:r>
    </w:p>
    <w:p w14:paraId="7C9AEB4B">
      <w:pPr>
        <w:tabs>
          <w:tab w:val="left" w:pos="3178"/>
        </w:tabs>
        <w:spacing w:line="560" w:lineRule="exact"/>
        <w:ind w:firstLine="560" w:firstLineChars="200"/>
        <w:jc w:val="left"/>
        <w:rPr>
          <w:rFonts w:hint="default" w:ascii="Times New Roman" w:hAnsi="Times New Roman" w:eastAsia="仿宋_GB2312" w:cs="Times New Roman"/>
          <w:b w:val="0"/>
          <w:bCs w:val="0"/>
          <w:color w:val="auto"/>
          <w:sz w:val="28"/>
          <w:szCs w:val="28"/>
          <w:highlight w:val="none"/>
          <w:lang w:eastAsia="zh-CN"/>
        </w:rPr>
      </w:pPr>
      <w:r>
        <w:rPr>
          <w:rFonts w:hint="eastAsia" w:eastAsia="仿宋_GB2312" w:cs="Times New Roman"/>
          <w:b w:val="0"/>
          <w:bCs w:val="0"/>
          <w:color w:val="auto"/>
          <w:sz w:val="28"/>
          <w:szCs w:val="28"/>
          <w:highlight w:val="none"/>
          <w:lang w:eastAsia="zh-CN"/>
        </w:rPr>
        <w:t>（</w:t>
      </w:r>
      <w:r>
        <w:rPr>
          <w:rFonts w:hint="eastAsia" w:eastAsia="仿宋_GB2312" w:cs="Times New Roman"/>
          <w:b w:val="0"/>
          <w:bCs w:val="0"/>
          <w:color w:val="auto"/>
          <w:sz w:val="28"/>
          <w:szCs w:val="28"/>
          <w:highlight w:val="none"/>
          <w:lang w:val="en-US" w:eastAsia="zh-CN"/>
        </w:rPr>
        <w:t>2</w:t>
      </w:r>
      <w:r>
        <w:rPr>
          <w:rFonts w:hint="eastAsia" w:eastAsia="仿宋_GB2312" w:cs="Times New Roman"/>
          <w:b w:val="0"/>
          <w:bCs w:val="0"/>
          <w:color w:val="auto"/>
          <w:sz w:val="28"/>
          <w:szCs w:val="28"/>
          <w:highlight w:val="none"/>
          <w:lang w:eastAsia="zh-CN"/>
        </w:rPr>
        <w:t>）</w:t>
      </w:r>
      <w:r>
        <w:rPr>
          <w:rFonts w:hint="default" w:ascii="Times New Roman" w:hAnsi="Times New Roman" w:eastAsia="仿宋_GB2312" w:cs="Times New Roman"/>
          <w:b w:val="0"/>
          <w:bCs w:val="0"/>
          <w:color w:val="auto"/>
          <w:sz w:val="28"/>
          <w:szCs w:val="28"/>
          <w:highlight w:val="none"/>
          <w:lang w:eastAsia="zh-CN"/>
        </w:rPr>
        <w:t>中风险。</w:t>
      </w:r>
    </w:p>
    <w:p w14:paraId="3B274126">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firstLineChars="200"/>
        <w:jc w:val="both"/>
        <w:textAlignment w:val="auto"/>
        <w:outlineLvl w:val="9"/>
        <w:rPr>
          <w:rFonts w:hint="default" w:ascii="仿宋" w:hAnsi="仿宋" w:eastAsia="仿宋"/>
          <w:kern w:val="0"/>
          <w:sz w:val="28"/>
          <w:szCs w:val="32"/>
          <w:lang w:val="en-US" w:eastAsia="zh-CN"/>
        </w:rPr>
      </w:pPr>
      <w:r>
        <w:rPr>
          <w:rFonts w:hint="default" w:ascii="仿宋" w:hAnsi="仿宋" w:eastAsia="仿宋"/>
          <w:kern w:val="0"/>
          <w:sz w:val="28"/>
          <w:szCs w:val="32"/>
          <w:lang w:val="en-US" w:eastAsia="zh-CN"/>
        </w:rPr>
        <w:t>基本符合党的路线方针政策和国家法律法规规定，符合当地经济和社会发展总体规划，对国家利益、公共利益和人民群众根本利益的影响较小的；经过社会公示、征求意见和民意测评，较多群众表示反对、未认同的；采取面向特定对象征求意见的方式，超过10%的征求意见对象明确表示反对的；参与评估部门、单位和专业机构对主要问题的处理意见有较大分歧、存在异议的；可能引发到重点地区规模性非正常群体访、较大规模群体访和个人极端行为的；可能引发阻碍项目施工建设、阻塞道路交通的；可能引发媒体网络持续炒作、形成舆论热点，对重大决策实施造成一定负面影响的；其他可能造成较大社会影响的。</w:t>
      </w:r>
    </w:p>
    <w:p w14:paraId="347B6875">
      <w:pPr>
        <w:tabs>
          <w:tab w:val="left" w:pos="3178"/>
        </w:tabs>
        <w:spacing w:line="560" w:lineRule="exact"/>
        <w:ind w:firstLine="560" w:firstLineChars="200"/>
        <w:jc w:val="left"/>
        <w:rPr>
          <w:rFonts w:hint="default" w:ascii="Times New Roman" w:hAnsi="Times New Roman" w:eastAsia="仿宋_GB2312" w:cs="Times New Roman"/>
          <w:b w:val="0"/>
          <w:bCs w:val="0"/>
          <w:color w:val="auto"/>
          <w:sz w:val="28"/>
          <w:szCs w:val="28"/>
          <w:highlight w:val="none"/>
          <w:lang w:eastAsia="zh-CN"/>
        </w:rPr>
      </w:pPr>
      <w:r>
        <w:rPr>
          <w:rFonts w:hint="eastAsia" w:eastAsia="仿宋_GB2312" w:cs="Times New Roman"/>
          <w:b w:val="0"/>
          <w:bCs w:val="0"/>
          <w:color w:val="auto"/>
          <w:sz w:val="28"/>
          <w:szCs w:val="28"/>
          <w:highlight w:val="none"/>
          <w:lang w:eastAsia="zh-CN"/>
        </w:rPr>
        <w:t>（</w:t>
      </w:r>
      <w:r>
        <w:rPr>
          <w:rFonts w:hint="eastAsia" w:eastAsia="仿宋_GB2312" w:cs="Times New Roman"/>
          <w:b w:val="0"/>
          <w:bCs w:val="0"/>
          <w:color w:val="auto"/>
          <w:sz w:val="28"/>
          <w:szCs w:val="28"/>
          <w:highlight w:val="none"/>
          <w:lang w:val="en-US" w:eastAsia="zh-CN"/>
        </w:rPr>
        <w:t>3</w:t>
      </w:r>
      <w:r>
        <w:rPr>
          <w:rFonts w:hint="eastAsia" w:eastAsia="仿宋_GB2312" w:cs="Times New Roman"/>
          <w:b w:val="0"/>
          <w:bCs w:val="0"/>
          <w:color w:val="auto"/>
          <w:sz w:val="28"/>
          <w:szCs w:val="28"/>
          <w:highlight w:val="none"/>
          <w:lang w:eastAsia="zh-CN"/>
        </w:rPr>
        <w:t>）</w:t>
      </w:r>
      <w:r>
        <w:rPr>
          <w:rFonts w:hint="default" w:ascii="Times New Roman" w:hAnsi="Times New Roman" w:eastAsia="仿宋_GB2312" w:cs="Times New Roman"/>
          <w:b w:val="0"/>
          <w:bCs w:val="0"/>
          <w:color w:val="auto"/>
          <w:sz w:val="28"/>
          <w:szCs w:val="28"/>
          <w:highlight w:val="none"/>
          <w:lang w:eastAsia="zh-CN"/>
        </w:rPr>
        <w:t>低风险。</w:t>
      </w:r>
    </w:p>
    <w:p w14:paraId="42EB7808">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firstLineChars="200"/>
        <w:jc w:val="both"/>
        <w:textAlignment w:val="auto"/>
        <w:outlineLvl w:val="9"/>
        <w:rPr>
          <w:rFonts w:hint="default" w:ascii="仿宋" w:hAnsi="仿宋" w:eastAsia="仿宋"/>
          <w:kern w:val="0"/>
          <w:sz w:val="28"/>
          <w:szCs w:val="32"/>
          <w:lang w:val="en-US" w:eastAsia="zh-CN"/>
        </w:rPr>
      </w:pPr>
      <w:r>
        <w:rPr>
          <w:rFonts w:hint="default" w:ascii="仿宋" w:hAnsi="仿宋" w:eastAsia="仿宋"/>
          <w:kern w:val="0"/>
          <w:sz w:val="28"/>
          <w:szCs w:val="32"/>
          <w:lang w:val="en-US" w:eastAsia="zh-CN"/>
        </w:rPr>
        <w:t>符合党的路线方针政策和国家法律法规规定，符合当地经济和社会发展总体规划，符合国家利益、公共利益和人民群众根本利益的；经过社会公示、征求意见和民意测评，大多数群众意见一致，表示认同的；采取面向特定对象征求意见的方式，个别群众明确表示反对的；参与评估部门、单位和专业机构意见比较一致，无大的意见分歧的；可能存在一些隐患苗头但能及时化解，未发现大的矛盾和不稳定隐患的。具体评判标准如下。</w:t>
      </w:r>
    </w:p>
    <w:p w14:paraId="56079C96">
      <w:pPr>
        <w:tabs>
          <w:tab w:val="left" w:pos="3178"/>
        </w:tabs>
        <w:spacing w:line="560" w:lineRule="exact"/>
        <w:jc w:val="center"/>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rPr>
        <w:t>社会稳定风险等级评判标准</w:t>
      </w:r>
    </w:p>
    <w:tbl>
      <w:tblPr>
        <w:tblStyle w:val="19"/>
        <w:tblW w:w="9229" w:type="dxa"/>
        <w:tblInd w:w="93" w:type="dxa"/>
        <w:tblLayout w:type="fixed"/>
        <w:tblCellMar>
          <w:top w:w="0" w:type="dxa"/>
          <w:left w:w="108" w:type="dxa"/>
          <w:bottom w:w="0" w:type="dxa"/>
          <w:right w:w="108" w:type="dxa"/>
        </w:tblCellMar>
      </w:tblPr>
      <w:tblGrid>
        <w:gridCol w:w="2001"/>
        <w:gridCol w:w="2409"/>
        <w:gridCol w:w="2409"/>
        <w:gridCol w:w="2410"/>
      </w:tblGrid>
      <w:tr w14:paraId="06622631">
        <w:tblPrEx>
          <w:tblCellMar>
            <w:top w:w="0" w:type="dxa"/>
            <w:left w:w="108" w:type="dxa"/>
            <w:bottom w:w="0" w:type="dxa"/>
            <w:right w:w="108" w:type="dxa"/>
          </w:tblCellMar>
        </w:tblPrEx>
        <w:trPr>
          <w:trHeight w:val="637" w:hRule="atLeast"/>
        </w:trPr>
        <w:tc>
          <w:tcPr>
            <w:tcW w:w="2001" w:type="dxa"/>
            <w:tcBorders>
              <w:top w:val="single" w:color="auto" w:sz="4" w:space="0"/>
              <w:left w:val="single" w:color="auto" w:sz="4" w:space="0"/>
              <w:bottom w:val="single" w:color="auto" w:sz="4" w:space="0"/>
              <w:right w:val="single" w:color="auto" w:sz="4" w:space="0"/>
            </w:tcBorders>
            <w:vAlign w:val="center"/>
          </w:tcPr>
          <w:p w14:paraId="12C2E690">
            <w:pPr>
              <w:keepNext w:val="0"/>
              <w:keepLines w:val="0"/>
              <w:pageBreakBefore w:val="0"/>
              <w:widowControl w:val="0"/>
              <w:suppressLineNumbers w:val="0"/>
              <w:tabs>
                <w:tab w:val="left" w:pos="3178"/>
              </w:tabs>
              <w:kinsoku/>
              <w:wordWrap/>
              <w:overflowPunct/>
              <w:topLinePunct w:val="0"/>
              <w:autoSpaceDE/>
              <w:autoSpaceDN/>
              <w:bidi w:val="0"/>
              <w:adjustRightInd/>
              <w:snapToGrid/>
              <w:spacing w:before="0" w:beforeAutospacing="0" w:after="0" w:afterAutospacing="0" w:line="480" w:lineRule="exact"/>
              <w:ind w:left="0" w:leftChars="0" w:right="0" w:rightChars="0" w:firstLine="0" w:firstLineChars="0"/>
              <w:jc w:val="center"/>
              <w:textAlignment w:val="auto"/>
              <w:outlineLvl w:val="9"/>
              <w:rPr>
                <w:rFonts w:hint="default" w:ascii="Times New Roman" w:hAnsi="Times New Roman" w:eastAsia="黑体" w:cs="Times New Roman"/>
                <w:color w:val="auto"/>
                <w:sz w:val="28"/>
                <w:szCs w:val="28"/>
                <w:highlight w:val="none"/>
              </w:rPr>
            </w:pPr>
            <w:r>
              <w:rPr>
                <w:rFonts w:hint="default" w:ascii="Times New Roman" w:hAnsi="Times New Roman" w:eastAsia="黑体" w:cs="Times New Roman"/>
                <w:color w:val="auto"/>
                <w:sz w:val="28"/>
                <w:szCs w:val="28"/>
                <w:highlight w:val="none"/>
              </w:rPr>
              <w:t>风险等级</w:t>
            </w:r>
          </w:p>
        </w:tc>
        <w:tc>
          <w:tcPr>
            <w:tcW w:w="2409" w:type="dxa"/>
            <w:tcBorders>
              <w:top w:val="single" w:color="auto" w:sz="4" w:space="0"/>
              <w:left w:val="nil"/>
              <w:bottom w:val="single" w:color="auto" w:sz="4" w:space="0"/>
              <w:right w:val="single" w:color="auto" w:sz="4" w:space="0"/>
            </w:tcBorders>
            <w:vAlign w:val="center"/>
          </w:tcPr>
          <w:p w14:paraId="1C969F59">
            <w:pPr>
              <w:keepNext w:val="0"/>
              <w:keepLines w:val="0"/>
              <w:pageBreakBefore w:val="0"/>
              <w:widowControl w:val="0"/>
              <w:suppressLineNumbers w:val="0"/>
              <w:tabs>
                <w:tab w:val="left" w:pos="3178"/>
              </w:tabs>
              <w:kinsoku/>
              <w:wordWrap/>
              <w:overflowPunct/>
              <w:topLinePunct w:val="0"/>
              <w:autoSpaceDE/>
              <w:autoSpaceDN/>
              <w:bidi w:val="0"/>
              <w:adjustRightInd/>
              <w:snapToGrid/>
              <w:spacing w:before="0" w:beforeAutospacing="0" w:after="0" w:afterAutospacing="0" w:line="480" w:lineRule="exact"/>
              <w:ind w:left="0" w:leftChars="0" w:right="0" w:rightChars="0" w:firstLine="0" w:firstLineChars="0"/>
              <w:jc w:val="center"/>
              <w:textAlignment w:val="auto"/>
              <w:outlineLvl w:val="9"/>
              <w:rPr>
                <w:rFonts w:hint="default" w:ascii="Times New Roman" w:hAnsi="Times New Roman" w:eastAsia="黑体" w:cs="Times New Roman"/>
                <w:color w:val="auto"/>
                <w:sz w:val="28"/>
                <w:szCs w:val="28"/>
                <w:highlight w:val="none"/>
              </w:rPr>
            </w:pPr>
            <w:r>
              <w:rPr>
                <w:rFonts w:hint="default" w:ascii="Times New Roman" w:hAnsi="Times New Roman" w:eastAsia="黑体" w:cs="Times New Roman"/>
                <w:color w:val="auto"/>
                <w:sz w:val="28"/>
                <w:szCs w:val="28"/>
                <w:highlight w:val="none"/>
              </w:rPr>
              <w:t>高风险</w:t>
            </w:r>
          </w:p>
        </w:tc>
        <w:tc>
          <w:tcPr>
            <w:tcW w:w="2409" w:type="dxa"/>
            <w:tcBorders>
              <w:top w:val="single" w:color="auto" w:sz="4" w:space="0"/>
              <w:left w:val="nil"/>
              <w:bottom w:val="single" w:color="auto" w:sz="4" w:space="0"/>
              <w:right w:val="single" w:color="auto" w:sz="4" w:space="0"/>
            </w:tcBorders>
            <w:vAlign w:val="center"/>
          </w:tcPr>
          <w:p w14:paraId="489744BB">
            <w:pPr>
              <w:keepNext w:val="0"/>
              <w:keepLines w:val="0"/>
              <w:pageBreakBefore w:val="0"/>
              <w:widowControl w:val="0"/>
              <w:suppressLineNumbers w:val="0"/>
              <w:tabs>
                <w:tab w:val="left" w:pos="3178"/>
              </w:tabs>
              <w:kinsoku/>
              <w:wordWrap/>
              <w:overflowPunct/>
              <w:topLinePunct w:val="0"/>
              <w:autoSpaceDE/>
              <w:autoSpaceDN/>
              <w:bidi w:val="0"/>
              <w:adjustRightInd/>
              <w:snapToGrid/>
              <w:spacing w:before="0" w:beforeAutospacing="0" w:after="0" w:afterAutospacing="0" w:line="480" w:lineRule="exact"/>
              <w:ind w:left="0" w:leftChars="0" w:right="0" w:rightChars="0" w:firstLine="0" w:firstLineChars="0"/>
              <w:jc w:val="center"/>
              <w:textAlignment w:val="auto"/>
              <w:outlineLvl w:val="9"/>
              <w:rPr>
                <w:rFonts w:hint="default" w:ascii="Times New Roman" w:hAnsi="Times New Roman" w:eastAsia="黑体" w:cs="Times New Roman"/>
                <w:color w:val="auto"/>
                <w:sz w:val="28"/>
                <w:szCs w:val="28"/>
                <w:highlight w:val="none"/>
              </w:rPr>
            </w:pPr>
            <w:r>
              <w:rPr>
                <w:rFonts w:hint="default" w:ascii="Times New Roman" w:hAnsi="Times New Roman" w:eastAsia="黑体" w:cs="Times New Roman"/>
                <w:color w:val="auto"/>
                <w:sz w:val="28"/>
                <w:szCs w:val="28"/>
                <w:highlight w:val="none"/>
              </w:rPr>
              <w:t>中风险</w:t>
            </w:r>
          </w:p>
        </w:tc>
        <w:tc>
          <w:tcPr>
            <w:tcW w:w="2410" w:type="dxa"/>
            <w:tcBorders>
              <w:top w:val="single" w:color="auto" w:sz="4" w:space="0"/>
              <w:left w:val="nil"/>
              <w:bottom w:val="single" w:color="auto" w:sz="4" w:space="0"/>
              <w:right w:val="single" w:color="auto" w:sz="4" w:space="0"/>
            </w:tcBorders>
            <w:vAlign w:val="center"/>
          </w:tcPr>
          <w:p w14:paraId="28FEE4F0">
            <w:pPr>
              <w:keepNext w:val="0"/>
              <w:keepLines w:val="0"/>
              <w:pageBreakBefore w:val="0"/>
              <w:widowControl w:val="0"/>
              <w:suppressLineNumbers w:val="0"/>
              <w:tabs>
                <w:tab w:val="left" w:pos="3178"/>
              </w:tabs>
              <w:kinsoku/>
              <w:wordWrap/>
              <w:overflowPunct/>
              <w:topLinePunct w:val="0"/>
              <w:autoSpaceDE/>
              <w:autoSpaceDN/>
              <w:bidi w:val="0"/>
              <w:adjustRightInd/>
              <w:snapToGrid/>
              <w:spacing w:before="0" w:beforeAutospacing="0" w:after="0" w:afterAutospacing="0" w:line="480" w:lineRule="exact"/>
              <w:ind w:left="0" w:leftChars="0" w:right="0" w:rightChars="0" w:firstLine="0" w:firstLineChars="0"/>
              <w:jc w:val="center"/>
              <w:textAlignment w:val="auto"/>
              <w:outlineLvl w:val="9"/>
              <w:rPr>
                <w:rFonts w:hint="default" w:ascii="Times New Roman" w:hAnsi="Times New Roman" w:eastAsia="黑体" w:cs="Times New Roman"/>
                <w:color w:val="auto"/>
                <w:sz w:val="28"/>
                <w:szCs w:val="28"/>
                <w:highlight w:val="none"/>
              </w:rPr>
            </w:pPr>
            <w:r>
              <w:rPr>
                <w:rFonts w:hint="default" w:ascii="Times New Roman" w:hAnsi="Times New Roman" w:eastAsia="黑体" w:cs="Times New Roman"/>
                <w:color w:val="auto"/>
                <w:sz w:val="28"/>
                <w:szCs w:val="28"/>
                <w:highlight w:val="none"/>
              </w:rPr>
              <w:t>低风险</w:t>
            </w:r>
          </w:p>
        </w:tc>
      </w:tr>
      <w:tr w14:paraId="504B2B89">
        <w:tblPrEx>
          <w:tblCellMar>
            <w:top w:w="0" w:type="dxa"/>
            <w:left w:w="108" w:type="dxa"/>
            <w:bottom w:w="0" w:type="dxa"/>
            <w:right w:w="108" w:type="dxa"/>
          </w:tblCellMar>
        </w:tblPrEx>
        <w:trPr>
          <w:trHeight w:val="1410" w:hRule="atLeast"/>
        </w:trPr>
        <w:tc>
          <w:tcPr>
            <w:tcW w:w="2001" w:type="dxa"/>
            <w:tcBorders>
              <w:top w:val="nil"/>
              <w:left w:val="single" w:color="auto" w:sz="4" w:space="0"/>
              <w:bottom w:val="single" w:color="auto" w:sz="4" w:space="0"/>
              <w:right w:val="single" w:color="auto" w:sz="4" w:space="0"/>
            </w:tcBorders>
            <w:vAlign w:val="center"/>
          </w:tcPr>
          <w:p w14:paraId="51A6AE63">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风险程度</w:t>
            </w:r>
          </w:p>
        </w:tc>
        <w:tc>
          <w:tcPr>
            <w:tcW w:w="2409" w:type="dxa"/>
            <w:tcBorders>
              <w:top w:val="nil"/>
              <w:left w:val="nil"/>
              <w:bottom w:val="single" w:color="auto" w:sz="4" w:space="0"/>
              <w:right w:val="single" w:color="auto" w:sz="4" w:space="0"/>
            </w:tcBorders>
            <w:vAlign w:val="center"/>
          </w:tcPr>
          <w:p w14:paraId="7C10A052">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2个及以上重大或5个及以上较大单因素风险</w:t>
            </w:r>
          </w:p>
        </w:tc>
        <w:tc>
          <w:tcPr>
            <w:tcW w:w="2409" w:type="dxa"/>
            <w:tcBorders>
              <w:top w:val="nil"/>
              <w:left w:val="nil"/>
              <w:bottom w:val="single" w:color="auto" w:sz="4" w:space="0"/>
              <w:right w:val="single" w:color="auto" w:sz="4" w:space="0"/>
            </w:tcBorders>
            <w:vAlign w:val="center"/>
          </w:tcPr>
          <w:p w14:paraId="3710333A">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1个重大或2到4个较大单因素风险</w:t>
            </w:r>
          </w:p>
        </w:tc>
        <w:tc>
          <w:tcPr>
            <w:tcW w:w="2410" w:type="dxa"/>
            <w:tcBorders>
              <w:top w:val="nil"/>
              <w:left w:val="nil"/>
              <w:bottom w:val="single" w:color="auto" w:sz="4" w:space="0"/>
              <w:right w:val="single" w:color="auto" w:sz="4" w:space="0"/>
            </w:tcBorders>
            <w:vAlign w:val="center"/>
          </w:tcPr>
          <w:p w14:paraId="4649BB73">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1个较大或者1到4个一般单因素风险</w:t>
            </w:r>
          </w:p>
        </w:tc>
      </w:tr>
      <w:tr w14:paraId="71617D02">
        <w:tblPrEx>
          <w:tblCellMar>
            <w:top w:w="0" w:type="dxa"/>
            <w:left w:w="108" w:type="dxa"/>
            <w:bottom w:w="0" w:type="dxa"/>
            <w:right w:w="108" w:type="dxa"/>
          </w:tblCellMar>
        </w:tblPrEx>
        <w:trPr>
          <w:trHeight w:val="1170" w:hRule="atLeast"/>
        </w:trPr>
        <w:tc>
          <w:tcPr>
            <w:tcW w:w="2001" w:type="dxa"/>
            <w:tcBorders>
              <w:top w:val="nil"/>
              <w:left w:val="single" w:color="auto" w:sz="4" w:space="0"/>
              <w:bottom w:val="single" w:color="auto" w:sz="4" w:space="0"/>
              <w:right w:val="single" w:color="auto" w:sz="4" w:space="0"/>
            </w:tcBorders>
            <w:vAlign w:val="center"/>
          </w:tcPr>
          <w:p w14:paraId="08818EB7">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综合风险指数</w:t>
            </w:r>
          </w:p>
        </w:tc>
        <w:tc>
          <w:tcPr>
            <w:tcW w:w="2409" w:type="dxa"/>
            <w:tcBorders>
              <w:top w:val="nil"/>
              <w:left w:val="nil"/>
              <w:bottom w:val="single" w:color="auto" w:sz="4" w:space="0"/>
              <w:right w:val="single" w:color="auto" w:sz="4" w:space="0"/>
            </w:tcBorders>
            <w:vAlign w:val="center"/>
          </w:tcPr>
          <w:p w14:paraId="632769C0">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∑（I×R）&gt;0.33</w:t>
            </w:r>
          </w:p>
        </w:tc>
        <w:tc>
          <w:tcPr>
            <w:tcW w:w="2409" w:type="dxa"/>
            <w:tcBorders>
              <w:top w:val="nil"/>
              <w:left w:val="nil"/>
              <w:bottom w:val="single" w:color="auto" w:sz="4" w:space="0"/>
              <w:right w:val="single" w:color="auto" w:sz="4" w:space="0"/>
            </w:tcBorders>
            <w:vAlign w:val="center"/>
          </w:tcPr>
          <w:p w14:paraId="14A3AAED">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0.33≥∑（I×R）≥0.1</w:t>
            </w:r>
          </w:p>
        </w:tc>
        <w:tc>
          <w:tcPr>
            <w:tcW w:w="2410" w:type="dxa"/>
            <w:tcBorders>
              <w:top w:val="nil"/>
              <w:left w:val="nil"/>
              <w:bottom w:val="single" w:color="auto" w:sz="4" w:space="0"/>
              <w:right w:val="single" w:color="auto" w:sz="4" w:space="0"/>
            </w:tcBorders>
            <w:vAlign w:val="center"/>
          </w:tcPr>
          <w:p w14:paraId="7A1F6697">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∑（I×R）&lt;0.1</w:t>
            </w:r>
          </w:p>
        </w:tc>
      </w:tr>
      <w:tr w14:paraId="4CA7DA6E">
        <w:tblPrEx>
          <w:tblCellMar>
            <w:top w:w="0" w:type="dxa"/>
            <w:left w:w="108" w:type="dxa"/>
            <w:bottom w:w="0" w:type="dxa"/>
            <w:right w:w="108" w:type="dxa"/>
          </w:tblCellMar>
        </w:tblPrEx>
        <w:trPr>
          <w:trHeight w:val="2295" w:hRule="atLeast"/>
        </w:trPr>
        <w:tc>
          <w:tcPr>
            <w:tcW w:w="2001" w:type="dxa"/>
            <w:tcBorders>
              <w:top w:val="nil"/>
              <w:left w:val="single" w:color="auto" w:sz="4" w:space="0"/>
              <w:bottom w:val="single" w:color="auto" w:sz="4" w:space="0"/>
              <w:right w:val="single" w:color="auto" w:sz="4" w:space="0"/>
            </w:tcBorders>
            <w:vAlign w:val="center"/>
          </w:tcPr>
          <w:p w14:paraId="256EF720">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调查结果</w:t>
            </w:r>
          </w:p>
        </w:tc>
        <w:tc>
          <w:tcPr>
            <w:tcW w:w="2409" w:type="dxa"/>
            <w:tcBorders>
              <w:top w:val="nil"/>
              <w:left w:val="nil"/>
              <w:bottom w:val="single" w:color="auto" w:sz="4" w:space="0"/>
              <w:right w:val="single" w:color="auto" w:sz="4" w:space="0"/>
            </w:tcBorders>
            <w:vAlign w:val="center"/>
          </w:tcPr>
          <w:p w14:paraId="23697C37">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采用面向特定对象征求意见的方式，征求意见结果，明确反对者超过33%</w:t>
            </w:r>
          </w:p>
        </w:tc>
        <w:tc>
          <w:tcPr>
            <w:tcW w:w="2409" w:type="dxa"/>
            <w:tcBorders>
              <w:top w:val="nil"/>
              <w:left w:val="nil"/>
              <w:bottom w:val="single" w:color="auto" w:sz="4" w:space="0"/>
              <w:right w:val="single" w:color="auto" w:sz="4" w:space="0"/>
            </w:tcBorders>
            <w:vAlign w:val="center"/>
          </w:tcPr>
          <w:p w14:paraId="7D0CF266">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采用面向特定对象征求意见的方式，征求意见结果，明确反对者占10%到33%</w:t>
            </w:r>
          </w:p>
        </w:tc>
        <w:tc>
          <w:tcPr>
            <w:tcW w:w="2410" w:type="dxa"/>
            <w:tcBorders>
              <w:top w:val="nil"/>
              <w:left w:val="nil"/>
              <w:bottom w:val="single" w:color="auto" w:sz="4" w:space="0"/>
              <w:right w:val="single" w:color="auto" w:sz="4" w:space="0"/>
            </w:tcBorders>
            <w:vAlign w:val="center"/>
          </w:tcPr>
          <w:p w14:paraId="4DF89B96">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采用面向特定对象征求意见的方式，征求意见结果，明确反对者低于10%</w:t>
            </w:r>
          </w:p>
        </w:tc>
      </w:tr>
      <w:tr w14:paraId="7668B63F">
        <w:tblPrEx>
          <w:tblCellMar>
            <w:top w:w="0" w:type="dxa"/>
            <w:left w:w="108" w:type="dxa"/>
            <w:bottom w:w="0" w:type="dxa"/>
            <w:right w:w="108" w:type="dxa"/>
          </w:tblCellMar>
        </w:tblPrEx>
        <w:trPr>
          <w:trHeight w:val="2265" w:hRule="atLeast"/>
        </w:trPr>
        <w:tc>
          <w:tcPr>
            <w:tcW w:w="2001" w:type="dxa"/>
            <w:tcBorders>
              <w:top w:val="nil"/>
              <w:left w:val="single" w:color="auto" w:sz="4" w:space="0"/>
              <w:bottom w:val="single" w:color="auto" w:sz="4" w:space="0"/>
              <w:right w:val="single" w:color="auto" w:sz="4" w:space="0"/>
            </w:tcBorders>
            <w:vAlign w:val="center"/>
          </w:tcPr>
          <w:p w14:paraId="32C79D05">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可能引发的风险事件</w:t>
            </w:r>
          </w:p>
        </w:tc>
        <w:tc>
          <w:tcPr>
            <w:tcW w:w="2409" w:type="dxa"/>
            <w:tcBorders>
              <w:top w:val="nil"/>
              <w:left w:val="nil"/>
              <w:bottom w:val="single" w:color="auto" w:sz="4" w:space="0"/>
              <w:right w:val="single" w:color="auto" w:sz="4" w:space="0"/>
            </w:tcBorders>
            <w:vAlign w:val="center"/>
          </w:tcPr>
          <w:p w14:paraId="3D0C12D6">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大规模群体性事件，如围堵施工现场、堵塞交通、冲击党政机关、集体械斗、聚众闹事、人员伤亡等</w:t>
            </w:r>
          </w:p>
        </w:tc>
        <w:tc>
          <w:tcPr>
            <w:tcW w:w="2409" w:type="dxa"/>
            <w:tcBorders>
              <w:top w:val="nil"/>
              <w:left w:val="nil"/>
              <w:bottom w:val="single" w:color="auto" w:sz="4" w:space="0"/>
              <w:right w:val="single" w:color="auto" w:sz="4" w:space="0"/>
            </w:tcBorders>
            <w:vAlign w:val="center"/>
          </w:tcPr>
          <w:p w14:paraId="41A2CBE4">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一般群体性事件，如集体上访、静坐请愿、非法集会/集体散步、示威等</w:t>
            </w:r>
          </w:p>
        </w:tc>
        <w:tc>
          <w:tcPr>
            <w:tcW w:w="2410" w:type="dxa"/>
            <w:tcBorders>
              <w:top w:val="nil"/>
              <w:left w:val="nil"/>
              <w:bottom w:val="single" w:color="auto" w:sz="4" w:space="0"/>
              <w:right w:val="single" w:color="auto" w:sz="4" w:space="0"/>
            </w:tcBorders>
            <w:vAlign w:val="center"/>
          </w:tcPr>
          <w:p w14:paraId="4FE5D6AD">
            <w:pPr>
              <w:keepNext w:val="0"/>
              <w:keepLines w:val="0"/>
              <w:widowControl/>
              <w:suppressLineNumbers w:val="0"/>
              <w:adjustRightInd w:val="0"/>
              <w:snapToGrid w:val="0"/>
              <w:spacing w:before="0" w:beforeAutospacing="0" w:after="0" w:afterAutospacing="0" w:line="400" w:lineRule="exact"/>
              <w:ind w:left="0" w:right="0"/>
              <w:jc w:val="center"/>
              <w:rPr>
                <w:rFonts w:hint="default" w:ascii="宋体" w:hAnsi="宋体" w:eastAsia="宋体" w:cs="宋体"/>
                <w:color w:val="000000"/>
                <w:kern w:val="0"/>
                <w:sz w:val="22"/>
                <w:szCs w:val="22"/>
              </w:rPr>
            </w:pPr>
            <w:r>
              <w:rPr>
                <w:rFonts w:hint="default" w:ascii="宋体" w:hAnsi="宋体" w:eastAsia="宋体" w:cs="宋体"/>
                <w:color w:val="000000"/>
                <w:kern w:val="0"/>
                <w:sz w:val="22"/>
                <w:szCs w:val="22"/>
              </w:rPr>
              <w:t>个体矛盾冲突，如个体信访、网络发布、散发宣传品、挂横幅等</w:t>
            </w:r>
          </w:p>
        </w:tc>
      </w:tr>
    </w:tbl>
    <w:p w14:paraId="0A392A6A">
      <w:pPr>
        <w:spacing w:line="540" w:lineRule="exact"/>
        <w:ind w:firstLine="560" w:firstLineChars="200"/>
        <w:rPr>
          <w:rFonts w:hint="default" w:ascii="仿宋" w:hAnsi="仿宋" w:eastAsia="仿宋"/>
          <w:kern w:val="0"/>
          <w:sz w:val="28"/>
          <w:szCs w:val="32"/>
          <w:lang w:val="en-US" w:eastAsia="zh-CN"/>
        </w:rPr>
      </w:pPr>
      <w:r>
        <w:rPr>
          <w:rFonts w:hint="default" w:ascii="仿宋" w:hAnsi="仿宋" w:eastAsia="仿宋"/>
          <w:kern w:val="0"/>
          <w:sz w:val="28"/>
          <w:szCs w:val="32"/>
          <w:lang w:val="en-US" w:eastAsia="zh-CN"/>
        </w:rPr>
        <w:t>2.综合风险指数计算</w:t>
      </w:r>
    </w:p>
    <w:p w14:paraId="1BD96872">
      <w:pPr>
        <w:spacing w:line="540" w:lineRule="exact"/>
        <w:ind w:firstLine="560" w:firstLineChars="200"/>
        <w:rPr>
          <w:rFonts w:hint="default" w:ascii="仿宋" w:hAnsi="仿宋" w:eastAsia="仿宋"/>
          <w:kern w:val="0"/>
          <w:sz w:val="28"/>
          <w:szCs w:val="32"/>
          <w:lang w:val="en-US" w:eastAsia="zh-CN"/>
        </w:rPr>
      </w:pPr>
      <w:r>
        <w:rPr>
          <w:rFonts w:hint="default" w:ascii="仿宋" w:hAnsi="仿宋" w:eastAsia="仿宋"/>
          <w:kern w:val="0"/>
          <w:sz w:val="28"/>
          <w:szCs w:val="32"/>
          <w:lang w:val="en-US" w:eastAsia="zh-CN"/>
        </w:rPr>
        <w:t>将每个主要风险因素的权重（I）与风险程度（R）相乘，所得分值即为每个风险因素的风险等级指数。将所有风险因素的风险指数相加，得出该</w:t>
      </w:r>
      <w:r>
        <w:rPr>
          <w:rFonts w:hint="eastAsia" w:ascii="仿宋" w:hAnsi="仿宋" w:eastAsia="仿宋"/>
          <w:kern w:val="0"/>
          <w:sz w:val="28"/>
          <w:szCs w:val="32"/>
          <w:lang w:val="en-US" w:eastAsia="zh-CN"/>
        </w:rPr>
        <w:t>项目</w:t>
      </w:r>
      <w:r>
        <w:rPr>
          <w:rFonts w:hint="default" w:ascii="仿宋" w:hAnsi="仿宋" w:eastAsia="仿宋"/>
          <w:kern w:val="0"/>
          <w:sz w:val="28"/>
          <w:szCs w:val="32"/>
          <w:lang w:val="en-US" w:eastAsia="zh-CN"/>
        </w:rPr>
        <w:t>的综合风险指数∑（I×R）。具体计算见下表。</w:t>
      </w:r>
    </w:p>
    <w:p w14:paraId="67E2BDDD">
      <w:pPr>
        <w:spacing w:line="540" w:lineRule="exact"/>
        <w:ind w:firstLine="560" w:firstLineChars="200"/>
        <w:jc w:val="center"/>
        <w:rPr>
          <w:rFonts w:hint="eastAsia" w:ascii="黑体" w:hAnsi="黑体" w:eastAsia="黑体" w:cs="黑体"/>
          <w:color w:val="auto"/>
          <w:sz w:val="28"/>
          <w:szCs w:val="28"/>
          <w:highlight w:val="none"/>
        </w:rPr>
      </w:pPr>
      <w:r>
        <w:rPr>
          <w:rFonts w:hint="eastAsia" w:ascii="黑体" w:hAnsi="黑体" w:eastAsia="黑体" w:cs="黑体"/>
          <w:color w:val="auto"/>
          <w:sz w:val="28"/>
          <w:szCs w:val="28"/>
          <w:highlight w:val="none"/>
        </w:rPr>
        <w:t>综合风险指数计算表</w:t>
      </w:r>
    </w:p>
    <w:tbl>
      <w:tblPr>
        <w:tblStyle w:val="19"/>
        <w:tblW w:w="9687" w:type="dxa"/>
        <w:tblInd w:w="93" w:type="dxa"/>
        <w:tblLayout w:type="fixed"/>
        <w:tblCellMar>
          <w:top w:w="0" w:type="dxa"/>
          <w:left w:w="108" w:type="dxa"/>
          <w:bottom w:w="0" w:type="dxa"/>
          <w:right w:w="108" w:type="dxa"/>
        </w:tblCellMar>
      </w:tblPr>
      <w:tblGrid>
        <w:gridCol w:w="606"/>
        <w:gridCol w:w="2953"/>
        <w:gridCol w:w="851"/>
        <w:gridCol w:w="925"/>
        <w:gridCol w:w="776"/>
        <w:gridCol w:w="708"/>
        <w:gridCol w:w="709"/>
        <w:gridCol w:w="709"/>
        <w:gridCol w:w="1450"/>
      </w:tblGrid>
      <w:tr w14:paraId="4F31DD70">
        <w:tblPrEx>
          <w:tblCellMar>
            <w:top w:w="0" w:type="dxa"/>
            <w:left w:w="108" w:type="dxa"/>
            <w:bottom w:w="0" w:type="dxa"/>
            <w:right w:w="108" w:type="dxa"/>
          </w:tblCellMar>
        </w:tblPrEx>
        <w:trPr>
          <w:trHeight w:val="570" w:hRule="atLeast"/>
        </w:trPr>
        <w:tc>
          <w:tcPr>
            <w:tcW w:w="606" w:type="dxa"/>
            <w:vMerge w:val="restart"/>
            <w:tcBorders>
              <w:top w:val="single" w:color="auto" w:sz="4" w:space="0"/>
              <w:left w:val="single" w:color="auto" w:sz="4" w:space="0"/>
              <w:bottom w:val="single" w:color="000000" w:sz="4" w:space="0"/>
              <w:right w:val="single" w:color="auto" w:sz="4" w:space="0"/>
            </w:tcBorders>
            <w:vAlign w:val="center"/>
          </w:tcPr>
          <w:p w14:paraId="62157A76">
            <w:pPr>
              <w:keepNext w:val="0"/>
              <w:keepLines w:val="0"/>
              <w:widowControl/>
              <w:suppressLineNumbers w:val="0"/>
              <w:spacing w:before="0" w:beforeAutospacing="0" w:after="0" w:afterAutospacing="0"/>
              <w:ind w:left="0" w:right="0"/>
              <w:jc w:val="center"/>
              <w:rPr>
                <w:rFonts w:hint="eastAsia" w:ascii="黑体" w:hAnsi="黑体" w:eastAsia="黑体" w:cs="黑体"/>
                <w:color w:val="auto"/>
                <w:kern w:val="0"/>
                <w:sz w:val="24"/>
                <w:szCs w:val="22"/>
                <w:highlight w:val="none"/>
              </w:rPr>
            </w:pPr>
            <w:r>
              <w:rPr>
                <w:rFonts w:hint="eastAsia" w:ascii="黑体" w:hAnsi="黑体" w:eastAsia="黑体" w:cs="黑体"/>
                <w:color w:val="auto"/>
                <w:kern w:val="0"/>
                <w:sz w:val="24"/>
                <w:szCs w:val="22"/>
                <w:highlight w:val="none"/>
              </w:rPr>
              <w:t>序号</w:t>
            </w:r>
          </w:p>
        </w:tc>
        <w:tc>
          <w:tcPr>
            <w:tcW w:w="2953" w:type="dxa"/>
            <w:vMerge w:val="restart"/>
            <w:tcBorders>
              <w:top w:val="single" w:color="auto" w:sz="4" w:space="0"/>
              <w:left w:val="single" w:color="auto" w:sz="4" w:space="0"/>
              <w:bottom w:val="single" w:color="000000" w:sz="4" w:space="0"/>
              <w:right w:val="single" w:color="auto" w:sz="4" w:space="0"/>
            </w:tcBorders>
            <w:vAlign w:val="center"/>
          </w:tcPr>
          <w:p w14:paraId="1AC047DD">
            <w:pPr>
              <w:keepNext w:val="0"/>
              <w:keepLines w:val="0"/>
              <w:widowControl/>
              <w:suppressLineNumbers w:val="0"/>
              <w:spacing w:before="0" w:beforeAutospacing="0" w:after="0" w:afterAutospacing="0"/>
              <w:ind w:left="0" w:right="0"/>
              <w:jc w:val="center"/>
              <w:rPr>
                <w:rFonts w:hint="eastAsia" w:ascii="黑体" w:hAnsi="黑体" w:eastAsia="黑体" w:cs="黑体"/>
                <w:color w:val="auto"/>
                <w:kern w:val="0"/>
                <w:sz w:val="24"/>
                <w:szCs w:val="22"/>
                <w:highlight w:val="none"/>
              </w:rPr>
            </w:pPr>
            <w:r>
              <w:rPr>
                <w:rFonts w:hint="eastAsia" w:ascii="黑体" w:hAnsi="黑体" w:eastAsia="黑体" w:cs="黑体"/>
                <w:color w:val="auto"/>
                <w:kern w:val="0"/>
                <w:sz w:val="24"/>
                <w:szCs w:val="22"/>
                <w:highlight w:val="none"/>
              </w:rPr>
              <w:t>风险因素</w:t>
            </w:r>
          </w:p>
        </w:tc>
        <w:tc>
          <w:tcPr>
            <w:tcW w:w="851" w:type="dxa"/>
            <w:vMerge w:val="restart"/>
            <w:tcBorders>
              <w:top w:val="single" w:color="auto" w:sz="4" w:space="0"/>
              <w:left w:val="single" w:color="auto" w:sz="4" w:space="0"/>
              <w:bottom w:val="single" w:color="000000" w:sz="4" w:space="0"/>
              <w:right w:val="single" w:color="auto" w:sz="4" w:space="0"/>
            </w:tcBorders>
            <w:vAlign w:val="center"/>
          </w:tcPr>
          <w:p w14:paraId="318DBB92">
            <w:pPr>
              <w:keepNext w:val="0"/>
              <w:keepLines w:val="0"/>
              <w:widowControl/>
              <w:suppressLineNumbers w:val="0"/>
              <w:spacing w:before="0" w:beforeAutospacing="0" w:after="0" w:afterAutospacing="0"/>
              <w:ind w:left="0" w:right="0"/>
              <w:jc w:val="center"/>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权重</w:t>
            </w:r>
            <w:r>
              <w:rPr>
                <w:rFonts w:hint="eastAsia" w:ascii="宋体" w:hAnsi="宋体" w:cs="宋体"/>
                <w:b/>
                <w:color w:val="000000"/>
                <w:kern w:val="0"/>
                <w:sz w:val="22"/>
                <w:szCs w:val="22"/>
              </w:rPr>
              <w:t>（I）</w:t>
            </w:r>
          </w:p>
        </w:tc>
        <w:tc>
          <w:tcPr>
            <w:tcW w:w="3827" w:type="dxa"/>
            <w:gridSpan w:val="5"/>
            <w:tcBorders>
              <w:top w:val="single" w:color="auto" w:sz="4" w:space="0"/>
              <w:left w:val="nil"/>
              <w:bottom w:val="single" w:color="auto" w:sz="4" w:space="0"/>
              <w:right w:val="single" w:color="auto" w:sz="4" w:space="0"/>
            </w:tcBorders>
            <w:vAlign w:val="center"/>
          </w:tcPr>
          <w:p w14:paraId="13B43EA3">
            <w:pPr>
              <w:keepNext w:val="0"/>
              <w:keepLines w:val="0"/>
              <w:widowControl/>
              <w:suppressLineNumbers w:val="0"/>
              <w:spacing w:before="0" w:beforeAutospacing="0" w:after="0" w:afterAutospacing="0"/>
              <w:ind w:left="0" w:right="0"/>
              <w:jc w:val="center"/>
              <w:rPr>
                <w:rFonts w:hint="eastAsia" w:ascii="黑体" w:hAnsi="黑体" w:eastAsia="黑体" w:cs="黑体"/>
                <w:color w:val="auto"/>
                <w:kern w:val="0"/>
                <w:sz w:val="22"/>
                <w:szCs w:val="22"/>
                <w:highlight w:val="none"/>
                <w:lang w:val="en-US" w:eastAsia="zh-CN"/>
              </w:rPr>
            </w:pPr>
            <w:r>
              <w:rPr>
                <w:rFonts w:hint="eastAsia" w:ascii="黑体" w:hAnsi="黑体" w:eastAsia="黑体" w:cs="黑体"/>
                <w:color w:val="auto"/>
                <w:kern w:val="0"/>
                <w:sz w:val="22"/>
                <w:szCs w:val="22"/>
                <w:highlight w:val="none"/>
              </w:rPr>
              <w:t>风险程度</w:t>
            </w:r>
            <w:r>
              <w:rPr>
                <w:rFonts w:hint="eastAsia" w:ascii="宋体" w:hAnsi="宋体" w:cs="宋体"/>
                <w:b/>
                <w:color w:val="000000"/>
                <w:kern w:val="0"/>
                <w:sz w:val="22"/>
                <w:szCs w:val="22"/>
              </w:rPr>
              <w:t>（R）</w:t>
            </w:r>
          </w:p>
        </w:tc>
        <w:tc>
          <w:tcPr>
            <w:tcW w:w="1450" w:type="dxa"/>
            <w:vMerge w:val="restart"/>
            <w:tcBorders>
              <w:top w:val="single" w:color="auto" w:sz="4" w:space="0"/>
              <w:left w:val="single" w:color="auto" w:sz="4" w:space="0"/>
              <w:bottom w:val="single" w:color="000000" w:sz="4" w:space="0"/>
              <w:right w:val="single" w:color="auto" w:sz="4" w:space="0"/>
            </w:tcBorders>
            <w:vAlign w:val="center"/>
          </w:tcPr>
          <w:p w14:paraId="5DC32F41">
            <w:pPr>
              <w:keepNext w:val="0"/>
              <w:keepLines w:val="0"/>
              <w:widowControl/>
              <w:suppressLineNumbers w:val="0"/>
              <w:spacing w:before="0" w:beforeAutospacing="0" w:after="0" w:afterAutospacing="0"/>
              <w:ind w:left="0" w:right="0"/>
              <w:jc w:val="center"/>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综合风险指数</w:t>
            </w:r>
          </w:p>
        </w:tc>
      </w:tr>
      <w:tr w14:paraId="6B0B3495">
        <w:tblPrEx>
          <w:tblCellMar>
            <w:top w:w="0" w:type="dxa"/>
            <w:left w:w="108" w:type="dxa"/>
            <w:bottom w:w="0" w:type="dxa"/>
            <w:right w:w="108" w:type="dxa"/>
          </w:tblCellMar>
        </w:tblPrEx>
        <w:trPr>
          <w:trHeight w:val="570" w:hRule="atLeast"/>
        </w:trPr>
        <w:tc>
          <w:tcPr>
            <w:tcW w:w="606" w:type="dxa"/>
            <w:vMerge w:val="continue"/>
            <w:tcBorders>
              <w:top w:val="single" w:color="auto" w:sz="4" w:space="0"/>
              <w:left w:val="single" w:color="auto" w:sz="4" w:space="0"/>
              <w:bottom w:val="single" w:color="000000" w:sz="4" w:space="0"/>
              <w:right w:val="single" w:color="auto" w:sz="4" w:space="0"/>
            </w:tcBorders>
            <w:vAlign w:val="center"/>
          </w:tcPr>
          <w:p w14:paraId="18B4946B">
            <w:pPr>
              <w:keepNext w:val="0"/>
              <w:keepLines w:val="0"/>
              <w:widowControl/>
              <w:suppressLineNumbers w:val="0"/>
              <w:spacing w:before="0" w:beforeAutospacing="0" w:after="0" w:afterAutospacing="0"/>
              <w:ind w:left="0" w:right="0"/>
              <w:jc w:val="left"/>
              <w:rPr>
                <w:rFonts w:hint="eastAsia" w:ascii="黑体" w:hAnsi="黑体" w:eastAsia="黑体" w:cs="黑体"/>
                <w:color w:val="auto"/>
                <w:kern w:val="0"/>
                <w:sz w:val="24"/>
                <w:szCs w:val="22"/>
                <w:highlight w:val="none"/>
              </w:rPr>
            </w:pPr>
          </w:p>
        </w:tc>
        <w:tc>
          <w:tcPr>
            <w:tcW w:w="2953" w:type="dxa"/>
            <w:vMerge w:val="continue"/>
            <w:tcBorders>
              <w:top w:val="single" w:color="auto" w:sz="4" w:space="0"/>
              <w:left w:val="single" w:color="auto" w:sz="4" w:space="0"/>
              <w:bottom w:val="single" w:color="000000" w:sz="4" w:space="0"/>
              <w:right w:val="single" w:color="auto" w:sz="4" w:space="0"/>
            </w:tcBorders>
            <w:vAlign w:val="center"/>
          </w:tcPr>
          <w:p w14:paraId="7C615674">
            <w:pPr>
              <w:keepNext w:val="0"/>
              <w:keepLines w:val="0"/>
              <w:widowControl/>
              <w:suppressLineNumbers w:val="0"/>
              <w:spacing w:before="0" w:beforeAutospacing="0" w:after="0" w:afterAutospacing="0"/>
              <w:ind w:left="0" w:right="0"/>
              <w:jc w:val="left"/>
              <w:rPr>
                <w:rFonts w:hint="eastAsia" w:ascii="黑体" w:hAnsi="黑体" w:eastAsia="黑体" w:cs="黑体"/>
                <w:color w:val="auto"/>
                <w:kern w:val="0"/>
                <w:sz w:val="24"/>
                <w:szCs w:val="22"/>
                <w:highlight w:val="none"/>
              </w:rPr>
            </w:pPr>
          </w:p>
        </w:tc>
        <w:tc>
          <w:tcPr>
            <w:tcW w:w="851" w:type="dxa"/>
            <w:vMerge w:val="continue"/>
            <w:tcBorders>
              <w:top w:val="single" w:color="auto" w:sz="4" w:space="0"/>
              <w:left w:val="single" w:color="auto" w:sz="4" w:space="0"/>
              <w:bottom w:val="single" w:color="000000" w:sz="4" w:space="0"/>
              <w:right w:val="single" w:color="auto" w:sz="4" w:space="0"/>
            </w:tcBorders>
            <w:vAlign w:val="center"/>
          </w:tcPr>
          <w:p w14:paraId="5147DB35">
            <w:pPr>
              <w:keepNext w:val="0"/>
              <w:keepLines w:val="0"/>
              <w:widowControl/>
              <w:suppressLineNumbers w:val="0"/>
              <w:spacing w:before="0" w:beforeAutospacing="0" w:after="0" w:afterAutospacing="0"/>
              <w:ind w:left="0" w:right="0"/>
              <w:jc w:val="left"/>
              <w:rPr>
                <w:rFonts w:hint="eastAsia" w:ascii="黑体" w:hAnsi="黑体" w:eastAsia="黑体" w:cs="黑体"/>
                <w:color w:val="auto"/>
                <w:kern w:val="0"/>
                <w:sz w:val="22"/>
                <w:szCs w:val="22"/>
                <w:highlight w:val="none"/>
              </w:rPr>
            </w:pPr>
          </w:p>
        </w:tc>
        <w:tc>
          <w:tcPr>
            <w:tcW w:w="925" w:type="dxa"/>
            <w:tcBorders>
              <w:top w:val="nil"/>
              <w:left w:val="nil"/>
              <w:bottom w:val="single" w:color="auto" w:sz="4" w:space="0"/>
              <w:right w:val="single" w:color="auto" w:sz="4" w:space="0"/>
            </w:tcBorders>
            <w:vAlign w:val="center"/>
          </w:tcPr>
          <w:p w14:paraId="12679FBB">
            <w:pPr>
              <w:keepNext w:val="0"/>
              <w:keepLines w:val="0"/>
              <w:widowControl/>
              <w:suppressLineNumbers w:val="0"/>
              <w:spacing w:before="0" w:beforeAutospacing="0" w:after="0" w:afterAutospacing="0"/>
              <w:ind w:left="0" w:right="0"/>
              <w:jc w:val="center"/>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微小</w:t>
            </w:r>
          </w:p>
        </w:tc>
        <w:tc>
          <w:tcPr>
            <w:tcW w:w="776" w:type="dxa"/>
            <w:tcBorders>
              <w:top w:val="nil"/>
              <w:left w:val="nil"/>
              <w:bottom w:val="single" w:color="auto" w:sz="4" w:space="0"/>
              <w:right w:val="single" w:color="auto" w:sz="4" w:space="0"/>
            </w:tcBorders>
            <w:vAlign w:val="center"/>
          </w:tcPr>
          <w:p w14:paraId="077C32C7">
            <w:pPr>
              <w:keepNext w:val="0"/>
              <w:keepLines w:val="0"/>
              <w:widowControl/>
              <w:suppressLineNumbers w:val="0"/>
              <w:spacing w:before="0" w:beforeAutospacing="0" w:after="0" w:afterAutospacing="0"/>
              <w:ind w:left="0" w:right="0"/>
              <w:jc w:val="center"/>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较小</w:t>
            </w:r>
          </w:p>
        </w:tc>
        <w:tc>
          <w:tcPr>
            <w:tcW w:w="708" w:type="dxa"/>
            <w:tcBorders>
              <w:top w:val="nil"/>
              <w:left w:val="nil"/>
              <w:bottom w:val="single" w:color="auto" w:sz="4" w:space="0"/>
              <w:right w:val="single" w:color="auto" w:sz="4" w:space="0"/>
            </w:tcBorders>
            <w:vAlign w:val="center"/>
          </w:tcPr>
          <w:p w14:paraId="620495DE">
            <w:pPr>
              <w:keepNext w:val="0"/>
              <w:keepLines w:val="0"/>
              <w:widowControl/>
              <w:suppressLineNumbers w:val="0"/>
              <w:spacing w:before="0" w:beforeAutospacing="0" w:after="0" w:afterAutospacing="0"/>
              <w:ind w:left="0" w:right="0"/>
              <w:jc w:val="center"/>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一般</w:t>
            </w:r>
          </w:p>
        </w:tc>
        <w:tc>
          <w:tcPr>
            <w:tcW w:w="709" w:type="dxa"/>
            <w:tcBorders>
              <w:top w:val="nil"/>
              <w:left w:val="nil"/>
              <w:bottom w:val="single" w:color="auto" w:sz="4" w:space="0"/>
              <w:right w:val="single" w:color="auto" w:sz="4" w:space="0"/>
            </w:tcBorders>
            <w:vAlign w:val="center"/>
          </w:tcPr>
          <w:p w14:paraId="54852876">
            <w:pPr>
              <w:keepNext w:val="0"/>
              <w:keepLines w:val="0"/>
              <w:widowControl/>
              <w:suppressLineNumbers w:val="0"/>
              <w:spacing w:before="0" w:beforeAutospacing="0" w:after="0" w:afterAutospacing="0"/>
              <w:ind w:left="0" w:right="0"/>
              <w:jc w:val="center"/>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较大</w:t>
            </w:r>
          </w:p>
        </w:tc>
        <w:tc>
          <w:tcPr>
            <w:tcW w:w="709" w:type="dxa"/>
            <w:tcBorders>
              <w:top w:val="nil"/>
              <w:left w:val="nil"/>
              <w:bottom w:val="single" w:color="auto" w:sz="4" w:space="0"/>
              <w:right w:val="single" w:color="auto" w:sz="4" w:space="0"/>
            </w:tcBorders>
            <w:vAlign w:val="center"/>
          </w:tcPr>
          <w:p w14:paraId="637A7E12">
            <w:pPr>
              <w:keepNext w:val="0"/>
              <w:keepLines w:val="0"/>
              <w:widowControl/>
              <w:suppressLineNumbers w:val="0"/>
              <w:spacing w:before="0" w:beforeAutospacing="0" w:after="0" w:afterAutospacing="0"/>
              <w:ind w:left="0" w:right="0"/>
              <w:jc w:val="center"/>
              <w:rPr>
                <w:rFonts w:hint="eastAsia" w:ascii="黑体" w:hAnsi="黑体" w:eastAsia="黑体" w:cs="黑体"/>
                <w:color w:val="auto"/>
                <w:kern w:val="0"/>
                <w:sz w:val="22"/>
                <w:szCs w:val="22"/>
                <w:highlight w:val="none"/>
              </w:rPr>
            </w:pPr>
            <w:r>
              <w:rPr>
                <w:rFonts w:hint="eastAsia" w:ascii="黑体" w:hAnsi="黑体" w:eastAsia="黑体" w:cs="黑体"/>
                <w:color w:val="auto"/>
                <w:kern w:val="0"/>
                <w:sz w:val="22"/>
                <w:szCs w:val="22"/>
                <w:highlight w:val="none"/>
              </w:rPr>
              <w:t>重大</w:t>
            </w:r>
          </w:p>
        </w:tc>
        <w:tc>
          <w:tcPr>
            <w:tcW w:w="1450" w:type="dxa"/>
            <w:vMerge w:val="continue"/>
            <w:tcBorders>
              <w:top w:val="single" w:color="auto" w:sz="4" w:space="0"/>
              <w:left w:val="single" w:color="auto" w:sz="4" w:space="0"/>
              <w:bottom w:val="single" w:color="000000" w:sz="4" w:space="0"/>
              <w:right w:val="single" w:color="auto" w:sz="4" w:space="0"/>
            </w:tcBorders>
            <w:vAlign w:val="center"/>
          </w:tcPr>
          <w:p w14:paraId="638E2F96">
            <w:pPr>
              <w:keepNext w:val="0"/>
              <w:keepLines w:val="0"/>
              <w:widowControl/>
              <w:suppressLineNumbers w:val="0"/>
              <w:spacing w:before="0" w:beforeAutospacing="0" w:after="0" w:afterAutospacing="0"/>
              <w:ind w:left="0" w:right="0"/>
              <w:jc w:val="left"/>
              <w:rPr>
                <w:rFonts w:hint="eastAsia" w:ascii="黑体" w:hAnsi="黑体" w:eastAsia="黑体" w:cs="黑体"/>
                <w:color w:val="auto"/>
                <w:kern w:val="0"/>
                <w:sz w:val="22"/>
                <w:szCs w:val="22"/>
                <w:highlight w:val="none"/>
              </w:rPr>
            </w:pPr>
          </w:p>
        </w:tc>
      </w:tr>
      <w:tr w14:paraId="64AA3641">
        <w:tblPrEx>
          <w:tblCellMar>
            <w:top w:w="0" w:type="dxa"/>
            <w:left w:w="108" w:type="dxa"/>
            <w:bottom w:w="0" w:type="dxa"/>
            <w:right w:w="108" w:type="dxa"/>
          </w:tblCellMar>
        </w:tblPrEx>
        <w:trPr>
          <w:trHeight w:val="570" w:hRule="atLeast"/>
        </w:trPr>
        <w:tc>
          <w:tcPr>
            <w:tcW w:w="606" w:type="dxa"/>
            <w:tcBorders>
              <w:top w:val="nil"/>
              <w:left w:val="single" w:color="auto" w:sz="4" w:space="0"/>
              <w:bottom w:val="single" w:color="auto" w:sz="4" w:space="0"/>
              <w:right w:val="single" w:color="auto" w:sz="4" w:space="0"/>
            </w:tcBorders>
            <w:vAlign w:val="center"/>
          </w:tcPr>
          <w:p w14:paraId="28783118">
            <w:pPr>
              <w:keepNext w:val="0"/>
              <w:keepLines w:val="0"/>
              <w:suppressLineNumbers w:val="0"/>
              <w:tabs>
                <w:tab w:val="left" w:pos="3178"/>
              </w:tabs>
              <w:spacing w:before="0" w:beforeAutospacing="0" w:after="0" w:afterAutospacing="0" w:line="560" w:lineRule="exact"/>
              <w:ind w:left="0" w:right="0"/>
              <w:jc w:val="center"/>
              <w:rPr>
                <w:rFonts w:hint="default" w:ascii="Times New Roman" w:hAnsi="Times New Roman" w:cs="Times New Roman"/>
                <w:color w:val="auto"/>
                <w:kern w:val="0"/>
                <w:sz w:val="28"/>
                <w:szCs w:val="28"/>
                <w:highlight w:val="none"/>
              </w:rPr>
            </w:pPr>
            <w:r>
              <w:rPr>
                <w:rFonts w:hint="eastAsia" w:ascii="Times New Roman" w:hAnsi="Times New Roman" w:eastAsia="仿宋" w:cs="Times New Roman"/>
                <w:color w:val="auto"/>
                <w:sz w:val="32"/>
                <w:szCs w:val="32"/>
                <w:highlight w:val="none"/>
                <w:lang w:val="en-US" w:eastAsia="zh-CN"/>
              </w:rPr>
              <w:t>1</w:t>
            </w:r>
          </w:p>
        </w:tc>
        <w:tc>
          <w:tcPr>
            <w:tcW w:w="2953" w:type="dxa"/>
            <w:tcBorders>
              <w:top w:val="nil"/>
              <w:left w:val="nil"/>
              <w:bottom w:val="single" w:color="auto" w:sz="4" w:space="0"/>
              <w:right w:val="single" w:color="auto" w:sz="4" w:space="0"/>
            </w:tcBorders>
            <w:vAlign w:val="center"/>
          </w:tcPr>
          <w:p w14:paraId="6E7A3829">
            <w:pPr>
              <w:keepNext w:val="0"/>
              <w:keepLines w:val="0"/>
              <w:widowControl/>
              <w:suppressLineNumbers w:val="0"/>
              <w:spacing w:before="0" w:beforeAutospacing="0" w:after="0" w:afterAutospacing="0" w:line="610" w:lineRule="exact"/>
              <w:ind w:left="0" w:leftChars="0" w:right="0" w:rightChars="0"/>
              <w:jc w:val="center"/>
              <w:rPr>
                <w:rFonts w:hint="eastAsia" w:ascii="仿宋_GB2312" w:hAnsi="仿宋_GB2312" w:eastAsia="仿宋_GB2312" w:cs="仿宋_GB2312"/>
                <w:color w:val="auto"/>
                <w:kern w:val="0"/>
                <w:sz w:val="28"/>
                <w:szCs w:val="28"/>
                <w:highlight w:val="none"/>
              </w:rPr>
            </w:pPr>
            <w:r>
              <w:rPr>
                <w:rFonts w:hint="eastAsia" w:ascii="宋体" w:hAnsi="宋体" w:cs="宋体"/>
                <w:color w:val="000000"/>
                <w:kern w:val="0"/>
                <w:sz w:val="22"/>
                <w:szCs w:val="22"/>
              </w:rPr>
              <w:t>工程方案</w:t>
            </w:r>
          </w:p>
        </w:tc>
        <w:tc>
          <w:tcPr>
            <w:tcW w:w="851" w:type="dxa"/>
            <w:tcBorders>
              <w:top w:val="nil"/>
              <w:left w:val="nil"/>
              <w:bottom w:val="single" w:color="auto" w:sz="4" w:space="0"/>
              <w:right w:val="single" w:color="auto" w:sz="4" w:space="0"/>
            </w:tcBorders>
            <w:vAlign w:val="center"/>
          </w:tcPr>
          <w:p w14:paraId="55F82043">
            <w:pPr>
              <w:keepNext w:val="0"/>
              <w:keepLines w:val="0"/>
              <w:widowControl/>
              <w:suppressLineNumbers w:val="0"/>
              <w:spacing w:before="0" w:beforeAutospacing="0" w:after="0" w:afterAutospacing="0"/>
              <w:ind w:left="0" w:right="0"/>
              <w:jc w:val="center"/>
              <w:textAlignment w:val="center"/>
              <w:rPr>
                <w:rFonts w:hint="eastAsia" w:ascii="Times New Roman" w:hAnsi="Times New Roman" w:cs="Times New Roman" w:eastAsiaTheme="minorEastAsia"/>
                <w:color w:val="auto"/>
                <w:kern w:val="0"/>
                <w:sz w:val="22"/>
                <w:szCs w:val="22"/>
                <w:highlight w:val="none"/>
                <w:lang w:val="en-US" w:eastAsia="zh-CN"/>
              </w:rPr>
            </w:pPr>
            <w:r>
              <w:rPr>
                <w:rFonts w:hint="eastAsia" w:ascii="宋体" w:hAnsi="宋体" w:eastAsia="宋体" w:cs="宋体"/>
                <w:i w:val="0"/>
                <w:iCs w:val="0"/>
                <w:color w:val="000000"/>
                <w:kern w:val="0"/>
                <w:sz w:val="22"/>
                <w:szCs w:val="22"/>
                <w:u w:val="none"/>
                <w:lang w:val="en-US" w:eastAsia="zh-CN" w:bidi="ar"/>
              </w:rPr>
              <w:t>0.1</w:t>
            </w:r>
          </w:p>
        </w:tc>
        <w:tc>
          <w:tcPr>
            <w:tcW w:w="925" w:type="dxa"/>
            <w:tcBorders>
              <w:top w:val="nil"/>
              <w:left w:val="nil"/>
              <w:bottom w:val="single" w:color="auto" w:sz="4" w:space="0"/>
              <w:right w:val="single" w:color="auto" w:sz="4" w:space="0"/>
            </w:tcBorders>
            <w:vAlign w:val="bottom"/>
          </w:tcPr>
          <w:p w14:paraId="37B701DA">
            <w:pPr>
              <w:keepNext w:val="0"/>
              <w:keepLines w:val="0"/>
              <w:widowControl/>
              <w:suppressLineNumbers w:val="0"/>
              <w:spacing w:before="0" w:beforeAutospacing="0" w:after="0" w:afterAutospacing="0"/>
              <w:ind w:left="0" w:right="0"/>
              <w:jc w:val="center"/>
              <w:textAlignment w:val="bottom"/>
              <w:rPr>
                <w:rFonts w:hint="default" w:ascii="Times New Roman" w:hAnsi="Times New Roman" w:cs="Times New Roman" w:eastAsiaTheme="minorEastAsia"/>
                <w:color w:val="auto"/>
                <w:kern w:val="0"/>
                <w:sz w:val="22"/>
                <w:szCs w:val="22"/>
                <w:highlight w:val="none"/>
                <w:lang w:val="en-US" w:eastAsia="zh-CN"/>
              </w:rPr>
            </w:pPr>
            <w:r>
              <w:rPr>
                <w:rFonts w:hint="eastAsia" w:ascii="宋体" w:hAnsi="宋体" w:eastAsia="宋体" w:cs="宋体"/>
                <w:i w:val="0"/>
                <w:iCs w:val="0"/>
                <w:color w:val="000000"/>
                <w:kern w:val="0"/>
                <w:sz w:val="22"/>
                <w:szCs w:val="22"/>
                <w:u w:val="none"/>
                <w:lang w:val="en-US" w:eastAsia="zh-CN" w:bidi="ar"/>
              </w:rPr>
              <w:t>0.0161</w:t>
            </w:r>
          </w:p>
        </w:tc>
        <w:tc>
          <w:tcPr>
            <w:tcW w:w="776" w:type="dxa"/>
            <w:tcBorders>
              <w:top w:val="nil"/>
              <w:left w:val="nil"/>
              <w:bottom w:val="single" w:color="auto" w:sz="4" w:space="0"/>
              <w:right w:val="single" w:color="auto" w:sz="4" w:space="0"/>
            </w:tcBorders>
            <w:vAlign w:val="bottom"/>
          </w:tcPr>
          <w:p w14:paraId="5CDEF052">
            <w:pPr>
              <w:keepNext w:val="0"/>
              <w:keepLines w:val="0"/>
              <w:suppressLineNumbers w:val="0"/>
              <w:spacing w:before="0" w:beforeAutospacing="0" w:after="0" w:afterAutospacing="0"/>
              <w:ind w:left="0" w:right="0"/>
              <w:jc w:val="center"/>
              <w:rPr>
                <w:rFonts w:hint="eastAsia" w:ascii="Times New Roman" w:hAnsi="Times New Roman" w:cs="Times New Roman" w:eastAsiaTheme="minorEastAsia"/>
                <w:color w:val="auto"/>
                <w:kern w:val="0"/>
                <w:sz w:val="22"/>
                <w:szCs w:val="22"/>
                <w:highlight w:val="none"/>
                <w:lang w:val="en-US" w:eastAsia="zh-CN"/>
              </w:rPr>
            </w:pPr>
          </w:p>
        </w:tc>
        <w:tc>
          <w:tcPr>
            <w:tcW w:w="708" w:type="dxa"/>
            <w:tcBorders>
              <w:top w:val="nil"/>
              <w:left w:val="nil"/>
              <w:bottom w:val="single" w:color="auto" w:sz="4" w:space="0"/>
              <w:right w:val="single" w:color="auto" w:sz="4" w:space="0"/>
            </w:tcBorders>
            <w:vAlign w:val="bottom"/>
          </w:tcPr>
          <w:p w14:paraId="242D0376">
            <w:pPr>
              <w:keepNext w:val="0"/>
              <w:keepLines w:val="0"/>
              <w:suppressLineNumbers w:val="0"/>
              <w:spacing w:before="0" w:beforeAutospacing="0" w:after="0" w:afterAutospacing="0"/>
              <w:ind w:left="0" w:right="0"/>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bottom"/>
          </w:tcPr>
          <w:p w14:paraId="17544CBA">
            <w:pPr>
              <w:keepNext w:val="0"/>
              <w:keepLines w:val="0"/>
              <w:suppressLineNumbers w:val="0"/>
              <w:spacing w:before="0" w:beforeAutospacing="0" w:after="0" w:afterAutospacing="0"/>
              <w:ind w:left="0" w:right="0"/>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bottom"/>
          </w:tcPr>
          <w:p w14:paraId="3BC15E14">
            <w:pPr>
              <w:keepNext w:val="0"/>
              <w:keepLines w:val="0"/>
              <w:suppressLineNumbers w:val="0"/>
              <w:spacing w:before="0" w:beforeAutospacing="0" w:after="0" w:afterAutospacing="0"/>
              <w:ind w:left="0" w:right="0"/>
              <w:jc w:val="center"/>
              <w:rPr>
                <w:rFonts w:hint="default" w:ascii="Times New Roman" w:hAnsi="Times New Roman" w:cs="Times New Roman"/>
                <w:color w:val="auto"/>
                <w:kern w:val="0"/>
                <w:sz w:val="22"/>
                <w:szCs w:val="22"/>
                <w:highlight w:val="none"/>
              </w:rPr>
            </w:pPr>
          </w:p>
        </w:tc>
        <w:tc>
          <w:tcPr>
            <w:tcW w:w="1450" w:type="dxa"/>
            <w:tcBorders>
              <w:top w:val="nil"/>
              <w:left w:val="nil"/>
              <w:bottom w:val="single" w:color="auto" w:sz="4" w:space="0"/>
              <w:right w:val="single" w:color="auto" w:sz="4" w:space="0"/>
            </w:tcBorders>
            <w:vAlign w:val="center"/>
          </w:tcPr>
          <w:p w14:paraId="47D76BF5">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color w:val="auto"/>
                <w:kern w:val="0"/>
                <w:sz w:val="22"/>
                <w:szCs w:val="22"/>
                <w:highlight w:val="none"/>
                <w:lang w:val="en-US" w:eastAsia="zh-CN"/>
              </w:rPr>
            </w:pPr>
            <w:r>
              <w:rPr>
                <w:rFonts w:hint="eastAsia" w:ascii="宋体" w:hAnsi="宋体" w:eastAsia="宋体" w:cs="宋体"/>
                <w:i w:val="0"/>
                <w:iCs w:val="0"/>
                <w:color w:val="000000"/>
                <w:kern w:val="0"/>
                <w:sz w:val="22"/>
                <w:szCs w:val="22"/>
                <w:u w:val="none"/>
                <w:lang w:val="en-US" w:eastAsia="zh-CN" w:bidi="ar"/>
              </w:rPr>
              <w:t xml:space="preserve">0.002 </w:t>
            </w:r>
          </w:p>
        </w:tc>
      </w:tr>
      <w:tr w14:paraId="7CD09E21">
        <w:tblPrEx>
          <w:tblCellMar>
            <w:top w:w="0" w:type="dxa"/>
            <w:left w:w="108" w:type="dxa"/>
            <w:bottom w:w="0" w:type="dxa"/>
            <w:right w:w="108" w:type="dxa"/>
          </w:tblCellMar>
        </w:tblPrEx>
        <w:trPr>
          <w:trHeight w:val="595" w:hRule="atLeast"/>
        </w:trPr>
        <w:tc>
          <w:tcPr>
            <w:tcW w:w="606" w:type="dxa"/>
            <w:tcBorders>
              <w:top w:val="nil"/>
              <w:left w:val="single" w:color="auto" w:sz="4" w:space="0"/>
              <w:bottom w:val="single" w:color="auto" w:sz="4" w:space="0"/>
              <w:right w:val="single" w:color="auto" w:sz="4" w:space="0"/>
            </w:tcBorders>
            <w:vAlign w:val="center"/>
          </w:tcPr>
          <w:p w14:paraId="65D2971E">
            <w:pPr>
              <w:keepNext w:val="0"/>
              <w:keepLines w:val="0"/>
              <w:suppressLineNumbers w:val="0"/>
              <w:tabs>
                <w:tab w:val="left" w:pos="3178"/>
              </w:tabs>
              <w:spacing w:before="0" w:beforeAutospacing="0" w:after="0" w:afterAutospacing="0" w:line="560" w:lineRule="exact"/>
              <w:ind w:left="0" w:right="0"/>
              <w:jc w:val="center"/>
              <w:rPr>
                <w:rFonts w:hint="default" w:ascii="Times New Roman" w:hAnsi="Times New Roman" w:cs="Times New Roman"/>
                <w:color w:val="auto"/>
                <w:kern w:val="0"/>
                <w:sz w:val="28"/>
                <w:szCs w:val="28"/>
                <w:highlight w:val="none"/>
              </w:rPr>
            </w:pPr>
            <w:r>
              <w:rPr>
                <w:rFonts w:hint="eastAsia" w:ascii="Times New Roman" w:hAnsi="Times New Roman" w:eastAsia="仿宋" w:cs="Times New Roman"/>
                <w:color w:val="auto"/>
                <w:sz w:val="32"/>
                <w:szCs w:val="32"/>
                <w:highlight w:val="none"/>
                <w:lang w:val="en-US" w:eastAsia="zh-CN"/>
              </w:rPr>
              <w:t>2</w:t>
            </w:r>
          </w:p>
        </w:tc>
        <w:tc>
          <w:tcPr>
            <w:tcW w:w="2953" w:type="dxa"/>
            <w:tcBorders>
              <w:top w:val="nil"/>
              <w:left w:val="nil"/>
              <w:bottom w:val="single" w:color="auto" w:sz="4" w:space="0"/>
              <w:right w:val="single" w:color="auto" w:sz="4" w:space="0"/>
            </w:tcBorders>
            <w:vAlign w:val="center"/>
          </w:tcPr>
          <w:p w14:paraId="17EF362E">
            <w:pPr>
              <w:keepNext w:val="0"/>
              <w:keepLines w:val="0"/>
              <w:widowControl/>
              <w:suppressLineNumbers w:val="0"/>
              <w:adjustRightInd w:val="0"/>
              <w:snapToGrid w:val="0"/>
              <w:spacing w:before="0" w:beforeAutospacing="0" w:after="0" w:afterAutospacing="0" w:line="610" w:lineRule="exact"/>
              <w:ind w:left="0" w:leftChars="0" w:right="0" w:rightChars="0"/>
              <w:jc w:val="center"/>
              <w:rPr>
                <w:rFonts w:hint="eastAsia" w:ascii="仿宋_GB2312" w:hAnsi="仿宋_GB2312" w:eastAsia="仿宋_GB2312" w:cs="仿宋_GB2312"/>
                <w:color w:val="auto"/>
                <w:kern w:val="0"/>
                <w:sz w:val="28"/>
                <w:szCs w:val="28"/>
                <w:highlight w:val="none"/>
              </w:rPr>
            </w:pPr>
            <w:r>
              <w:rPr>
                <w:rFonts w:hint="eastAsia" w:ascii="宋体" w:hAnsi="宋体" w:eastAsia="宋体" w:cs="宋体"/>
                <w:color w:val="000000"/>
                <w:kern w:val="0"/>
                <w:sz w:val="22"/>
                <w:szCs w:val="22"/>
              </w:rPr>
              <w:t>项目单位管理</w:t>
            </w:r>
          </w:p>
        </w:tc>
        <w:tc>
          <w:tcPr>
            <w:tcW w:w="851" w:type="dxa"/>
            <w:tcBorders>
              <w:top w:val="nil"/>
              <w:left w:val="nil"/>
              <w:bottom w:val="single" w:color="auto" w:sz="4" w:space="0"/>
              <w:right w:val="single" w:color="auto" w:sz="4" w:space="0"/>
            </w:tcBorders>
            <w:vAlign w:val="center"/>
          </w:tcPr>
          <w:p w14:paraId="206CEE37">
            <w:pPr>
              <w:keepNext w:val="0"/>
              <w:keepLines w:val="0"/>
              <w:widowControl/>
              <w:suppressLineNumbers w:val="0"/>
              <w:spacing w:before="0" w:beforeAutospacing="0" w:after="0" w:afterAutospacing="0"/>
              <w:ind w:left="0" w:right="0"/>
              <w:jc w:val="center"/>
              <w:textAlignment w:val="center"/>
              <w:rPr>
                <w:rFonts w:hint="eastAsia" w:ascii="Times New Roman" w:hAnsi="Times New Roman" w:cs="Times New Roman" w:eastAsiaTheme="minorEastAsia"/>
                <w:color w:val="auto"/>
                <w:kern w:val="0"/>
                <w:sz w:val="22"/>
                <w:szCs w:val="22"/>
                <w:highlight w:val="none"/>
                <w:lang w:val="en-US" w:eastAsia="zh-CN"/>
              </w:rPr>
            </w:pPr>
            <w:r>
              <w:rPr>
                <w:rFonts w:hint="eastAsia" w:ascii="宋体" w:hAnsi="宋体" w:eastAsia="宋体" w:cs="宋体"/>
                <w:i w:val="0"/>
                <w:iCs w:val="0"/>
                <w:color w:val="000000"/>
                <w:kern w:val="0"/>
                <w:sz w:val="22"/>
                <w:szCs w:val="22"/>
                <w:u w:val="none"/>
                <w:lang w:val="en-US" w:eastAsia="zh-CN" w:bidi="ar"/>
              </w:rPr>
              <w:t>0.2</w:t>
            </w:r>
          </w:p>
        </w:tc>
        <w:tc>
          <w:tcPr>
            <w:tcW w:w="925" w:type="dxa"/>
            <w:tcBorders>
              <w:top w:val="nil"/>
              <w:left w:val="nil"/>
              <w:bottom w:val="single" w:color="auto" w:sz="4" w:space="0"/>
              <w:right w:val="single" w:color="auto" w:sz="4" w:space="0"/>
            </w:tcBorders>
            <w:vAlign w:val="bottom"/>
          </w:tcPr>
          <w:p w14:paraId="6E58EBE4">
            <w:pPr>
              <w:keepNext w:val="0"/>
              <w:keepLines w:val="0"/>
              <w:suppressLineNumbers w:val="0"/>
              <w:spacing w:before="0" w:beforeAutospacing="0" w:after="0" w:afterAutospacing="0"/>
              <w:ind w:left="0" w:right="0"/>
              <w:jc w:val="center"/>
              <w:rPr>
                <w:rFonts w:hint="default" w:ascii="Times New Roman" w:hAnsi="Times New Roman" w:cs="Times New Roman"/>
                <w:color w:val="auto"/>
                <w:kern w:val="0"/>
                <w:sz w:val="22"/>
                <w:szCs w:val="22"/>
                <w:highlight w:val="none"/>
              </w:rPr>
            </w:pPr>
          </w:p>
        </w:tc>
        <w:tc>
          <w:tcPr>
            <w:tcW w:w="776" w:type="dxa"/>
            <w:tcBorders>
              <w:top w:val="nil"/>
              <w:left w:val="nil"/>
              <w:bottom w:val="single" w:color="auto" w:sz="4" w:space="0"/>
              <w:right w:val="single" w:color="auto" w:sz="4" w:space="0"/>
            </w:tcBorders>
            <w:vAlign w:val="bottom"/>
          </w:tcPr>
          <w:p w14:paraId="3505CBA9">
            <w:pPr>
              <w:keepNext w:val="0"/>
              <w:keepLines w:val="0"/>
              <w:widowControl/>
              <w:suppressLineNumbers w:val="0"/>
              <w:spacing w:before="0" w:beforeAutospacing="0" w:after="0" w:afterAutospacing="0"/>
              <w:ind w:left="0" w:right="0"/>
              <w:jc w:val="center"/>
              <w:textAlignment w:val="bottom"/>
              <w:rPr>
                <w:rFonts w:hint="default" w:ascii="Times New Roman" w:hAnsi="Times New Roman" w:cs="Times New Roman" w:eastAsiaTheme="minorEastAsia"/>
                <w:color w:val="auto"/>
                <w:kern w:val="0"/>
                <w:sz w:val="22"/>
                <w:szCs w:val="22"/>
                <w:highlight w:val="none"/>
                <w:lang w:val="en-US" w:eastAsia="zh-CN"/>
              </w:rPr>
            </w:pPr>
            <w:r>
              <w:rPr>
                <w:rFonts w:hint="eastAsia" w:ascii="宋体" w:hAnsi="宋体" w:eastAsia="宋体" w:cs="宋体"/>
                <w:i w:val="0"/>
                <w:iCs w:val="0"/>
                <w:color w:val="000000"/>
                <w:kern w:val="0"/>
                <w:sz w:val="22"/>
                <w:szCs w:val="22"/>
                <w:u w:val="none"/>
                <w:lang w:val="en-US" w:eastAsia="zh-CN" w:bidi="ar"/>
              </w:rPr>
              <w:t>0.084</w:t>
            </w:r>
          </w:p>
        </w:tc>
        <w:tc>
          <w:tcPr>
            <w:tcW w:w="708" w:type="dxa"/>
            <w:tcBorders>
              <w:top w:val="nil"/>
              <w:left w:val="nil"/>
              <w:bottom w:val="single" w:color="auto" w:sz="4" w:space="0"/>
              <w:right w:val="single" w:color="auto" w:sz="4" w:space="0"/>
            </w:tcBorders>
            <w:vAlign w:val="bottom"/>
          </w:tcPr>
          <w:p w14:paraId="1A3BE0C4">
            <w:pPr>
              <w:keepNext w:val="0"/>
              <w:keepLines w:val="0"/>
              <w:suppressLineNumbers w:val="0"/>
              <w:spacing w:before="0" w:beforeAutospacing="0" w:after="0" w:afterAutospacing="0"/>
              <w:ind w:left="0" w:right="0"/>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bottom"/>
          </w:tcPr>
          <w:p w14:paraId="48D524A6">
            <w:pPr>
              <w:keepNext w:val="0"/>
              <w:keepLines w:val="0"/>
              <w:suppressLineNumbers w:val="0"/>
              <w:spacing w:before="0" w:beforeAutospacing="0" w:after="0" w:afterAutospacing="0"/>
              <w:ind w:left="0" w:right="0"/>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bottom"/>
          </w:tcPr>
          <w:p w14:paraId="0F87D261">
            <w:pPr>
              <w:keepNext w:val="0"/>
              <w:keepLines w:val="0"/>
              <w:suppressLineNumbers w:val="0"/>
              <w:spacing w:before="0" w:beforeAutospacing="0" w:after="0" w:afterAutospacing="0"/>
              <w:ind w:left="0" w:right="0"/>
              <w:jc w:val="center"/>
              <w:rPr>
                <w:rFonts w:hint="default" w:ascii="Times New Roman" w:hAnsi="Times New Roman" w:cs="Times New Roman"/>
                <w:color w:val="auto"/>
                <w:kern w:val="0"/>
                <w:sz w:val="22"/>
                <w:szCs w:val="22"/>
                <w:highlight w:val="none"/>
              </w:rPr>
            </w:pPr>
          </w:p>
        </w:tc>
        <w:tc>
          <w:tcPr>
            <w:tcW w:w="1450" w:type="dxa"/>
            <w:tcBorders>
              <w:top w:val="nil"/>
              <w:left w:val="nil"/>
              <w:bottom w:val="single" w:color="auto" w:sz="4" w:space="0"/>
              <w:right w:val="single" w:color="auto" w:sz="4" w:space="0"/>
            </w:tcBorders>
            <w:vAlign w:val="center"/>
          </w:tcPr>
          <w:p w14:paraId="397183BF">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color w:val="auto"/>
                <w:kern w:val="0"/>
                <w:sz w:val="22"/>
                <w:szCs w:val="22"/>
                <w:highlight w:val="none"/>
                <w:lang w:val="en-US" w:eastAsia="zh-CN"/>
              </w:rPr>
            </w:pPr>
            <w:r>
              <w:rPr>
                <w:rFonts w:hint="eastAsia" w:ascii="宋体" w:hAnsi="宋体" w:eastAsia="宋体" w:cs="宋体"/>
                <w:i w:val="0"/>
                <w:iCs w:val="0"/>
                <w:color w:val="000000"/>
                <w:kern w:val="0"/>
                <w:sz w:val="22"/>
                <w:szCs w:val="22"/>
                <w:u w:val="none"/>
                <w:lang w:val="en-US" w:eastAsia="zh-CN" w:bidi="ar"/>
              </w:rPr>
              <w:t xml:space="preserve">0.017 </w:t>
            </w:r>
          </w:p>
        </w:tc>
      </w:tr>
      <w:tr w14:paraId="4754A507">
        <w:tblPrEx>
          <w:tblCellMar>
            <w:top w:w="0" w:type="dxa"/>
            <w:left w:w="108" w:type="dxa"/>
            <w:bottom w:w="0" w:type="dxa"/>
            <w:right w:w="108" w:type="dxa"/>
          </w:tblCellMar>
        </w:tblPrEx>
        <w:trPr>
          <w:trHeight w:val="570" w:hRule="atLeast"/>
        </w:trPr>
        <w:tc>
          <w:tcPr>
            <w:tcW w:w="606" w:type="dxa"/>
            <w:tcBorders>
              <w:top w:val="nil"/>
              <w:left w:val="single" w:color="auto" w:sz="4" w:space="0"/>
              <w:bottom w:val="single" w:color="auto" w:sz="4" w:space="0"/>
              <w:right w:val="single" w:color="auto" w:sz="4" w:space="0"/>
            </w:tcBorders>
            <w:vAlign w:val="center"/>
          </w:tcPr>
          <w:p w14:paraId="698F27EB">
            <w:pPr>
              <w:keepNext w:val="0"/>
              <w:keepLines w:val="0"/>
              <w:suppressLineNumbers w:val="0"/>
              <w:tabs>
                <w:tab w:val="left" w:pos="3178"/>
              </w:tabs>
              <w:spacing w:before="0" w:beforeAutospacing="0" w:after="0" w:afterAutospacing="0" w:line="560" w:lineRule="exact"/>
              <w:ind w:left="0" w:right="0"/>
              <w:jc w:val="center"/>
              <w:rPr>
                <w:rFonts w:hint="eastAsia" w:ascii="Times New Roman" w:hAnsi="Times New Roman" w:cs="Times New Roman" w:eastAsiaTheme="minorEastAsia"/>
                <w:color w:val="auto"/>
                <w:kern w:val="0"/>
                <w:sz w:val="28"/>
                <w:szCs w:val="28"/>
                <w:highlight w:val="none"/>
                <w:lang w:val="en-US" w:eastAsia="zh-CN"/>
              </w:rPr>
            </w:pPr>
            <w:r>
              <w:rPr>
                <w:rFonts w:hint="eastAsia" w:ascii="Times New Roman" w:hAnsi="Times New Roman" w:eastAsia="仿宋" w:cs="Times New Roman"/>
                <w:color w:val="auto"/>
                <w:sz w:val="32"/>
                <w:szCs w:val="32"/>
                <w:highlight w:val="none"/>
                <w:lang w:val="en-US" w:eastAsia="zh-CN"/>
              </w:rPr>
              <w:t>3</w:t>
            </w:r>
          </w:p>
        </w:tc>
        <w:tc>
          <w:tcPr>
            <w:tcW w:w="2953" w:type="dxa"/>
            <w:tcBorders>
              <w:top w:val="nil"/>
              <w:left w:val="nil"/>
              <w:bottom w:val="single" w:color="auto" w:sz="4" w:space="0"/>
              <w:right w:val="single" w:color="auto" w:sz="4" w:space="0"/>
            </w:tcBorders>
            <w:vAlign w:val="center"/>
          </w:tcPr>
          <w:p w14:paraId="65720297">
            <w:pPr>
              <w:keepNext w:val="0"/>
              <w:keepLines w:val="0"/>
              <w:widowControl/>
              <w:suppressLineNumbers w:val="0"/>
              <w:adjustRightInd w:val="0"/>
              <w:snapToGrid w:val="0"/>
              <w:spacing w:before="0" w:beforeAutospacing="0" w:after="0" w:afterAutospacing="0" w:line="610" w:lineRule="exact"/>
              <w:ind w:left="0" w:leftChars="0" w:right="0" w:rightChars="0"/>
              <w:jc w:val="center"/>
              <w:rPr>
                <w:rFonts w:hint="eastAsia" w:ascii="仿宋_GB2312" w:hAnsi="仿宋_GB2312" w:eastAsia="仿宋_GB2312" w:cs="仿宋_GB2312"/>
                <w:color w:val="auto"/>
                <w:kern w:val="0"/>
                <w:sz w:val="28"/>
                <w:szCs w:val="28"/>
                <w:highlight w:val="none"/>
              </w:rPr>
            </w:pPr>
            <w:r>
              <w:rPr>
                <w:rFonts w:hint="eastAsia" w:ascii="宋体" w:hAnsi="宋体" w:cs="宋体"/>
                <w:color w:val="000000"/>
                <w:kern w:val="0"/>
                <w:sz w:val="22"/>
                <w:szCs w:val="22"/>
              </w:rPr>
              <w:t>文明施工、安全质量管</w:t>
            </w:r>
            <w:r>
              <w:rPr>
                <w:rFonts w:hint="eastAsia" w:ascii="宋体" w:hAnsi="宋体" w:cs="宋体"/>
                <w:color w:val="000000"/>
                <w:kern w:val="0"/>
                <w:sz w:val="22"/>
                <w:szCs w:val="22"/>
                <w:lang w:val="en-US" w:eastAsia="zh-CN"/>
              </w:rPr>
              <w:t>理</w:t>
            </w:r>
          </w:p>
        </w:tc>
        <w:tc>
          <w:tcPr>
            <w:tcW w:w="851" w:type="dxa"/>
            <w:tcBorders>
              <w:top w:val="nil"/>
              <w:left w:val="nil"/>
              <w:bottom w:val="single" w:color="auto" w:sz="4" w:space="0"/>
              <w:right w:val="single" w:color="auto" w:sz="4" w:space="0"/>
            </w:tcBorders>
            <w:vAlign w:val="center"/>
          </w:tcPr>
          <w:p w14:paraId="35288D70">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color w:val="auto"/>
                <w:kern w:val="0"/>
                <w:sz w:val="22"/>
                <w:szCs w:val="22"/>
                <w:highlight w:val="none"/>
                <w:lang w:val="en-US" w:eastAsia="zh-CN"/>
              </w:rPr>
            </w:pPr>
            <w:r>
              <w:rPr>
                <w:rFonts w:hint="eastAsia" w:ascii="宋体" w:hAnsi="宋体" w:eastAsia="宋体" w:cs="宋体"/>
                <w:i w:val="0"/>
                <w:iCs w:val="0"/>
                <w:color w:val="000000"/>
                <w:kern w:val="0"/>
                <w:sz w:val="22"/>
                <w:szCs w:val="22"/>
                <w:u w:val="none"/>
                <w:lang w:val="en-US" w:eastAsia="zh-CN" w:bidi="ar"/>
              </w:rPr>
              <w:t>0.3</w:t>
            </w:r>
          </w:p>
        </w:tc>
        <w:tc>
          <w:tcPr>
            <w:tcW w:w="925" w:type="dxa"/>
            <w:tcBorders>
              <w:top w:val="nil"/>
              <w:left w:val="nil"/>
              <w:bottom w:val="single" w:color="auto" w:sz="4" w:space="0"/>
              <w:right w:val="single" w:color="auto" w:sz="4" w:space="0"/>
            </w:tcBorders>
            <w:vAlign w:val="bottom"/>
          </w:tcPr>
          <w:p w14:paraId="5B4A7D5B">
            <w:pPr>
              <w:keepNext w:val="0"/>
              <w:keepLines w:val="0"/>
              <w:suppressLineNumbers w:val="0"/>
              <w:spacing w:before="0" w:beforeAutospacing="0" w:after="0" w:afterAutospacing="0"/>
              <w:ind w:left="0" w:right="0"/>
              <w:jc w:val="center"/>
              <w:rPr>
                <w:rFonts w:hint="eastAsia" w:ascii="Times New Roman" w:hAnsi="Times New Roman" w:cs="Times New Roman" w:eastAsiaTheme="minorEastAsia"/>
                <w:color w:val="auto"/>
                <w:kern w:val="0"/>
                <w:sz w:val="22"/>
                <w:szCs w:val="22"/>
                <w:highlight w:val="none"/>
                <w:lang w:val="en-US" w:eastAsia="zh-CN"/>
              </w:rPr>
            </w:pPr>
          </w:p>
        </w:tc>
        <w:tc>
          <w:tcPr>
            <w:tcW w:w="776" w:type="dxa"/>
            <w:tcBorders>
              <w:top w:val="nil"/>
              <w:left w:val="nil"/>
              <w:bottom w:val="single" w:color="auto" w:sz="4" w:space="0"/>
              <w:right w:val="single" w:color="auto" w:sz="4" w:space="0"/>
            </w:tcBorders>
            <w:vAlign w:val="bottom"/>
          </w:tcPr>
          <w:p w14:paraId="25F29319">
            <w:pPr>
              <w:keepNext w:val="0"/>
              <w:keepLines w:val="0"/>
              <w:widowControl/>
              <w:suppressLineNumbers w:val="0"/>
              <w:spacing w:before="0" w:beforeAutospacing="0" w:after="0" w:afterAutospacing="0"/>
              <w:ind w:left="0" w:right="0"/>
              <w:jc w:val="center"/>
              <w:textAlignment w:val="bottom"/>
              <w:rPr>
                <w:rFonts w:hint="default" w:ascii="Times New Roman" w:hAnsi="Times New Roman" w:cs="Times New Roman" w:eastAsiaTheme="minorEastAsia"/>
                <w:color w:val="auto"/>
                <w:kern w:val="0"/>
                <w:sz w:val="22"/>
                <w:szCs w:val="22"/>
                <w:highlight w:val="none"/>
                <w:lang w:val="en-US" w:eastAsia="zh-CN"/>
              </w:rPr>
            </w:pPr>
            <w:r>
              <w:rPr>
                <w:rFonts w:hint="eastAsia" w:ascii="宋体" w:hAnsi="宋体" w:eastAsia="宋体" w:cs="宋体"/>
                <w:i w:val="0"/>
                <w:iCs w:val="0"/>
                <w:color w:val="000000"/>
                <w:kern w:val="0"/>
                <w:sz w:val="22"/>
                <w:szCs w:val="22"/>
                <w:u w:val="none"/>
                <w:lang w:val="en-US" w:eastAsia="zh-CN" w:bidi="ar"/>
              </w:rPr>
              <w:t>0.08</w:t>
            </w:r>
          </w:p>
        </w:tc>
        <w:tc>
          <w:tcPr>
            <w:tcW w:w="708" w:type="dxa"/>
            <w:tcBorders>
              <w:top w:val="nil"/>
              <w:left w:val="nil"/>
              <w:bottom w:val="single" w:color="auto" w:sz="4" w:space="0"/>
              <w:right w:val="single" w:color="auto" w:sz="4" w:space="0"/>
            </w:tcBorders>
            <w:vAlign w:val="bottom"/>
          </w:tcPr>
          <w:p w14:paraId="0A548C8D">
            <w:pPr>
              <w:keepNext w:val="0"/>
              <w:keepLines w:val="0"/>
              <w:suppressLineNumbers w:val="0"/>
              <w:spacing w:before="0" w:beforeAutospacing="0" w:after="0" w:afterAutospacing="0"/>
              <w:ind w:left="0" w:right="0"/>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bottom"/>
          </w:tcPr>
          <w:p w14:paraId="3A029A83">
            <w:pPr>
              <w:keepNext w:val="0"/>
              <w:keepLines w:val="0"/>
              <w:suppressLineNumbers w:val="0"/>
              <w:spacing w:before="0" w:beforeAutospacing="0" w:after="0" w:afterAutospacing="0"/>
              <w:ind w:left="0" w:right="0"/>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bottom"/>
          </w:tcPr>
          <w:p w14:paraId="06921E57">
            <w:pPr>
              <w:keepNext w:val="0"/>
              <w:keepLines w:val="0"/>
              <w:suppressLineNumbers w:val="0"/>
              <w:spacing w:before="0" w:beforeAutospacing="0" w:after="0" w:afterAutospacing="0"/>
              <w:ind w:left="0" w:right="0"/>
              <w:jc w:val="center"/>
              <w:rPr>
                <w:rFonts w:hint="default" w:ascii="Times New Roman" w:hAnsi="Times New Roman" w:cs="Times New Roman"/>
                <w:color w:val="auto"/>
                <w:kern w:val="0"/>
                <w:sz w:val="22"/>
                <w:szCs w:val="22"/>
                <w:highlight w:val="none"/>
              </w:rPr>
            </w:pPr>
          </w:p>
        </w:tc>
        <w:tc>
          <w:tcPr>
            <w:tcW w:w="1450" w:type="dxa"/>
            <w:tcBorders>
              <w:top w:val="nil"/>
              <w:left w:val="nil"/>
              <w:bottom w:val="single" w:color="auto" w:sz="4" w:space="0"/>
              <w:right w:val="single" w:color="auto" w:sz="4" w:space="0"/>
            </w:tcBorders>
            <w:vAlign w:val="center"/>
          </w:tcPr>
          <w:p w14:paraId="383C164E">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color w:val="auto"/>
                <w:kern w:val="0"/>
                <w:sz w:val="22"/>
                <w:szCs w:val="22"/>
                <w:highlight w:val="none"/>
                <w:lang w:val="en-US" w:eastAsia="zh-CN"/>
              </w:rPr>
            </w:pPr>
            <w:r>
              <w:rPr>
                <w:rFonts w:hint="eastAsia" w:ascii="宋体" w:hAnsi="宋体" w:eastAsia="宋体" w:cs="宋体"/>
                <w:i w:val="0"/>
                <w:iCs w:val="0"/>
                <w:color w:val="000000"/>
                <w:kern w:val="0"/>
                <w:sz w:val="22"/>
                <w:szCs w:val="22"/>
                <w:u w:val="none"/>
                <w:lang w:val="en-US" w:eastAsia="zh-CN" w:bidi="ar"/>
              </w:rPr>
              <w:t xml:space="preserve">0.024 </w:t>
            </w:r>
          </w:p>
        </w:tc>
      </w:tr>
      <w:tr w14:paraId="6C2CD5CA">
        <w:tblPrEx>
          <w:tblCellMar>
            <w:top w:w="0" w:type="dxa"/>
            <w:left w:w="108" w:type="dxa"/>
            <w:bottom w:w="0" w:type="dxa"/>
            <w:right w:w="108" w:type="dxa"/>
          </w:tblCellMar>
        </w:tblPrEx>
        <w:trPr>
          <w:trHeight w:val="570" w:hRule="atLeast"/>
        </w:trPr>
        <w:tc>
          <w:tcPr>
            <w:tcW w:w="606" w:type="dxa"/>
            <w:tcBorders>
              <w:top w:val="nil"/>
              <w:left w:val="single" w:color="auto" w:sz="4" w:space="0"/>
              <w:bottom w:val="single" w:color="auto" w:sz="4" w:space="0"/>
              <w:right w:val="single" w:color="auto" w:sz="4" w:space="0"/>
            </w:tcBorders>
            <w:vAlign w:val="center"/>
          </w:tcPr>
          <w:p w14:paraId="23A5DB08">
            <w:pPr>
              <w:keepNext w:val="0"/>
              <w:keepLines w:val="0"/>
              <w:suppressLineNumbers w:val="0"/>
              <w:tabs>
                <w:tab w:val="left" w:pos="3178"/>
              </w:tabs>
              <w:spacing w:before="0" w:beforeAutospacing="0" w:after="0" w:afterAutospacing="0" w:line="560" w:lineRule="exact"/>
              <w:ind w:left="0" w:right="0"/>
              <w:jc w:val="center"/>
              <w:rPr>
                <w:rFonts w:hint="eastAsia" w:ascii="Times New Roman" w:hAnsi="Times New Roman" w:cs="Times New Roman" w:eastAsiaTheme="minorEastAsia"/>
                <w:color w:val="auto"/>
                <w:kern w:val="0"/>
                <w:sz w:val="28"/>
                <w:szCs w:val="28"/>
                <w:highlight w:val="none"/>
                <w:lang w:val="en-US" w:eastAsia="zh-CN"/>
              </w:rPr>
            </w:pPr>
            <w:r>
              <w:rPr>
                <w:rFonts w:hint="eastAsia" w:ascii="Times New Roman" w:hAnsi="Times New Roman" w:eastAsia="仿宋" w:cs="Times New Roman"/>
                <w:color w:val="auto"/>
                <w:sz w:val="32"/>
                <w:szCs w:val="32"/>
                <w:highlight w:val="none"/>
                <w:lang w:val="en-US" w:eastAsia="zh-CN"/>
              </w:rPr>
              <w:t>4</w:t>
            </w:r>
          </w:p>
        </w:tc>
        <w:tc>
          <w:tcPr>
            <w:tcW w:w="2953" w:type="dxa"/>
            <w:tcBorders>
              <w:top w:val="nil"/>
              <w:left w:val="nil"/>
              <w:bottom w:val="single" w:color="auto" w:sz="4" w:space="0"/>
              <w:right w:val="single" w:color="auto" w:sz="4" w:space="0"/>
            </w:tcBorders>
            <w:vAlign w:val="center"/>
          </w:tcPr>
          <w:p w14:paraId="5849B5DB">
            <w:pPr>
              <w:keepNext w:val="0"/>
              <w:keepLines w:val="0"/>
              <w:widowControl/>
              <w:suppressLineNumbers w:val="0"/>
              <w:adjustRightInd w:val="0"/>
              <w:snapToGrid w:val="0"/>
              <w:spacing w:before="0" w:beforeAutospacing="0" w:after="0" w:afterAutospacing="0" w:line="610" w:lineRule="exact"/>
              <w:ind w:left="0" w:leftChars="0" w:right="0" w:rightChars="0"/>
              <w:jc w:val="center"/>
              <w:rPr>
                <w:rFonts w:hint="eastAsia" w:ascii="仿宋_GB2312" w:hAnsi="仿宋_GB2312" w:eastAsia="仿宋_GB2312" w:cs="仿宋_GB2312"/>
                <w:color w:val="auto"/>
                <w:kern w:val="0"/>
                <w:sz w:val="28"/>
                <w:szCs w:val="28"/>
                <w:highlight w:val="none"/>
              </w:rPr>
            </w:pPr>
            <w:r>
              <w:rPr>
                <w:rFonts w:hint="eastAsia" w:ascii="宋体" w:hAnsi="宋体" w:cs="宋体"/>
                <w:color w:val="000000"/>
                <w:kern w:val="0"/>
                <w:sz w:val="22"/>
                <w:szCs w:val="22"/>
              </w:rPr>
              <w:t>社会治安和公共安全</w:t>
            </w:r>
          </w:p>
        </w:tc>
        <w:tc>
          <w:tcPr>
            <w:tcW w:w="851" w:type="dxa"/>
            <w:tcBorders>
              <w:top w:val="nil"/>
              <w:left w:val="nil"/>
              <w:bottom w:val="single" w:color="auto" w:sz="4" w:space="0"/>
              <w:right w:val="single" w:color="auto" w:sz="4" w:space="0"/>
            </w:tcBorders>
            <w:vAlign w:val="center"/>
          </w:tcPr>
          <w:p w14:paraId="536F8D4D">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color w:val="auto"/>
                <w:kern w:val="0"/>
                <w:sz w:val="22"/>
                <w:szCs w:val="22"/>
                <w:highlight w:val="none"/>
                <w:lang w:val="en-US" w:eastAsia="zh-CN"/>
              </w:rPr>
            </w:pPr>
            <w:r>
              <w:rPr>
                <w:rFonts w:hint="eastAsia" w:ascii="宋体" w:hAnsi="宋体" w:eastAsia="宋体" w:cs="宋体"/>
                <w:i w:val="0"/>
                <w:iCs w:val="0"/>
                <w:color w:val="000000"/>
                <w:kern w:val="0"/>
                <w:sz w:val="22"/>
                <w:szCs w:val="22"/>
                <w:u w:val="none"/>
                <w:lang w:val="en-US" w:eastAsia="zh-CN" w:bidi="ar"/>
              </w:rPr>
              <w:t>0.2</w:t>
            </w:r>
          </w:p>
        </w:tc>
        <w:tc>
          <w:tcPr>
            <w:tcW w:w="925" w:type="dxa"/>
            <w:tcBorders>
              <w:top w:val="nil"/>
              <w:left w:val="nil"/>
              <w:bottom w:val="single" w:color="auto" w:sz="4" w:space="0"/>
              <w:right w:val="single" w:color="auto" w:sz="4" w:space="0"/>
            </w:tcBorders>
            <w:vAlign w:val="bottom"/>
          </w:tcPr>
          <w:p w14:paraId="5C85BA16">
            <w:pPr>
              <w:keepNext w:val="0"/>
              <w:keepLines w:val="0"/>
              <w:widowControl/>
              <w:suppressLineNumbers w:val="0"/>
              <w:spacing w:before="0" w:beforeAutospacing="0" w:after="0" w:afterAutospacing="0"/>
              <w:ind w:left="0" w:right="0"/>
              <w:jc w:val="center"/>
              <w:textAlignment w:val="bottom"/>
              <w:rPr>
                <w:rFonts w:hint="default" w:ascii="Times New Roman" w:hAnsi="Times New Roman" w:cs="Times New Roman"/>
                <w:color w:val="auto"/>
                <w:kern w:val="0"/>
                <w:sz w:val="22"/>
                <w:szCs w:val="22"/>
                <w:highlight w:val="none"/>
              </w:rPr>
            </w:pPr>
            <w:r>
              <w:rPr>
                <w:rFonts w:hint="eastAsia" w:ascii="宋体" w:hAnsi="宋体" w:eastAsia="宋体" w:cs="宋体"/>
                <w:i w:val="0"/>
                <w:iCs w:val="0"/>
                <w:color w:val="000000"/>
                <w:kern w:val="0"/>
                <w:sz w:val="22"/>
                <w:szCs w:val="22"/>
                <w:u w:val="none"/>
                <w:lang w:val="en-US" w:eastAsia="zh-CN" w:bidi="ar"/>
              </w:rPr>
              <w:t>0.024</w:t>
            </w:r>
          </w:p>
        </w:tc>
        <w:tc>
          <w:tcPr>
            <w:tcW w:w="776" w:type="dxa"/>
            <w:tcBorders>
              <w:top w:val="nil"/>
              <w:left w:val="nil"/>
              <w:bottom w:val="single" w:color="auto" w:sz="4" w:space="0"/>
              <w:right w:val="single" w:color="auto" w:sz="4" w:space="0"/>
            </w:tcBorders>
            <w:vAlign w:val="bottom"/>
          </w:tcPr>
          <w:p w14:paraId="2A655920">
            <w:pPr>
              <w:keepNext w:val="0"/>
              <w:keepLines w:val="0"/>
              <w:suppressLineNumbers w:val="0"/>
              <w:spacing w:before="0" w:beforeAutospacing="0" w:after="0" w:afterAutospacing="0"/>
              <w:ind w:left="0" w:right="0"/>
              <w:jc w:val="center"/>
              <w:rPr>
                <w:rFonts w:hint="default" w:ascii="Times New Roman" w:hAnsi="Times New Roman" w:cs="Times New Roman" w:eastAsiaTheme="minorEastAsia"/>
                <w:color w:val="auto"/>
                <w:kern w:val="0"/>
                <w:sz w:val="22"/>
                <w:szCs w:val="22"/>
                <w:highlight w:val="none"/>
                <w:lang w:val="en-US" w:eastAsia="zh-CN"/>
              </w:rPr>
            </w:pPr>
          </w:p>
        </w:tc>
        <w:tc>
          <w:tcPr>
            <w:tcW w:w="708" w:type="dxa"/>
            <w:tcBorders>
              <w:top w:val="nil"/>
              <w:left w:val="nil"/>
              <w:bottom w:val="single" w:color="auto" w:sz="4" w:space="0"/>
              <w:right w:val="single" w:color="auto" w:sz="4" w:space="0"/>
            </w:tcBorders>
            <w:vAlign w:val="bottom"/>
          </w:tcPr>
          <w:p w14:paraId="19DD4CE3">
            <w:pPr>
              <w:keepNext w:val="0"/>
              <w:keepLines w:val="0"/>
              <w:suppressLineNumbers w:val="0"/>
              <w:spacing w:before="0" w:beforeAutospacing="0" w:after="0" w:afterAutospacing="0"/>
              <w:ind w:left="0" w:right="0"/>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bottom"/>
          </w:tcPr>
          <w:p w14:paraId="606C2E8E">
            <w:pPr>
              <w:keepNext w:val="0"/>
              <w:keepLines w:val="0"/>
              <w:suppressLineNumbers w:val="0"/>
              <w:spacing w:before="0" w:beforeAutospacing="0" w:after="0" w:afterAutospacing="0"/>
              <w:ind w:left="0" w:right="0"/>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bottom"/>
          </w:tcPr>
          <w:p w14:paraId="7D6BE113">
            <w:pPr>
              <w:keepNext w:val="0"/>
              <w:keepLines w:val="0"/>
              <w:suppressLineNumbers w:val="0"/>
              <w:spacing w:before="0" w:beforeAutospacing="0" w:after="0" w:afterAutospacing="0"/>
              <w:ind w:left="0" w:right="0"/>
              <w:jc w:val="center"/>
              <w:rPr>
                <w:rFonts w:hint="default" w:ascii="Times New Roman" w:hAnsi="Times New Roman" w:cs="Times New Roman"/>
                <w:color w:val="auto"/>
                <w:kern w:val="0"/>
                <w:sz w:val="22"/>
                <w:szCs w:val="22"/>
                <w:highlight w:val="none"/>
              </w:rPr>
            </w:pPr>
          </w:p>
        </w:tc>
        <w:tc>
          <w:tcPr>
            <w:tcW w:w="1450" w:type="dxa"/>
            <w:tcBorders>
              <w:top w:val="nil"/>
              <w:left w:val="nil"/>
              <w:bottom w:val="single" w:color="auto" w:sz="4" w:space="0"/>
              <w:right w:val="single" w:color="auto" w:sz="4" w:space="0"/>
            </w:tcBorders>
            <w:vAlign w:val="center"/>
          </w:tcPr>
          <w:p w14:paraId="52D07DB6">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color w:val="auto"/>
                <w:kern w:val="0"/>
                <w:sz w:val="22"/>
                <w:szCs w:val="22"/>
                <w:highlight w:val="none"/>
                <w:lang w:val="en-US" w:eastAsia="zh-CN"/>
              </w:rPr>
            </w:pPr>
            <w:r>
              <w:rPr>
                <w:rFonts w:hint="eastAsia" w:ascii="宋体" w:hAnsi="宋体" w:eastAsia="宋体" w:cs="宋体"/>
                <w:i w:val="0"/>
                <w:iCs w:val="0"/>
                <w:color w:val="000000"/>
                <w:kern w:val="0"/>
                <w:sz w:val="22"/>
                <w:szCs w:val="22"/>
                <w:u w:val="none"/>
                <w:lang w:val="en-US" w:eastAsia="zh-CN" w:bidi="ar"/>
              </w:rPr>
              <w:t xml:space="preserve">0.005 </w:t>
            </w:r>
          </w:p>
        </w:tc>
      </w:tr>
      <w:tr w14:paraId="1EC4F699">
        <w:tblPrEx>
          <w:tblCellMar>
            <w:top w:w="0" w:type="dxa"/>
            <w:left w:w="108" w:type="dxa"/>
            <w:bottom w:w="0" w:type="dxa"/>
            <w:right w:w="108" w:type="dxa"/>
          </w:tblCellMar>
        </w:tblPrEx>
        <w:trPr>
          <w:trHeight w:val="570" w:hRule="atLeast"/>
        </w:trPr>
        <w:tc>
          <w:tcPr>
            <w:tcW w:w="606" w:type="dxa"/>
            <w:tcBorders>
              <w:top w:val="nil"/>
              <w:left w:val="single" w:color="auto" w:sz="4" w:space="0"/>
              <w:bottom w:val="single" w:color="auto" w:sz="4" w:space="0"/>
              <w:right w:val="single" w:color="auto" w:sz="4" w:space="0"/>
            </w:tcBorders>
            <w:vAlign w:val="center"/>
          </w:tcPr>
          <w:p w14:paraId="026DEF17">
            <w:pPr>
              <w:keepNext w:val="0"/>
              <w:keepLines w:val="0"/>
              <w:suppressLineNumbers w:val="0"/>
              <w:tabs>
                <w:tab w:val="left" w:pos="3178"/>
              </w:tabs>
              <w:spacing w:before="0" w:beforeAutospacing="0" w:after="0" w:afterAutospacing="0" w:line="560" w:lineRule="exact"/>
              <w:ind w:left="0" w:right="0"/>
              <w:jc w:val="center"/>
              <w:rPr>
                <w:rFonts w:hint="eastAsia" w:ascii="Times New Roman" w:hAnsi="Times New Roman" w:cs="Times New Roman"/>
                <w:color w:val="auto"/>
                <w:kern w:val="0"/>
                <w:sz w:val="28"/>
                <w:szCs w:val="28"/>
                <w:highlight w:val="none"/>
                <w:lang w:val="en-US" w:eastAsia="zh-CN"/>
              </w:rPr>
            </w:pPr>
            <w:r>
              <w:rPr>
                <w:rFonts w:hint="eastAsia" w:ascii="Times New Roman" w:hAnsi="Times New Roman" w:eastAsia="仿宋" w:cs="Times New Roman"/>
                <w:color w:val="auto"/>
                <w:sz w:val="32"/>
                <w:szCs w:val="32"/>
                <w:highlight w:val="none"/>
                <w:lang w:val="en-US" w:eastAsia="zh-CN"/>
              </w:rPr>
              <w:t>5</w:t>
            </w:r>
          </w:p>
        </w:tc>
        <w:tc>
          <w:tcPr>
            <w:tcW w:w="2953" w:type="dxa"/>
            <w:tcBorders>
              <w:top w:val="nil"/>
              <w:left w:val="nil"/>
              <w:bottom w:val="single" w:color="auto" w:sz="4" w:space="0"/>
              <w:right w:val="single" w:color="auto" w:sz="4" w:space="0"/>
            </w:tcBorders>
            <w:vAlign w:val="center"/>
          </w:tcPr>
          <w:p w14:paraId="6E1F009E">
            <w:pPr>
              <w:keepNext w:val="0"/>
              <w:keepLines w:val="0"/>
              <w:widowControl/>
              <w:suppressLineNumbers w:val="0"/>
              <w:adjustRightInd w:val="0"/>
              <w:snapToGrid w:val="0"/>
              <w:spacing w:before="0" w:beforeAutospacing="0" w:after="0" w:afterAutospacing="0" w:line="610" w:lineRule="exact"/>
              <w:ind w:left="0" w:leftChars="0" w:right="0" w:rightChars="0"/>
              <w:jc w:val="center"/>
              <w:rPr>
                <w:rFonts w:hint="eastAsia" w:ascii="仿宋_GB2312" w:hAnsi="仿宋_GB2312" w:eastAsia="仿宋_GB2312" w:cs="仿宋_GB2312"/>
                <w:color w:val="auto"/>
                <w:kern w:val="0"/>
                <w:sz w:val="28"/>
                <w:szCs w:val="28"/>
                <w:highlight w:val="none"/>
              </w:rPr>
            </w:pPr>
            <w:r>
              <w:rPr>
                <w:rFonts w:hint="eastAsia" w:ascii="宋体" w:hAnsi="宋体" w:cs="宋体"/>
                <w:color w:val="000000"/>
                <w:kern w:val="0"/>
                <w:sz w:val="22"/>
                <w:szCs w:val="22"/>
              </w:rPr>
              <w:t>舆论导向及其影响</w:t>
            </w:r>
          </w:p>
        </w:tc>
        <w:tc>
          <w:tcPr>
            <w:tcW w:w="851" w:type="dxa"/>
            <w:tcBorders>
              <w:top w:val="nil"/>
              <w:left w:val="nil"/>
              <w:bottom w:val="single" w:color="auto" w:sz="4" w:space="0"/>
              <w:right w:val="single" w:color="auto" w:sz="4" w:space="0"/>
            </w:tcBorders>
            <w:vAlign w:val="center"/>
          </w:tcPr>
          <w:p w14:paraId="1C74A025">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color w:val="auto"/>
                <w:kern w:val="0"/>
                <w:sz w:val="22"/>
                <w:szCs w:val="22"/>
                <w:highlight w:val="none"/>
                <w:lang w:val="en-US" w:eastAsia="zh-CN"/>
              </w:rPr>
            </w:pPr>
            <w:r>
              <w:rPr>
                <w:rFonts w:hint="eastAsia" w:ascii="宋体" w:hAnsi="宋体" w:eastAsia="宋体" w:cs="宋体"/>
                <w:i w:val="0"/>
                <w:iCs w:val="0"/>
                <w:color w:val="000000"/>
                <w:kern w:val="0"/>
                <w:sz w:val="22"/>
                <w:szCs w:val="22"/>
                <w:u w:val="none"/>
                <w:lang w:val="en-US" w:eastAsia="zh-CN" w:bidi="ar"/>
              </w:rPr>
              <w:t>0.2</w:t>
            </w:r>
          </w:p>
        </w:tc>
        <w:tc>
          <w:tcPr>
            <w:tcW w:w="925" w:type="dxa"/>
            <w:tcBorders>
              <w:top w:val="nil"/>
              <w:left w:val="nil"/>
              <w:bottom w:val="single" w:color="auto" w:sz="4" w:space="0"/>
              <w:right w:val="single" w:color="auto" w:sz="4" w:space="0"/>
            </w:tcBorders>
            <w:vAlign w:val="bottom"/>
          </w:tcPr>
          <w:p w14:paraId="38569BB7">
            <w:pPr>
              <w:keepNext w:val="0"/>
              <w:keepLines w:val="0"/>
              <w:suppressLineNumbers w:val="0"/>
              <w:spacing w:before="0" w:beforeAutospacing="0" w:after="0" w:afterAutospacing="0"/>
              <w:ind w:left="0" w:right="0"/>
              <w:jc w:val="center"/>
              <w:rPr>
                <w:rFonts w:hint="default" w:ascii="Times New Roman" w:hAnsi="Times New Roman" w:cs="Times New Roman" w:eastAsiaTheme="minorEastAsia"/>
                <w:color w:val="auto"/>
                <w:kern w:val="0"/>
                <w:sz w:val="22"/>
                <w:szCs w:val="22"/>
                <w:highlight w:val="none"/>
                <w:lang w:val="en-US" w:eastAsia="zh-CN"/>
              </w:rPr>
            </w:pPr>
          </w:p>
        </w:tc>
        <w:tc>
          <w:tcPr>
            <w:tcW w:w="776" w:type="dxa"/>
            <w:tcBorders>
              <w:top w:val="nil"/>
              <w:left w:val="nil"/>
              <w:bottom w:val="single" w:color="auto" w:sz="4" w:space="0"/>
              <w:right w:val="single" w:color="auto" w:sz="4" w:space="0"/>
            </w:tcBorders>
            <w:vAlign w:val="bottom"/>
          </w:tcPr>
          <w:p w14:paraId="00D913F4">
            <w:pPr>
              <w:keepNext w:val="0"/>
              <w:keepLines w:val="0"/>
              <w:suppressLineNumbers w:val="0"/>
              <w:spacing w:before="0" w:beforeAutospacing="0" w:after="0" w:afterAutospacing="0"/>
              <w:ind w:left="0" w:right="0"/>
              <w:jc w:val="center"/>
              <w:rPr>
                <w:rFonts w:hint="eastAsia" w:ascii="Times New Roman" w:hAnsi="Times New Roman" w:cs="Times New Roman"/>
                <w:color w:val="auto"/>
                <w:kern w:val="0"/>
                <w:sz w:val="22"/>
                <w:szCs w:val="22"/>
                <w:highlight w:val="none"/>
                <w:lang w:val="en-US" w:eastAsia="zh-CN"/>
              </w:rPr>
            </w:pPr>
          </w:p>
        </w:tc>
        <w:tc>
          <w:tcPr>
            <w:tcW w:w="708" w:type="dxa"/>
            <w:tcBorders>
              <w:top w:val="nil"/>
              <w:left w:val="nil"/>
              <w:bottom w:val="single" w:color="auto" w:sz="4" w:space="0"/>
              <w:right w:val="single" w:color="auto" w:sz="4" w:space="0"/>
            </w:tcBorders>
            <w:vAlign w:val="bottom"/>
          </w:tcPr>
          <w:p w14:paraId="6EA6626A">
            <w:pPr>
              <w:keepNext w:val="0"/>
              <w:keepLines w:val="0"/>
              <w:widowControl/>
              <w:suppressLineNumbers w:val="0"/>
              <w:spacing w:before="0" w:beforeAutospacing="0" w:after="0" w:afterAutospacing="0"/>
              <w:ind w:left="0" w:right="0"/>
              <w:jc w:val="center"/>
              <w:textAlignment w:val="bottom"/>
              <w:rPr>
                <w:rFonts w:hint="eastAsia" w:ascii="Times New Roman" w:hAnsi="Times New Roman" w:eastAsia="宋体" w:cs="Times New Roman"/>
                <w:color w:val="auto"/>
                <w:kern w:val="0"/>
                <w:sz w:val="22"/>
                <w:szCs w:val="22"/>
                <w:highlight w:val="none"/>
                <w:lang w:eastAsia="zh-CN"/>
              </w:rPr>
            </w:pPr>
            <w:r>
              <w:rPr>
                <w:rFonts w:hint="eastAsia" w:ascii="宋体" w:hAnsi="宋体" w:eastAsia="宋体" w:cs="宋体"/>
                <w:i w:val="0"/>
                <w:iCs w:val="0"/>
                <w:color w:val="000000"/>
                <w:kern w:val="0"/>
                <w:sz w:val="22"/>
                <w:szCs w:val="22"/>
                <w:u w:val="none"/>
                <w:lang w:val="en-US" w:eastAsia="zh-CN" w:bidi="ar"/>
              </w:rPr>
              <w:t>0.26</w:t>
            </w:r>
          </w:p>
        </w:tc>
        <w:tc>
          <w:tcPr>
            <w:tcW w:w="709" w:type="dxa"/>
            <w:tcBorders>
              <w:top w:val="nil"/>
              <w:left w:val="nil"/>
              <w:bottom w:val="single" w:color="auto" w:sz="4" w:space="0"/>
              <w:right w:val="single" w:color="auto" w:sz="4" w:space="0"/>
            </w:tcBorders>
            <w:vAlign w:val="bottom"/>
          </w:tcPr>
          <w:p w14:paraId="7DF308C3">
            <w:pPr>
              <w:keepNext w:val="0"/>
              <w:keepLines w:val="0"/>
              <w:suppressLineNumbers w:val="0"/>
              <w:spacing w:before="0" w:beforeAutospacing="0" w:after="0" w:afterAutospacing="0"/>
              <w:ind w:left="0" w:right="0"/>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bottom"/>
          </w:tcPr>
          <w:p w14:paraId="09C80656">
            <w:pPr>
              <w:keepNext w:val="0"/>
              <w:keepLines w:val="0"/>
              <w:suppressLineNumbers w:val="0"/>
              <w:spacing w:before="0" w:beforeAutospacing="0" w:after="0" w:afterAutospacing="0"/>
              <w:ind w:left="0" w:right="0"/>
              <w:rPr>
                <w:rFonts w:hint="default" w:ascii="Times New Roman" w:hAnsi="Times New Roman" w:cs="Times New Roman"/>
                <w:color w:val="auto"/>
                <w:kern w:val="0"/>
                <w:sz w:val="22"/>
                <w:szCs w:val="22"/>
                <w:highlight w:val="none"/>
              </w:rPr>
            </w:pPr>
          </w:p>
        </w:tc>
        <w:tc>
          <w:tcPr>
            <w:tcW w:w="1450" w:type="dxa"/>
            <w:tcBorders>
              <w:top w:val="nil"/>
              <w:left w:val="nil"/>
              <w:bottom w:val="single" w:color="auto" w:sz="4" w:space="0"/>
              <w:right w:val="single" w:color="auto" w:sz="4" w:space="0"/>
            </w:tcBorders>
            <w:vAlign w:val="center"/>
          </w:tcPr>
          <w:p w14:paraId="41D70FEE">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color w:val="auto"/>
                <w:kern w:val="0"/>
                <w:sz w:val="22"/>
                <w:szCs w:val="22"/>
                <w:highlight w:val="none"/>
                <w:lang w:val="en-US" w:eastAsia="zh-CN"/>
              </w:rPr>
            </w:pPr>
            <w:r>
              <w:rPr>
                <w:rFonts w:hint="eastAsia" w:ascii="宋体" w:hAnsi="宋体" w:eastAsia="宋体" w:cs="宋体"/>
                <w:i w:val="0"/>
                <w:iCs w:val="0"/>
                <w:color w:val="000000"/>
                <w:kern w:val="0"/>
                <w:sz w:val="22"/>
                <w:szCs w:val="22"/>
                <w:u w:val="none"/>
                <w:lang w:val="en-US" w:eastAsia="zh-CN" w:bidi="ar"/>
              </w:rPr>
              <w:t xml:space="preserve">0.052 </w:t>
            </w:r>
          </w:p>
        </w:tc>
      </w:tr>
      <w:tr w14:paraId="617C0EA7">
        <w:tblPrEx>
          <w:tblCellMar>
            <w:top w:w="0" w:type="dxa"/>
            <w:left w:w="108" w:type="dxa"/>
            <w:bottom w:w="0" w:type="dxa"/>
            <w:right w:w="108" w:type="dxa"/>
          </w:tblCellMar>
        </w:tblPrEx>
        <w:trPr>
          <w:trHeight w:val="570" w:hRule="atLeast"/>
        </w:trPr>
        <w:tc>
          <w:tcPr>
            <w:tcW w:w="3559" w:type="dxa"/>
            <w:gridSpan w:val="2"/>
            <w:tcBorders>
              <w:top w:val="single" w:color="auto" w:sz="4" w:space="0"/>
              <w:left w:val="single" w:color="auto" w:sz="4" w:space="0"/>
              <w:bottom w:val="single" w:color="auto" w:sz="4" w:space="0"/>
              <w:right w:val="single" w:color="auto" w:sz="4" w:space="0"/>
            </w:tcBorders>
            <w:vAlign w:val="center"/>
          </w:tcPr>
          <w:p w14:paraId="7C39E431">
            <w:pPr>
              <w:keepNext w:val="0"/>
              <w:keepLines w:val="0"/>
              <w:widowControl/>
              <w:suppressLineNumbers w:val="0"/>
              <w:adjustRightInd w:val="0"/>
              <w:snapToGrid w:val="0"/>
              <w:spacing w:before="0" w:beforeAutospacing="0" w:after="0" w:afterAutospacing="0" w:line="610" w:lineRule="exact"/>
              <w:ind w:left="0" w:leftChars="0" w:right="0" w:rightChars="0"/>
              <w:jc w:val="center"/>
              <w:rPr>
                <w:rFonts w:hint="default" w:ascii="宋体" w:hAnsi="宋体" w:eastAsia="宋体" w:cs="宋体"/>
                <w:color w:val="000000"/>
                <w:kern w:val="0"/>
                <w:sz w:val="22"/>
                <w:szCs w:val="22"/>
              </w:rPr>
            </w:pPr>
            <w:r>
              <w:rPr>
                <w:rFonts w:hint="eastAsia" w:ascii="宋体" w:hAnsi="宋体" w:eastAsia="宋体" w:cs="宋体"/>
                <w:color w:val="000000"/>
                <w:kern w:val="0"/>
                <w:sz w:val="22"/>
                <w:szCs w:val="22"/>
              </w:rPr>
              <w:t>综合风险指数</w:t>
            </w:r>
          </w:p>
        </w:tc>
        <w:tc>
          <w:tcPr>
            <w:tcW w:w="851" w:type="dxa"/>
            <w:tcBorders>
              <w:top w:val="nil"/>
              <w:left w:val="nil"/>
              <w:bottom w:val="single" w:color="auto" w:sz="4" w:space="0"/>
              <w:right w:val="single" w:color="auto" w:sz="4" w:space="0"/>
            </w:tcBorders>
            <w:vAlign w:val="center"/>
          </w:tcPr>
          <w:p w14:paraId="6CB0201D">
            <w:pPr>
              <w:keepNext w:val="0"/>
              <w:keepLines w:val="0"/>
              <w:suppressLineNumbers w:val="0"/>
              <w:spacing w:before="0" w:beforeAutospacing="0" w:after="0" w:afterAutospacing="0"/>
              <w:ind w:left="0" w:right="0"/>
              <w:jc w:val="center"/>
              <w:rPr>
                <w:rFonts w:hint="eastAsia" w:ascii="宋体" w:hAnsi="宋体" w:eastAsia="宋体" w:cs="宋体"/>
                <w:color w:val="000000"/>
                <w:kern w:val="0"/>
                <w:sz w:val="22"/>
                <w:szCs w:val="22"/>
                <w:lang w:val="en-US" w:eastAsia="zh-CN"/>
              </w:rPr>
            </w:pPr>
          </w:p>
        </w:tc>
        <w:tc>
          <w:tcPr>
            <w:tcW w:w="925" w:type="dxa"/>
            <w:tcBorders>
              <w:top w:val="nil"/>
              <w:left w:val="nil"/>
              <w:bottom w:val="single" w:color="auto" w:sz="4" w:space="0"/>
              <w:right w:val="single" w:color="auto" w:sz="4" w:space="0"/>
            </w:tcBorders>
            <w:vAlign w:val="center"/>
          </w:tcPr>
          <w:p w14:paraId="67A9E431">
            <w:pPr>
              <w:keepNext w:val="0"/>
              <w:keepLines w:val="0"/>
              <w:suppressLineNumbers w:val="0"/>
              <w:spacing w:before="0" w:beforeAutospacing="0" w:after="0" w:afterAutospacing="0"/>
              <w:ind w:left="0" w:right="0"/>
              <w:jc w:val="center"/>
              <w:rPr>
                <w:rFonts w:hint="default" w:ascii="Times New Roman" w:hAnsi="Times New Roman" w:cs="Times New Roman"/>
                <w:color w:val="auto"/>
                <w:kern w:val="0"/>
                <w:sz w:val="22"/>
                <w:szCs w:val="22"/>
                <w:highlight w:val="none"/>
              </w:rPr>
            </w:pPr>
          </w:p>
        </w:tc>
        <w:tc>
          <w:tcPr>
            <w:tcW w:w="776" w:type="dxa"/>
            <w:tcBorders>
              <w:top w:val="nil"/>
              <w:left w:val="nil"/>
              <w:bottom w:val="single" w:color="auto" w:sz="4" w:space="0"/>
              <w:right w:val="single" w:color="auto" w:sz="4" w:space="0"/>
            </w:tcBorders>
            <w:vAlign w:val="center"/>
          </w:tcPr>
          <w:p w14:paraId="7D38CE7E">
            <w:pPr>
              <w:keepNext w:val="0"/>
              <w:keepLines w:val="0"/>
              <w:suppressLineNumbers w:val="0"/>
              <w:spacing w:before="0" w:beforeAutospacing="0" w:after="0" w:afterAutospacing="0"/>
              <w:ind w:left="0" w:right="0"/>
              <w:jc w:val="center"/>
              <w:rPr>
                <w:rFonts w:hint="default" w:ascii="Times New Roman" w:hAnsi="Times New Roman" w:cs="Times New Roman"/>
                <w:color w:val="auto"/>
                <w:kern w:val="0"/>
                <w:sz w:val="22"/>
                <w:szCs w:val="22"/>
                <w:highlight w:val="none"/>
              </w:rPr>
            </w:pPr>
          </w:p>
        </w:tc>
        <w:tc>
          <w:tcPr>
            <w:tcW w:w="708" w:type="dxa"/>
            <w:tcBorders>
              <w:top w:val="nil"/>
              <w:left w:val="nil"/>
              <w:bottom w:val="single" w:color="auto" w:sz="4" w:space="0"/>
              <w:right w:val="single" w:color="auto" w:sz="4" w:space="0"/>
            </w:tcBorders>
            <w:vAlign w:val="center"/>
          </w:tcPr>
          <w:p w14:paraId="667D09BF">
            <w:pPr>
              <w:keepNext w:val="0"/>
              <w:keepLines w:val="0"/>
              <w:suppressLineNumbers w:val="0"/>
              <w:spacing w:before="0" w:beforeAutospacing="0" w:after="0" w:afterAutospacing="0"/>
              <w:ind w:left="0" w:right="0"/>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126F983C">
            <w:pPr>
              <w:keepNext w:val="0"/>
              <w:keepLines w:val="0"/>
              <w:suppressLineNumbers w:val="0"/>
              <w:spacing w:before="0" w:beforeAutospacing="0" w:after="0" w:afterAutospacing="0"/>
              <w:ind w:left="0" w:right="0"/>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17569D0F">
            <w:pPr>
              <w:keepNext w:val="0"/>
              <w:keepLines w:val="0"/>
              <w:suppressLineNumbers w:val="0"/>
              <w:spacing w:before="0" w:beforeAutospacing="0" w:after="0" w:afterAutospacing="0"/>
              <w:ind w:left="0" w:right="0"/>
              <w:jc w:val="center"/>
              <w:rPr>
                <w:rFonts w:hint="default" w:ascii="Times New Roman" w:hAnsi="Times New Roman" w:cs="Times New Roman"/>
                <w:color w:val="auto"/>
                <w:kern w:val="0"/>
                <w:sz w:val="22"/>
                <w:szCs w:val="22"/>
                <w:highlight w:val="none"/>
              </w:rPr>
            </w:pPr>
          </w:p>
        </w:tc>
        <w:tc>
          <w:tcPr>
            <w:tcW w:w="1450" w:type="dxa"/>
            <w:tcBorders>
              <w:top w:val="nil"/>
              <w:left w:val="nil"/>
              <w:bottom w:val="single" w:color="auto" w:sz="4" w:space="0"/>
              <w:right w:val="single" w:color="auto" w:sz="4" w:space="0"/>
            </w:tcBorders>
            <w:vAlign w:val="center"/>
          </w:tcPr>
          <w:p w14:paraId="2ECC9372">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color w:val="auto"/>
                <w:kern w:val="0"/>
                <w:sz w:val="22"/>
                <w:szCs w:val="22"/>
                <w:highlight w:val="none"/>
                <w:lang w:val="en-US" w:eastAsia="zh-CN"/>
              </w:rPr>
            </w:pPr>
            <w:r>
              <w:rPr>
                <w:rFonts w:hint="eastAsia" w:ascii="宋体" w:hAnsi="宋体" w:eastAsia="宋体" w:cs="宋体"/>
                <w:i w:val="0"/>
                <w:iCs w:val="0"/>
                <w:color w:val="000000"/>
                <w:kern w:val="0"/>
                <w:sz w:val="22"/>
                <w:szCs w:val="22"/>
                <w:u w:val="none"/>
                <w:lang w:val="en-US" w:eastAsia="zh-CN" w:bidi="ar"/>
              </w:rPr>
              <w:t xml:space="preserve">0.099 </w:t>
            </w:r>
          </w:p>
        </w:tc>
      </w:tr>
    </w:tbl>
    <w:p w14:paraId="63636EC2">
      <w:pPr>
        <w:spacing w:line="540" w:lineRule="exact"/>
        <w:ind w:firstLine="560" w:firstLineChars="200"/>
        <w:rPr>
          <w:rFonts w:hint="default" w:ascii="仿宋" w:hAnsi="仿宋" w:eastAsia="仿宋"/>
          <w:kern w:val="0"/>
          <w:sz w:val="28"/>
          <w:szCs w:val="32"/>
          <w:lang w:val="en-US" w:eastAsia="zh-CN"/>
        </w:rPr>
      </w:pPr>
      <w:r>
        <w:rPr>
          <w:rFonts w:hint="default" w:ascii="仿宋" w:hAnsi="仿宋" w:eastAsia="仿宋"/>
          <w:kern w:val="0"/>
          <w:sz w:val="28"/>
          <w:szCs w:val="32"/>
          <w:lang w:val="en-US" w:eastAsia="zh-CN"/>
        </w:rPr>
        <w:t>3.综合风险等级判断</w:t>
      </w:r>
    </w:p>
    <w:p w14:paraId="7B9CE1D8">
      <w:pPr>
        <w:spacing w:line="540" w:lineRule="exact"/>
        <w:ind w:firstLine="560" w:firstLineChars="200"/>
        <w:rPr>
          <w:rFonts w:hint="default" w:ascii="仿宋" w:hAnsi="仿宋" w:eastAsia="仿宋"/>
          <w:kern w:val="0"/>
          <w:sz w:val="28"/>
          <w:szCs w:val="32"/>
          <w:lang w:val="en-US" w:eastAsia="zh-CN"/>
        </w:rPr>
      </w:pPr>
      <w:r>
        <w:rPr>
          <w:rFonts w:hint="default" w:ascii="仿宋" w:hAnsi="仿宋" w:eastAsia="仿宋"/>
          <w:kern w:val="0"/>
          <w:sz w:val="28"/>
          <w:szCs w:val="32"/>
          <w:lang w:val="en-US" w:eastAsia="zh-CN"/>
        </w:rPr>
        <w:t xml:space="preserve"> 参照风险等级评判标准，对该</w:t>
      </w:r>
      <w:r>
        <w:rPr>
          <w:rFonts w:hint="eastAsia" w:ascii="仿宋" w:hAnsi="仿宋" w:eastAsia="仿宋"/>
          <w:kern w:val="0"/>
          <w:sz w:val="28"/>
          <w:szCs w:val="32"/>
          <w:lang w:val="en-US" w:eastAsia="zh-CN"/>
        </w:rPr>
        <w:t>项目</w:t>
      </w:r>
      <w:r>
        <w:rPr>
          <w:rFonts w:hint="default" w:ascii="仿宋" w:hAnsi="仿宋" w:eastAsia="仿宋"/>
          <w:kern w:val="0"/>
          <w:sz w:val="28"/>
          <w:szCs w:val="32"/>
          <w:lang w:val="en-US" w:eastAsia="zh-CN"/>
        </w:rPr>
        <w:t>风险等级分析如下：</w:t>
      </w:r>
    </w:p>
    <w:p w14:paraId="71D11F5B">
      <w:pPr>
        <w:tabs>
          <w:tab w:val="left" w:pos="3178"/>
        </w:tabs>
        <w:spacing w:line="560" w:lineRule="exact"/>
        <w:ind w:firstLine="560" w:firstLineChars="200"/>
        <w:jc w:val="left"/>
        <w:rPr>
          <w:rFonts w:hint="default" w:eastAsia="仿宋_GB2312" w:cs="Times New Roman"/>
          <w:b w:val="0"/>
          <w:bCs w:val="0"/>
          <w:color w:val="auto"/>
          <w:sz w:val="28"/>
          <w:szCs w:val="28"/>
          <w:highlight w:val="none"/>
          <w:lang w:eastAsia="zh-CN"/>
        </w:rPr>
      </w:pPr>
      <w:r>
        <w:rPr>
          <w:rFonts w:hint="default" w:eastAsia="仿宋_GB2312" w:cs="Times New Roman"/>
          <w:b w:val="0"/>
          <w:bCs w:val="0"/>
          <w:color w:val="auto"/>
          <w:sz w:val="28"/>
          <w:szCs w:val="28"/>
          <w:highlight w:val="none"/>
          <w:lang w:eastAsia="zh-CN"/>
        </w:rPr>
        <w:t>（</w:t>
      </w:r>
      <w:r>
        <w:rPr>
          <w:rFonts w:hint="default" w:eastAsia="仿宋_GB2312" w:cs="Times New Roman"/>
          <w:b w:val="0"/>
          <w:bCs w:val="0"/>
          <w:color w:val="auto"/>
          <w:sz w:val="28"/>
          <w:szCs w:val="28"/>
          <w:highlight w:val="none"/>
          <w:lang w:val="en-US" w:eastAsia="zh-CN"/>
        </w:rPr>
        <w:t>1</w:t>
      </w:r>
      <w:r>
        <w:rPr>
          <w:rFonts w:hint="default" w:eastAsia="仿宋_GB2312" w:cs="Times New Roman"/>
          <w:b w:val="0"/>
          <w:bCs w:val="0"/>
          <w:color w:val="auto"/>
          <w:sz w:val="28"/>
          <w:szCs w:val="28"/>
          <w:highlight w:val="none"/>
          <w:lang w:eastAsia="zh-CN"/>
        </w:rPr>
        <w:t>）风险程度</w:t>
      </w:r>
    </w:p>
    <w:p w14:paraId="1CE1EC9E">
      <w:pPr>
        <w:keepNext w:val="0"/>
        <w:keepLines w:val="0"/>
        <w:pageBreakBefore w:val="0"/>
        <w:widowControl w:val="0"/>
        <w:tabs>
          <w:tab w:val="left" w:pos="3178"/>
        </w:tabs>
        <w:kinsoku/>
        <w:wordWrap/>
        <w:overflowPunct/>
        <w:topLinePunct w:val="0"/>
        <w:autoSpaceDE/>
        <w:autoSpaceDN/>
        <w:bidi w:val="0"/>
        <w:adjustRightInd/>
        <w:snapToGrid/>
        <w:spacing w:line="540" w:lineRule="exact"/>
        <w:ind w:left="0" w:leftChars="0" w:right="0" w:rightChars="0"/>
        <w:textAlignment w:val="auto"/>
        <w:outlineLvl w:val="9"/>
        <w:rPr>
          <w:rFonts w:hint="default" w:ascii="仿宋" w:hAnsi="仿宋" w:eastAsia="仿宋"/>
          <w:kern w:val="0"/>
          <w:sz w:val="28"/>
          <w:szCs w:val="32"/>
          <w:lang w:val="en-US" w:eastAsia="zh-CN"/>
        </w:rPr>
      </w:pPr>
      <w:r>
        <w:rPr>
          <w:rFonts w:hint="default" w:ascii="Times New Roman" w:hAnsi="Times New Roman" w:eastAsia="仿宋_GB2312" w:cs="Times New Roman"/>
          <w:color w:val="auto"/>
          <w:sz w:val="32"/>
          <w:szCs w:val="32"/>
          <w:highlight w:val="none"/>
        </w:rPr>
        <w:t xml:space="preserve">    </w:t>
      </w:r>
      <w:r>
        <w:rPr>
          <w:rFonts w:hint="default" w:ascii="仿宋" w:hAnsi="仿宋" w:eastAsia="仿宋"/>
          <w:kern w:val="0"/>
          <w:sz w:val="28"/>
          <w:szCs w:val="32"/>
          <w:lang w:val="en-US" w:eastAsia="zh-CN"/>
        </w:rPr>
        <w:t>根据单因素风险估计结果，确定“较小风险”因素</w:t>
      </w:r>
      <w:r>
        <w:rPr>
          <w:rFonts w:hint="eastAsia" w:ascii="仿宋" w:hAnsi="仿宋" w:eastAsia="仿宋"/>
          <w:kern w:val="0"/>
          <w:sz w:val="28"/>
          <w:szCs w:val="32"/>
          <w:lang w:val="en-US" w:eastAsia="zh-CN"/>
        </w:rPr>
        <w:t>2</w:t>
      </w:r>
      <w:r>
        <w:rPr>
          <w:rFonts w:hint="default" w:ascii="仿宋" w:hAnsi="仿宋" w:eastAsia="仿宋"/>
          <w:kern w:val="0"/>
          <w:sz w:val="28"/>
          <w:szCs w:val="32"/>
          <w:lang w:val="en-US" w:eastAsia="zh-CN"/>
        </w:rPr>
        <w:t>项，“微小风险”因素</w:t>
      </w:r>
      <w:r>
        <w:rPr>
          <w:rFonts w:hint="eastAsia" w:ascii="仿宋" w:hAnsi="仿宋" w:eastAsia="仿宋"/>
          <w:kern w:val="0"/>
          <w:sz w:val="28"/>
          <w:szCs w:val="32"/>
          <w:lang w:val="en-US" w:eastAsia="zh-CN"/>
        </w:rPr>
        <w:t>2</w:t>
      </w:r>
      <w:r>
        <w:rPr>
          <w:rFonts w:hint="default" w:ascii="仿宋" w:hAnsi="仿宋" w:eastAsia="仿宋"/>
          <w:kern w:val="0"/>
          <w:sz w:val="28"/>
          <w:szCs w:val="32"/>
          <w:lang w:val="en-US" w:eastAsia="zh-CN"/>
        </w:rPr>
        <w:t>项</w:t>
      </w:r>
      <w:r>
        <w:rPr>
          <w:rFonts w:hint="eastAsia" w:ascii="仿宋" w:hAnsi="仿宋" w:eastAsia="仿宋"/>
          <w:kern w:val="0"/>
          <w:sz w:val="28"/>
          <w:szCs w:val="32"/>
          <w:lang w:val="en-US" w:eastAsia="zh-CN"/>
        </w:rPr>
        <w:t>，</w:t>
      </w:r>
      <w:r>
        <w:rPr>
          <w:rFonts w:hint="default" w:ascii="仿宋" w:hAnsi="仿宋" w:eastAsia="仿宋"/>
          <w:kern w:val="0"/>
          <w:sz w:val="28"/>
          <w:szCs w:val="32"/>
          <w:lang w:val="en-US" w:eastAsia="zh-CN"/>
        </w:rPr>
        <w:t>“</w:t>
      </w:r>
      <w:r>
        <w:rPr>
          <w:rFonts w:hint="eastAsia" w:ascii="仿宋" w:hAnsi="仿宋" w:eastAsia="仿宋"/>
          <w:kern w:val="0"/>
          <w:sz w:val="28"/>
          <w:szCs w:val="32"/>
          <w:lang w:val="en-US" w:eastAsia="zh-CN"/>
        </w:rPr>
        <w:t>一般</w:t>
      </w:r>
      <w:r>
        <w:rPr>
          <w:rFonts w:hint="default" w:ascii="仿宋" w:hAnsi="仿宋" w:eastAsia="仿宋"/>
          <w:kern w:val="0"/>
          <w:sz w:val="28"/>
          <w:szCs w:val="32"/>
          <w:lang w:val="en-US" w:eastAsia="zh-CN"/>
        </w:rPr>
        <w:t>风险”因素</w:t>
      </w:r>
      <w:r>
        <w:rPr>
          <w:rFonts w:hint="eastAsia" w:ascii="仿宋" w:hAnsi="仿宋" w:eastAsia="仿宋"/>
          <w:kern w:val="0"/>
          <w:sz w:val="28"/>
          <w:szCs w:val="32"/>
          <w:lang w:val="en-US" w:eastAsia="zh-CN"/>
        </w:rPr>
        <w:t>1</w:t>
      </w:r>
      <w:r>
        <w:rPr>
          <w:rFonts w:hint="default" w:ascii="仿宋" w:hAnsi="仿宋" w:eastAsia="仿宋"/>
          <w:kern w:val="0"/>
          <w:sz w:val="28"/>
          <w:szCs w:val="32"/>
          <w:lang w:val="en-US" w:eastAsia="zh-CN"/>
        </w:rPr>
        <w:t>项。参照该项评判标准，可判定为“低风险”。</w:t>
      </w:r>
    </w:p>
    <w:p w14:paraId="3B9304DE">
      <w:pPr>
        <w:tabs>
          <w:tab w:val="left" w:pos="3178"/>
        </w:tabs>
        <w:spacing w:line="560" w:lineRule="exact"/>
        <w:ind w:firstLine="560" w:firstLineChars="200"/>
        <w:jc w:val="left"/>
        <w:rPr>
          <w:rFonts w:hint="default" w:eastAsia="仿宋_GB2312" w:cs="Times New Roman"/>
          <w:b w:val="0"/>
          <w:bCs w:val="0"/>
          <w:color w:val="auto"/>
          <w:sz w:val="28"/>
          <w:szCs w:val="28"/>
          <w:highlight w:val="none"/>
          <w:lang w:eastAsia="zh-CN"/>
        </w:rPr>
      </w:pPr>
      <w:r>
        <w:rPr>
          <w:rFonts w:hint="default" w:eastAsia="仿宋_GB2312" w:cs="Times New Roman"/>
          <w:b w:val="0"/>
          <w:bCs w:val="0"/>
          <w:color w:val="auto"/>
          <w:sz w:val="28"/>
          <w:szCs w:val="28"/>
          <w:highlight w:val="none"/>
          <w:lang w:eastAsia="zh-CN"/>
        </w:rPr>
        <w:t>（</w:t>
      </w:r>
      <w:r>
        <w:rPr>
          <w:rFonts w:hint="default" w:eastAsia="仿宋_GB2312" w:cs="Times New Roman"/>
          <w:b w:val="0"/>
          <w:bCs w:val="0"/>
          <w:color w:val="auto"/>
          <w:sz w:val="28"/>
          <w:szCs w:val="28"/>
          <w:highlight w:val="none"/>
          <w:lang w:val="en-US" w:eastAsia="zh-CN"/>
        </w:rPr>
        <w:t>2</w:t>
      </w:r>
      <w:r>
        <w:rPr>
          <w:rFonts w:hint="default" w:eastAsia="仿宋_GB2312" w:cs="Times New Roman"/>
          <w:b w:val="0"/>
          <w:bCs w:val="0"/>
          <w:color w:val="auto"/>
          <w:sz w:val="28"/>
          <w:szCs w:val="28"/>
          <w:highlight w:val="none"/>
          <w:lang w:eastAsia="zh-CN"/>
        </w:rPr>
        <w:t>）综合风险指数</w:t>
      </w:r>
    </w:p>
    <w:p w14:paraId="185C3D92">
      <w:pPr>
        <w:keepNext w:val="0"/>
        <w:keepLines w:val="0"/>
        <w:pageBreakBefore w:val="0"/>
        <w:widowControl w:val="0"/>
        <w:tabs>
          <w:tab w:val="left" w:pos="3178"/>
        </w:tabs>
        <w:kinsoku/>
        <w:wordWrap/>
        <w:overflowPunct/>
        <w:topLinePunct w:val="0"/>
        <w:autoSpaceDE/>
        <w:autoSpaceDN/>
        <w:bidi w:val="0"/>
        <w:adjustRightInd/>
        <w:snapToGrid/>
        <w:spacing w:line="540" w:lineRule="exact"/>
        <w:ind w:left="0" w:leftChars="0" w:right="0" w:rightChars="0"/>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 xml:space="preserve">    </w:t>
      </w:r>
      <w:r>
        <w:rPr>
          <w:rFonts w:hint="default" w:ascii="仿宋" w:hAnsi="仿宋" w:eastAsia="仿宋"/>
          <w:kern w:val="0"/>
          <w:sz w:val="28"/>
          <w:szCs w:val="32"/>
          <w:lang w:val="en-US" w:eastAsia="zh-CN"/>
        </w:rPr>
        <w:t>根据各主要风险因素风险程度加权求和计算，该</w:t>
      </w:r>
      <w:r>
        <w:rPr>
          <w:rFonts w:hint="eastAsia" w:ascii="仿宋" w:hAnsi="仿宋" w:eastAsia="仿宋"/>
          <w:kern w:val="0"/>
          <w:sz w:val="28"/>
          <w:szCs w:val="32"/>
          <w:lang w:val="en-US" w:eastAsia="zh-CN"/>
        </w:rPr>
        <w:t>项目</w:t>
      </w:r>
      <w:r>
        <w:rPr>
          <w:rFonts w:hint="default" w:ascii="仿宋" w:hAnsi="仿宋" w:eastAsia="仿宋"/>
          <w:kern w:val="0"/>
          <w:sz w:val="28"/>
          <w:szCs w:val="32"/>
          <w:lang w:val="en-US" w:eastAsia="zh-CN"/>
        </w:rPr>
        <w:t>综合风险指数∑（I×R）=0.</w:t>
      </w:r>
      <w:r>
        <w:rPr>
          <w:rFonts w:hint="eastAsia" w:ascii="仿宋" w:hAnsi="仿宋" w:eastAsia="仿宋"/>
          <w:kern w:val="0"/>
          <w:sz w:val="28"/>
          <w:szCs w:val="32"/>
          <w:lang w:val="en-US" w:eastAsia="zh-CN"/>
        </w:rPr>
        <w:t>099</w:t>
      </w:r>
      <w:r>
        <w:rPr>
          <w:rFonts w:hint="default" w:ascii="仿宋" w:hAnsi="仿宋" w:eastAsia="仿宋"/>
          <w:kern w:val="0"/>
          <w:sz w:val="28"/>
          <w:szCs w:val="32"/>
          <w:lang w:val="en-US" w:eastAsia="zh-CN"/>
        </w:rPr>
        <w:t>，可判定为“低风险”。</w:t>
      </w:r>
    </w:p>
    <w:p w14:paraId="567A8C81">
      <w:pPr>
        <w:tabs>
          <w:tab w:val="left" w:pos="3178"/>
        </w:tabs>
        <w:spacing w:line="560" w:lineRule="exact"/>
        <w:ind w:firstLine="560" w:firstLineChars="200"/>
        <w:jc w:val="left"/>
        <w:rPr>
          <w:rFonts w:hint="default" w:eastAsia="仿宋_GB2312" w:cs="Times New Roman"/>
          <w:b w:val="0"/>
          <w:bCs w:val="0"/>
          <w:color w:val="auto"/>
          <w:sz w:val="28"/>
          <w:szCs w:val="28"/>
          <w:highlight w:val="none"/>
          <w:lang w:eastAsia="zh-CN"/>
        </w:rPr>
      </w:pPr>
      <w:r>
        <w:rPr>
          <w:rFonts w:hint="default" w:eastAsia="仿宋_GB2312" w:cs="Times New Roman"/>
          <w:b w:val="0"/>
          <w:bCs w:val="0"/>
          <w:color w:val="auto"/>
          <w:sz w:val="28"/>
          <w:szCs w:val="28"/>
          <w:highlight w:val="none"/>
          <w:lang w:eastAsia="zh-CN"/>
        </w:rPr>
        <w:t>（</w:t>
      </w:r>
      <w:r>
        <w:rPr>
          <w:rFonts w:hint="default" w:eastAsia="仿宋_GB2312" w:cs="Times New Roman"/>
          <w:b w:val="0"/>
          <w:bCs w:val="0"/>
          <w:color w:val="auto"/>
          <w:sz w:val="28"/>
          <w:szCs w:val="28"/>
          <w:highlight w:val="none"/>
          <w:lang w:val="en-US" w:eastAsia="zh-CN"/>
        </w:rPr>
        <w:t>3</w:t>
      </w:r>
      <w:r>
        <w:rPr>
          <w:rFonts w:hint="default" w:eastAsia="仿宋_GB2312" w:cs="Times New Roman"/>
          <w:b w:val="0"/>
          <w:bCs w:val="0"/>
          <w:color w:val="auto"/>
          <w:sz w:val="28"/>
          <w:szCs w:val="28"/>
          <w:highlight w:val="none"/>
          <w:lang w:eastAsia="zh-CN"/>
        </w:rPr>
        <w:t>）调查结果</w:t>
      </w:r>
    </w:p>
    <w:p w14:paraId="25BC6A7B">
      <w:pPr>
        <w:keepNext w:val="0"/>
        <w:keepLines w:val="0"/>
        <w:pageBreakBefore w:val="0"/>
        <w:widowControl w:val="0"/>
        <w:tabs>
          <w:tab w:val="left" w:pos="3178"/>
        </w:tabs>
        <w:kinsoku/>
        <w:wordWrap/>
        <w:overflowPunct/>
        <w:topLinePunct w:val="0"/>
        <w:autoSpaceDE/>
        <w:autoSpaceDN/>
        <w:bidi w:val="0"/>
        <w:adjustRightInd/>
        <w:snapToGrid/>
        <w:spacing w:line="540" w:lineRule="exact"/>
        <w:ind w:left="0" w:leftChars="0" w:right="0" w:rightChars="0"/>
        <w:textAlignment w:val="auto"/>
        <w:outlineLvl w:val="9"/>
        <w:rPr>
          <w:rFonts w:hint="default" w:ascii="仿宋" w:hAnsi="仿宋" w:eastAsia="仿宋"/>
          <w:kern w:val="0"/>
          <w:sz w:val="28"/>
          <w:szCs w:val="32"/>
          <w:lang w:val="en-US" w:eastAsia="zh-CN"/>
        </w:rPr>
      </w:pPr>
      <w:r>
        <w:rPr>
          <w:rFonts w:hint="default" w:ascii="Times New Roman" w:hAnsi="Times New Roman" w:eastAsia="仿宋_GB2312" w:cs="Times New Roman"/>
          <w:color w:val="auto"/>
          <w:sz w:val="32"/>
          <w:szCs w:val="32"/>
          <w:highlight w:val="none"/>
        </w:rPr>
        <w:t xml:space="preserve">    </w:t>
      </w:r>
      <w:r>
        <w:rPr>
          <w:rFonts w:hint="default" w:ascii="仿宋" w:hAnsi="仿宋" w:eastAsia="仿宋"/>
          <w:kern w:val="0"/>
          <w:sz w:val="28"/>
          <w:szCs w:val="32"/>
          <w:lang w:val="en-US" w:eastAsia="zh-CN"/>
        </w:rPr>
        <w:t>根据社稳工作组调查分析结果，未发现反对意见。参照该项评判标准，可判定为“低风险”。</w:t>
      </w:r>
    </w:p>
    <w:p w14:paraId="74070418">
      <w:pPr>
        <w:tabs>
          <w:tab w:val="left" w:pos="3178"/>
        </w:tabs>
        <w:spacing w:line="560" w:lineRule="exact"/>
        <w:ind w:firstLine="560" w:firstLineChars="200"/>
        <w:jc w:val="left"/>
        <w:rPr>
          <w:rFonts w:hint="default" w:eastAsia="仿宋_GB2312" w:cs="Times New Roman"/>
          <w:b w:val="0"/>
          <w:bCs w:val="0"/>
          <w:color w:val="auto"/>
          <w:sz w:val="28"/>
          <w:szCs w:val="28"/>
          <w:highlight w:val="none"/>
          <w:lang w:eastAsia="zh-CN"/>
        </w:rPr>
      </w:pPr>
      <w:r>
        <w:rPr>
          <w:rFonts w:hint="default" w:eastAsia="仿宋_GB2312" w:cs="Times New Roman"/>
          <w:b w:val="0"/>
          <w:bCs w:val="0"/>
          <w:color w:val="auto"/>
          <w:sz w:val="28"/>
          <w:szCs w:val="28"/>
          <w:highlight w:val="none"/>
          <w:lang w:eastAsia="zh-CN"/>
        </w:rPr>
        <w:t>（</w:t>
      </w:r>
      <w:r>
        <w:rPr>
          <w:rFonts w:hint="default" w:eastAsia="仿宋_GB2312" w:cs="Times New Roman"/>
          <w:b w:val="0"/>
          <w:bCs w:val="0"/>
          <w:color w:val="auto"/>
          <w:sz w:val="28"/>
          <w:szCs w:val="28"/>
          <w:highlight w:val="none"/>
          <w:lang w:val="en-US" w:eastAsia="zh-CN"/>
        </w:rPr>
        <w:t>4</w:t>
      </w:r>
      <w:r>
        <w:rPr>
          <w:rFonts w:hint="default" w:eastAsia="仿宋_GB2312" w:cs="Times New Roman"/>
          <w:b w:val="0"/>
          <w:bCs w:val="0"/>
          <w:color w:val="auto"/>
          <w:sz w:val="28"/>
          <w:szCs w:val="28"/>
          <w:highlight w:val="none"/>
          <w:lang w:eastAsia="zh-CN"/>
        </w:rPr>
        <w:t>）可能引发的风险事件</w:t>
      </w:r>
    </w:p>
    <w:p w14:paraId="68E97775">
      <w:pPr>
        <w:spacing w:line="540" w:lineRule="exact"/>
        <w:ind w:firstLine="560" w:firstLineChars="200"/>
        <w:rPr>
          <w:rFonts w:hint="default" w:ascii="仿宋" w:hAnsi="仿宋" w:eastAsia="仿宋"/>
          <w:kern w:val="0"/>
          <w:sz w:val="28"/>
          <w:szCs w:val="32"/>
          <w:lang w:val="en-US" w:eastAsia="zh-CN"/>
        </w:rPr>
      </w:pPr>
      <w:r>
        <w:rPr>
          <w:rFonts w:hint="default" w:ascii="仿宋" w:hAnsi="仿宋" w:eastAsia="仿宋"/>
          <w:kern w:val="0"/>
          <w:sz w:val="28"/>
          <w:szCs w:val="32"/>
          <w:lang w:val="en-US" w:eastAsia="zh-CN"/>
        </w:rPr>
        <w:t>该</w:t>
      </w:r>
      <w:r>
        <w:rPr>
          <w:rFonts w:hint="eastAsia" w:ascii="仿宋" w:hAnsi="仿宋" w:eastAsia="仿宋"/>
          <w:kern w:val="0"/>
          <w:sz w:val="28"/>
          <w:szCs w:val="32"/>
          <w:lang w:val="en-US" w:eastAsia="zh-CN"/>
        </w:rPr>
        <w:t>项目</w:t>
      </w:r>
      <w:r>
        <w:rPr>
          <w:rFonts w:hint="default" w:ascii="仿宋" w:hAnsi="仿宋" w:eastAsia="仿宋"/>
          <w:kern w:val="0"/>
          <w:sz w:val="28"/>
          <w:szCs w:val="32"/>
          <w:lang w:val="en-US" w:eastAsia="zh-CN"/>
        </w:rPr>
        <w:t>实施过程中不会引发一般群体性事件或大规模群体性事件，可能会引发个体矛盾冲突，如个体信访、网络发布、散发宣传品、挂横幅等，可判定为“低风险”。</w:t>
      </w:r>
    </w:p>
    <w:p w14:paraId="3210A754">
      <w:pPr>
        <w:spacing w:line="540" w:lineRule="exact"/>
        <w:ind w:firstLine="560" w:firstLineChars="200"/>
        <w:rPr>
          <w:rFonts w:hint="default" w:ascii="仿宋" w:hAnsi="仿宋" w:eastAsia="仿宋"/>
          <w:kern w:val="0"/>
          <w:sz w:val="28"/>
          <w:szCs w:val="32"/>
          <w:lang w:val="en-US" w:eastAsia="zh-CN"/>
        </w:rPr>
      </w:pPr>
      <w:r>
        <w:rPr>
          <w:rFonts w:hint="default" w:ascii="仿宋" w:hAnsi="仿宋" w:eastAsia="仿宋"/>
          <w:kern w:val="0"/>
          <w:sz w:val="28"/>
          <w:szCs w:val="32"/>
          <w:lang w:val="en-US" w:eastAsia="zh-CN"/>
        </w:rPr>
        <w:t>根据以上分析，评估认为，该</w:t>
      </w:r>
      <w:r>
        <w:rPr>
          <w:rFonts w:hint="eastAsia" w:ascii="仿宋" w:hAnsi="仿宋" w:eastAsia="仿宋"/>
          <w:kern w:val="0"/>
          <w:sz w:val="28"/>
          <w:szCs w:val="32"/>
          <w:lang w:val="en-US" w:eastAsia="zh-CN"/>
        </w:rPr>
        <w:t>项目</w:t>
      </w:r>
      <w:r>
        <w:rPr>
          <w:rFonts w:hint="default" w:ascii="仿宋" w:hAnsi="仿宋" w:eastAsia="仿宋"/>
          <w:kern w:val="0"/>
          <w:sz w:val="28"/>
          <w:szCs w:val="32"/>
          <w:lang w:val="en-US" w:eastAsia="zh-CN"/>
        </w:rPr>
        <w:t>整体风险等级可判定为低风险。</w:t>
      </w:r>
    </w:p>
    <w:p w14:paraId="118A1268">
      <w:pPr>
        <w:pStyle w:val="3"/>
        <w:rPr>
          <w:rFonts w:hint="default"/>
          <w:lang w:val="en-US" w:eastAsia="zh-CN"/>
        </w:rPr>
        <w:sectPr>
          <w:headerReference r:id="rId10" w:type="default"/>
          <w:pgSz w:w="11906" w:h="16838"/>
          <w:pgMar w:top="1440" w:right="1797" w:bottom="1440" w:left="1797" w:header="851" w:footer="992" w:gutter="0"/>
          <w:pgBorders>
            <w:top w:val="none" w:sz="0" w:space="0"/>
            <w:left w:val="none" w:sz="0" w:space="0"/>
            <w:bottom w:val="none" w:sz="0" w:space="0"/>
            <w:right w:val="none" w:sz="0" w:space="0"/>
          </w:pgBorders>
          <w:pgNumType w:fmt="decimal"/>
          <w:cols w:space="720" w:num="1"/>
          <w:docGrid w:linePitch="312" w:charSpace="0"/>
        </w:sectPr>
      </w:pPr>
    </w:p>
    <w:p w14:paraId="117A6DD3">
      <w:pPr>
        <w:pStyle w:val="3"/>
        <w:bidi w:val="0"/>
        <w:ind w:left="432" w:leftChars="0" w:hanging="432" w:firstLineChars="0"/>
        <w:rPr>
          <w:rFonts w:hint="eastAsia"/>
          <w:lang w:val="en-US" w:eastAsia="zh-CN"/>
        </w:rPr>
      </w:pPr>
      <w:bookmarkStart w:id="19" w:name="_Toc14513"/>
      <w:r>
        <w:rPr>
          <w:rFonts w:hint="eastAsia"/>
          <w:lang w:val="en-US" w:eastAsia="zh-CN"/>
        </w:rPr>
        <w:t>评估结论</w:t>
      </w:r>
      <w:bookmarkEnd w:id="19"/>
    </w:p>
    <w:p w14:paraId="457CD693">
      <w:pPr>
        <w:pStyle w:val="5"/>
        <w:bidi w:val="0"/>
        <w:ind w:left="995" w:leftChars="0" w:hanging="575" w:firstLineChars="0"/>
        <w:rPr>
          <w:rFonts w:hint="eastAsia"/>
          <w:lang w:val="en-US" w:eastAsia="zh-CN"/>
        </w:rPr>
      </w:pPr>
      <w:bookmarkStart w:id="20" w:name="_Toc16896"/>
      <w:r>
        <w:rPr>
          <w:rFonts w:hint="eastAsia"/>
          <w:lang w:val="en-US" w:eastAsia="zh-CN"/>
        </w:rPr>
        <w:t>拟建项目存在的主要风险因素</w:t>
      </w:r>
      <w:bookmarkEnd w:id="20"/>
    </w:p>
    <w:p w14:paraId="2A228C47">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经资料分析及评估，项目主要社会风险集中表现为，施工及运营阶段可能因污水渗漏或排放超标引发周边居民对饮用水安全及生态环境污染的恐慌，若施工期间停水停电、道路封闭等民生影响未提前充分告知社区，易激化居民抵触情绪并诱发群体投诉。</w:t>
      </w:r>
    </w:p>
    <w:p w14:paraId="3F736099">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同时，监测数据未及时公开可能导致公众误判处理后的排水水质，滋生“毒水排放”等谣言并触发健康风险焦虑；外来施工人员涌入可能因管理疏漏引发劳资纠纷或文化摩擦，叠加施工污染（如农田灌溉水受污）风险后，或进一步升级为村民集体抗议；若政府及企业对污水处理工艺、排放标准的宣传解释不足，环保组织或自媒体可能借“偷排疑云”炒作负面舆情，损害项目公信力；此外，若当地曾发生类似环境事件，公众可能将新工程关联为“二次伤害”，加剧历史遗留矛盾与社会信任危机。需通过强化环境数据透明化、建立村民监督机制、前置民生应急预案等举措系统性降低风险传导概率。</w:t>
      </w:r>
    </w:p>
    <w:p w14:paraId="7ECA00A2">
      <w:pPr>
        <w:pStyle w:val="5"/>
        <w:bidi w:val="0"/>
        <w:ind w:left="995" w:leftChars="0" w:hanging="575" w:firstLineChars="0"/>
        <w:rPr>
          <w:rFonts w:hint="eastAsia"/>
          <w:lang w:val="en-US" w:eastAsia="zh-CN"/>
        </w:rPr>
      </w:pPr>
      <w:bookmarkStart w:id="21" w:name="_Toc20336"/>
      <w:r>
        <w:rPr>
          <w:rFonts w:hint="eastAsia"/>
          <w:lang w:val="en-US" w:eastAsia="zh-CN"/>
        </w:rPr>
        <w:t>拟建项目合法性、合理性、可行性、可控性评估结论</w:t>
      </w:r>
      <w:bookmarkEnd w:id="21"/>
    </w:p>
    <w:p w14:paraId="36DEE5F2">
      <w:pPr>
        <w:pStyle w:val="6"/>
        <w:bidi w:val="0"/>
        <w:ind w:left="720" w:leftChars="0" w:hanging="300" w:firstLineChars="0"/>
        <w:rPr>
          <w:rFonts w:hint="eastAsia" w:eastAsia="仿宋_GB2312"/>
          <w:sz w:val="32"/>
          <w:szCs w:val="32"/>
          <w:lang w:val="en-US" w:eastAsia="zh-CN"/>
        </w:rPr>
      </w:pPr>
      <w:r>
        <w:rPr>
          <w:rFonts w:hint="eastAsia" w:eastAsia="仿宋_GB2312"/>
          <w:sz w:val="32"/>
          <w:szCs w:val="32"/>
          <w:lang w:val="en-US" w:eastAsia="zh-CN"/>
        </w:rPr>
        <w:t>合法性</w:t>
      </w:r>
    </w:p>
    <w:p w14:paraId="45DE92B6">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项目是对《中华人民共和国水污染防治法》、《威海市城市污水工程专项规划（2019-2035）》、《威海市重点流域水生态环境保护规划》的进一步落实，是对威海市污水处理能力的进一步提升，项目在管理权限内展开的建设有政策依据，决策主体具有合法主体资格，具有相应决策权，并在一定权限范围内作出决策，涉及范围的内容、程序合法。</w:t>
      </w:r>
    </w:p>
    <w:p w14:paraId="237BB735">
      <w:pPr>
        <w:pStyle w:val="6"/>
        <w:bidi w:val="0"/>
        <w:ind w:left="720" w:leftChars="0" w:hanging="300" w:firstLineChars="0"/>
        <w:rPr>
          <w:rFonts w:hint="eastAsia" w:eastAsia="仿宋_GB2312"/>
          <w:sz w:val="32"/>
          <w:szCs w:val="32"/>
          <w:lang w:val="en-US" w:eastAsia="zh-CN"/>
        </w:rPr>
      </w:pPr>
      <w:r>
        <w:rPr>
          <w:rFonts w:hint="eastAsia" w:eastAsia="仿宋_GB2312"/>
          <w:sz w:val="32"/>
          <w:szCs w:val="32"/>
          <w:lang w:val="en-US" w:eastAsia="zh-CN"/>
        </w:rPr>
        <w:t>合理性</w:t>
      </w:r>
    </w:p>
    <w:p w14:paraId="2E4FD6D0">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项目合理性所引发的社会稳定风险事件发生的概率是较低的，影响程度较小，风险程度为低风险。项目的实施符合科学发展观要求，符合经济社会发展规律，符合社会公共利益、人民群众的现实利益和长远利益，兼顾了不同利益群体的诉求，拟采取的措施和手段必要、适当，维护了相关群众的合法权益。</w:t>
      </w:r>
    </w:p>
    <w:p w14:paraId="4A0E5BBE">
      <w:pPr>
        <w:pStyle w:val="6"/>
        <w:bidi w:val="0"/>
        <w:ind w:left="720" w:leftChars="0" w:hanging="300" w:firstLineChars="0"/>
        <w:rPr>
          <w:rFonts w:hint="eastAsia" w:eastAsia="仿宋_GB2312"/>
          <w:sz w:val="32"/>
          <w:szCs w:val="32"/>
          <w:lang w:val="en-US" w:eastAsia="zh-CN"/>
        </w:rPr>
      </w:pPr>
      <w:r>
        <w:rPr>
          <w:rFonts w:hint="eastAsia" w:eastAsia="仿宋_GB2312"/>
          <w:sz w:val="32"/>
          <w:szCs w:val="32"/>
          <w:lang w:val="en-US" w:eastAsia="zh-CN"/>
        </w:rPr>
        <w:t>可行性。</w:t>
      </w:r>
    </w:p>
    <w:p w14:paraId="50C13D7A">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项目可行性方面的风险包括文明施工、安全和质量管理，项目单位管理制度等。在采取必要的风险防范和化解措施后，评估认为项目可行性风险所引发的社会稳定风险事件均为低风险，项目是总体可行的。</w:t>
      </w:r>
    </w:p>
    <w:p w14:paraId="4463F661">
      <w:pPr>
        <w:pStyle w:val="6"/>
        <w:bidi w:val="0"/>
        <w:ind w:left="720" w:leftChars="0" w:hanging="300" w:firstLineChars="0"/>
        <w:rPr>
          <w:rFonts w:hint="eastAsia" w:eastAsia="仿宋_GB2312"/>
          <w:sz w:val="32"/>
          <w:szCs w:val="32"/>
          <w:lang w:val="en-US" w:eastAsia="zh-CN"/>
        </w:rPr>
      </w:pPr>
      <w:r>
        <w:rPr>
          <w:rFonts w:hint="eastAsia" w:eastAsia="仿宋_GB2312"/>
          <w:sz w:val="32"/>
          <w:szCs w:val="32"/>
          <w:lang w:val="en-US" w:eastAsia="zh-CN"/>
        </w:rPr>
        <w:t>可控性。</w:t>
      </w:r>
    </w:p>
    <w:p w14:paraId="12D32A45">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可控性方面的风险因素包括施工期环境影响、社会治安和公共安全、舆论导向及其影响等。在采取必要的风险防范和化解措施后，评估认为项目可控性风险所引发的社会稳定风险事件均为低风险。建立良好的舆论环境、加强知识宣传等措施落实后，项目的建设实施不存在公共安全隐患，不会引发群体性事件，不会引发社会负面舆论、恶意炒作以及其他影响社会稳定的问题，可能引发的社会稳定风险可控，具有可行、有效的防范、化解措施。</w:t>
      </w:r>
    </w:p>
    <w:p w14:paraId="1C8B8316">
      <w:pPr>
        <w:pStyle w:val="5"/>
        <w:bidi w:val="0"/>
        <w:ind w:left="995" w:leftChars="0" w:hanging="575" w:firstLineChars="0"/>
        <w:rPr>
          <w:rFonts w:hint="eastAsia"/>
          <w:lang w:val="en-US" w:eastAsia="zh-CN"/>
        </w:rPr>
      </w:pPr>
      <w:bookmarkStart w:id="22" w:name="_Toc10937"/>
      <w:r>
        <w:rPr>
          <w:rFonts w:hint="eastAsia"/>
          <w:lang w:val="en-US" w:eastAsia="zh-CN"/>
        </w:rPr>
        <w:t>拟建项目风险等级</w:t>
      </w:r>
      <w:bookmarkEnd w:id="22"/>
    </w:p>
    <w:p w14:paraId="1257B58F">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针对识别出的风险因素及打分测算，通过对各个风险因素的发生概率、影响程度和风险程度进行评估，综合各个风险的权重，计算出项目的风险指数为0.099，可判断为低风险。</w:t>
      </w:r>
    </w:p>
    <w:p w14:paraId="023E8314">
      <w:pPr>
        <w:pStyle w:val="5"/>
        <w:bidi w:val="0"/>
        <w:ind w:left="995" w:leftChars="0" w:hanging="575" w:firstLineChars="0"/>
        <w:rPr>
          <w:rFonts w:hint="eastAsia"/>
          <w:lang w:val="en-US" w:eastAsia="zh-CN"/>
        </w:rPr>
      </w:pPr>
      <w:bookmarkStart w:id="23" w:name="_Toc20220"/>
      <w:r>
        <w:rPr>
          <w:rFonts w:hint="eastAsia"/>
          <w:lang w:val="en-US" w:eastAsia="zh-CN"/>
        </w:rPr>
        <w:t>拟建项目的主要风险防范、化解措施</w:t>
      </w:r>
      <w:bookmarkEnd w:id="23"/>
    </w:p>
    <w:p w14:paraId="4EFEE70B">
      <w:pPr>
        <w:pStyle w:val="6"/>
        <w:bidi w:val="0"/>
        <w:ind w:left="720" w:leftChars="0" w:hanging="300" w:firstLineChars="0"/>
        <w:rPr>
          <w:rFonts w:hint="default" w:eastAsia="仿宋_GB2312"/>
          <w:sz w:val="32"/>
          <w:szCs w:val="32"/>
          <w:lang w:val="en-US" w:eastAsia="zh-CN"/>
        </w:rPr>
      </w:pPr>
      <w:r>
        <w:rPr>
          <w:rFonts w:hint="eastAsia" w:eastAsia="仿宋_GB2312"/>
          <w:sz w:val="32"/>
          <w:szCs w:val="32"/>
          <w:lang w:val="en-US" w:eastAsia="zh-CN"/>
        </w:rPr>
        <w:t>施工期</w:t>
      </w:r>
    </w:p>
    <w:p w14:paraId="71C1A962">
      <w:pPr>
        <w:numPr>
          <w:ilvl w:val="0"/>
          <w:numId w:val="5"/>
        </w:num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应完善项目质量检测及实时水质监测技术，以保障管线安全与排放达标。</w:t>
      </w:r>
    </w:p>
    <w:p w14:paraId="4EC4C1CD">
      <w:pPr>
        <w:numPr>
          <w:ilvl w:val="0"/>
          <w:numId w:val="5"/>
        </w:num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施工前联合街道、村委会发放《施工影响告知书》，明确影响交通时段并做好相关民生应急服务，施工期实行噪音分时段管控及道路错峰封闭疏导。</w:t>
      </w:r>
    </w:p>
    <w:p w14:paraId="19F5562A">
      <w:pPr>
        <w:pStyle w:val="6"/>
        <w:bidi w:val="0"/>
        <w:ind w:left="720" w:leftChars="0" w:hanging="300" w:firstLineChars="0"/>
        <w:rPr>
          <w:rFonts w:hint="default" w:eastAsia="仿宋_GB2312"/>
          <w:sz w:val="32"/>
          <w:szCs w:val="32"/>
          <w:lang w:val="en-US" w:eastAsia="zh-CN"/>
        </w:rPr>
      </w:pPr>
      <w:r>
        <w:rPr>
          <w:rFonts w:hint="eastAsia" w:eastAsia="仿宋_GB2312"/>
          <w:sz w:val="32"/>
          <w:szCs w:val="32"/>
          <w:lang w:val="en-US" w:eastAsia="zh-CN"/>
        </w:rPr>
        <w:t>运行期</w:t>
      </w:r>
    </w:p>
    <w:p w14:paraId="39929C4E">
      <w:pPr>
        <w:numPr>
          <w:ilvl w:val="0"/>
          <w:numId w:val="6"/>
        </w:num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同步搭建环境数据公开平台动态更新COD、氨氮等关键指标以消除公众疑虑。</w:t>
      </w:r>
    </w:p>
    <w:p w14:paraId="43282F08">
      <w:pPr>
        <w:numPr>
          <w:ilvl w:val="0"/>
          <w:numId w:val="6"/>
        </w:num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组建由村民代表、环保专家构成的监督小组参与工程巡查及排放检测，并设立24小时纠纷调解热线快速响应阻工诉求。</w:t>
      </w:r>
    </w:p>
    <w:p w14:paraId="35EE1F81">
      <w:pPr>
        <w:numPr>
          <w:ilvl w:val="0"/>
          <w:numId w:val="6"/>
        </w:num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通过社区讲座、短视频科普污水工艺原理及排放标准，联合权威部门定期召开新闻发布会释疑，配套建立网络舆情监测机制及时拦截谣言。</w:t>
      </w:r>
    </w:p>
    <w:p w14:paraId="586AF873">
      <w:pPr>
        <w:numPr>
          <w:ilvl w:val="0"/>
          <w:numId w:val="6"/>
        </w:num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针对历史环境敏感区域，额外制定生态补偿方案并嵌入“村民共建绿色河岸”等共治活动，系统性降低冲突概率，提升工程社会接受度。</w:t>
      </w:r>
    </w:p>
    <w:p w14:paraId="34E4F5E0">
      <w:pPr>
        <w:pStyle w:val="5"/>
        <w:bidi w:val="0"/>
        <w:ind w:left="995" w:leftChars="0" w:hanging="575" w:firstLineChars="0"/>
        <w:rPr>
          <w:rFonts w:hint="eastAsia"/>
          <w:lang w:val="en-US" w:eastAsia="zh-CN"/>
        </w:rPr>
      </w:pPr>
      <w:bookmarkStart w:id="24" w:name="_Toc15627"/>
      <w:r>
        <w:rPr>
          <w:rFonts w:hint="eastAsia"/>
          <w:lang w:val="en-US" w:eastAsia="zh-CN"/>
        </w:rPr>
        <w:t>应急预案和建议</w:t>
      </w:r>
      <w:bookmarkEnd w:id="24"/>
    </w:p>
    <w:p w14:paraId="6416F4FB">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针对污水处理排河工程潜在社会风险，建议建立“监测预警-应急响应-善后修复”全链条预案：监测预警端嵌入水质自动监测设备并实时联网公开数据，同步在施工区周边布设无人机巡查及舆情关键词抓取系统，对异常排放指标、聚集性抗议画面或“毒水”“癌症”等敏感词出现频次超阈值时自动触发预警。</w:t>
      </w:r>
    </w:p>
    <w:p w14:paraId="3E4A4271">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应急响应阶段按事件等级启动分级管控——若发生污水溢流等技术故障，1小时内关闭排口并启用应急蓄污池，同步向受影响村庄配送桶装水、安排疾控中心水质抽检，同时由事发地镇政府牵头成立现场指挥部，联合公安、环保、宣传部门及村民监督代表共同制定处置方案，2日内通过村广播、政务短视频发布事件原因及修复进展。</w:t>
      </w:r>
    </w:p>
    <w:p w14:paraId="0150BE1C">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若出现暴力阻工或网络谣言扩散，立即启用法律顾问介入协商赔偿诉求，并由生态环境局联合第三方检测机构直播讲解处理工艺，邀请意见领袖实地参观污水厂以对冲负面舆情。</w:t>
      </w:r>
    </w:p>
    <w:p w14:paraId="0F4AB772">
      <w:pPr>
        <w:spacing w:line="540" w:lineRule="exact"/>
        <w:ind w:firstLine="560" w:firstLineChars="200"/>
        <w:rPr>
          <w:rFonts w:hint="eastAsia" w:ascii="仿宋" w:hAnsi="仿宋" w:eastAsia="仿宋"/>
          <w:kern w:val="0"/>
          <w:sz w:val="28"/>
          <w:szCs w:val="32"/>
          <w:lang w:val="en-US" w:eastAsia="zh-CN"/>
        </w:rPr>
      </w:pPr>
      <w:r>
        <w:rPr>
          <w:rFonts w:hint="eastAsia" w:ascii="仿宋" w:hAnsi="仿宋" w:eastAsia="仿宋"/>
          <w:kern w:val="0"/>
          <w:sz w:val="28"/>
          <w:szCs w:val="32"/>
          <w:lang w:val="en-US" w:eastAsia="zh-CN"/>
        </w:rPr>
        <w:t>善后阶段重点落实受损农田补偿金发放、心理疏导团队入户安抚，并针对性优化施工时序或增设隔音屏障等“问题回溯整改清单”，事后72小时内召开复盘会议更新应急预案。配套建议：提前储备应急净水设备、赔偿协议模板及备用施工队，每季度联合村委会开展“突发停水演练+舆情攻防模拟”，确保响应时效。</w:t>
      </w:r>
    </w:p>
    <w:p w14:paraId="6F8AD987">
      <w:pPr>
        <w:snapToGrid w:val="0"/>
        <w:spacing w:line="540" w:lineRule="exact"/>
        <w:ind w:firstLine="420" w:firstLineChars="200"/>
        <w:jc w:val="left"/>
      </w:pPr>
    </w:p>
    <w:sectPr>
      <w:headerReference r:id="rId11" w:type="default"/>
      <w:footerReference r:id="rId12" w:type="default"/>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BFD6C0">
    <w:pPr>
      <w:pStyle w:val="16"/>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1D5A23">
    <w:pPr>
      <w:pStyle w:val="16"/>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89C364">
    <w:pPr>
      <w:pStyle w:val="16"/>
      <w:ind w:firstLine="360"/>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EF5980B">
                          <w:pPr>
                            <w:pStyle w:val="16"/>
                          </w:pPr>
                          <w:r>
                            <w:fldChar w:fldCharType="begin"/>
                          </w:r>
                          <w:r>
                            <w:instrText xml:space="preserve"> PAGE  \* MERGEFORMAT </w:instrText>
                          </w:r>
                          <w:r>
                            <w:fldChar w:fldCharType="separate"/>
                          </w:r>
                          <w:r>
                            <w:t>22</w:t>
                          </w:r>
                          <w:r>
                            <w:fldChar w:fldCharType="end"/>
                          </w:r>
                        </w:p>
                      </w:txbxContent>
                    </wps:txbx>
                    <wps:bodyPr wrap="none" lIns="0" tIns="0" rIns="0" bIns="0" upright="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PF5s5yQEAAJkDAAAOAAAAAAAAAAEAIAAAAB4BAABkcnMvZTJvRG9j&#10;LnhtbFBLBQYAAAAABgAGAFkBAABZBQAAAAA=&#10;">
              <v:fill on="f" focussize="0,0"/>
              <v:stroke on="f"/>
              <v:imagedata o:title=""/>
              <o:lock v:ext="edit" aspectratio="f"/>
              <v:textbox inset="0mm,0mm,0mm,0mm" style="mso-fit-shape-to-text:t;">
                <w:txbxContent>
                  <w:p w14:paraId="4EF5980B">
                    <w:pPr>
                      <w:pStyle w:val="16"/>
                    </w:pPr>
                    <w:r>
                      <w:fldChar w:fldCharType="begin"/>
                    </w:r>
                    <w:r>
                      <w:instrText xml:space="preserve"> PAGE  \* MERGEFORMAT </w:instrText>
                    </w:r>
                    <w:r>
                      <w:fldChar w:fldCharType="separate"/>
                    </w:r>
                    <w:r>
                      <w:t>22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58D714">
    <w:pPr>
      <w:pStyle w:val="16"/>
      <w:ind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176B3B2">
                          <w:pPr>
                            <w:pStyle w:val="16"/>
                          </w:pPr>
                          <w:r>
                            <w:fldChar w:fldCharType="begin"/>
                          </w:r>
                          <w:r>
                            <w:instrText xml:space="preserve"> PAGE  \* MERGEFORMAT </w:instrText>
                          </w:r>
                          <w:r>
                            <w:fldChar w:fldCharType="separate"/>
                          </w:r>
                          <w:r>
                            <w:t>22</w:t>
                          </w:r>
                          <w:r>
                            <w:fldChar w:fldCharType="end"/>
                          </w:r>
                        </w:p>
                      </w:txbxContent>
                    </wps:txbx>
                    <wps:bodyPr wrap="none" lIns="0" tIns="0" rIns="0" bIns="0" upright="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Y/Cf/yQEAAJkDAAAOAAAAAAAAAAEAIAAAAB4BAABkcnMvZTJvRG9j&#10;LnhtbFBLBQYAAAAABgAGAFkBAABZBQAAAAA=&#10;">
              <v:fill on="f" focussize="0,0"/>
              <v:stroke on="f"/>
              <v:imagedata o:title=""/>
              <o:lock v:ext="edit" aspectratio="f"/>
              <v:textbox inset="0mm,0mm,0mm,0mm" style="mso-fit-shape-to-text:t;">
                <w:txbxContent>
                  <w:p w14:paraId="0176B3B2">
                    <w:pPr>
                      <w:pStyle w:val="16"/>
                    </w:pPr>
                    <w:r>
                      <w:fldChar w:fldCharType="begin"/>
                    </w:r>
                    <w:r>
                      <w:instrText xml:space="preserve"> PAGE  \* MERGEFORMAT </w:instrText>
                    </w:r>
                    <w:r>
                      <w:fldChar w:fldCharType="separate"/>
                    </w:r>
                    <w:r>
                      <w:t>22</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000355">
    <w:pPr>
      <w:pStyle w:val="17"/>
      <w:pBdr>
        <w:bottom w:val="none" w:color="auto" w:sz="0" w:space="0"/>
      </w:pBdr>
      <w:ind w:firstLine="360"/>
      <w:rPr>
        <w:rFonts w:hint="default" w:eastAsia="宋体"/>
        <w:lang w:val="en-US" w:eastAsia="zh-C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E6807F">
    <w:pPr>
      <w:pStyle w:val="17"/>
      <w:pBdr>
        <w:bottom w:val="none" w:color="auto" w:sz="0" w:space="0"/>
      </w:pBdr>
      <w:jc w:val="center"/>
      <w:rPr>
        <w:rFonts w:hint="default" w:eastAsia="宋体"/>
        <w:lang w:val="en-US" w:eastAsia="zh-C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2141AF">
    <w:pPr>
      <w:pStyle w:val="17"/>
      <w:pBdr>
        <w:bottom w:val="single" w:color="auto" w:sz="4" w:space="0"/>
      </w:pBdr>
      <w:jc w:val="center"/>
      <w:rPr>
        <w:rFonts w:hint="default" w:eastAsia="宋体"/>
        <w:lang w:val="en-US" w:eastAsia="zh-CN"/>
      </w:rPr>
    </w:pPr>
    <w:r>
      <w:rPr>
        <w:rFonts w:hint="eastAsia"/>
        <w:lang w:val="en-US" w:eastAsia="zh-CN"/>
      </w:rPr>
      <w:t>基本情况</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8307CE">
    <w:pPr>
      <w:pStyle w:val="17"/>
      <w:pBdr>
        <w:bottom w:val="single" w:color="auto" w:sz="4" w:space="0"/>
      </w:pBdr>
      <w:jc w:val="center"/>
      <w:rPr>
        <w:rFonts w:hint="default" w:eastAsia="宋体"/>
        <w:lang w:val="en-US" w:eastAsia="zh-CN"/>
      </w:rPr>
    </w:pPr>
    <w:r>
      <w:rPr>
        <w:rFonts w:hint="eastAsia"/>
        <w:lang w:val="en-US" w:eastAsia="zh-CN"/>
      </w:rPr>
      <w:t>基本情况</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3864A4">
    <w:pPr>
      <w:pStyle w:val="17"/>
      <w:pBdr>
        <w:bottom w:val="single" w:color="auto" w:sz="4" w:space="0"/>
      </w:pBdr>
      <w:jc w:val="center"/>
      <w:rPr>
        <w:rFonts w:hint="default" w:eastAsia="宋体"/>
        <w:lang w:val="en-US" w:eastAsia="zh-CN"/>
      </w:rPr>
    </w:pPr>
    <w:r>
      <w:rPr>
        <w:rFonts w:hint="eastAsia"/>
        <w:lang w:val="en-US" w:eastAsia="zh-CN"/>
      </w:rPr>
      <w:t>评估内容</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7033FF">
    <w:pPr>
      <w:pStyle w:val="17"/>
      <w:pBdr>
        <w:bottom w:val="single" w:color="auto" w:sz="4" w:space="0"/>
      </w:pBdr>
      <w:jc w:val="center"/>
      <w:rPr>
        <w:rFonts w:hint="default" w:eastAsia="宋体"/>
        <w:lang w:val="en-US" w:eastAsia="zh-CN"/>
      </w:rPr>
    </w:pPr>
    <w:r>
      <w:rPr>
        <w:rFonts w:hint="eastAsia"/>
        <w:lang w:val="en-US" w:eastAsia="zh-CN"/>
      </w:rPr>
      <w:t>评估结论</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9C3D6D"/>
    <w:multiLevelType w:val="singleLevel"/>
    <w:tmpl w:val="8D9C3D6D"/>
    <w:lvl w:ilvl="0" w:tentative="0">
      <w:start w:val="1"/>
      <w:numFmt w:val="decimal"/>
      <w:suff w:val="nothing"/>
      <w:lvlText w:val="%1、"/>
      <w:lvlJc w:val="left"/>
    </w:lvl>
  </w:abstractNum>
  <w:abstractNum w:abstractNumId="1">
    <w:nsid w:val="038705A1"/>
    <w:multiLevelType w:val="singleLevel"/>
    <w:tmpl w:val="038705A1"/>
    <w:lvl w:ilvl="0" w:tentative="0">
      <w:start w:val="2"/>
      <w:numFmt w:val="chineseCounting"/>
      <w:suff w:val="nothing"/>
      <w:lvlText w:val="（%1）"/>
      <w:lvlJc w:val="left"/>
      <w:rPr>
        <w:rFonts w:hint="eastAsia"/>
      </w:rPr>
    </w:lvl>
  </w:abstractNum>
  <w:abstractNum w:abstractNumId="2">
    <w:nsid w:val="2A4D1153"/>
    <w:multiLevelType w:val="singleLevel"/>
    <w:tmpl w:val="2A4D1153"/>
    <w:lvl w:ilvl="0" w:tentative="0">
      <w:start w:val="1"/>
      <w:numFmt w:val="chineseCounting"/>
      <w:suff w:val="nothing"/>
      <w:lvlText w:val="%1、"/>
      <w:lvlJc w:val="left"/>
      <w:rPr>
        <w:rFonts w:hint="eastAsia"/>
      </w:rPr>
    </w:lvl>
  </w:abstractNum>
  <w:abstractNum w:abstractNumId="3">
    <w:nsid w:val="2E0A1EA9"/>
    <w:multiLevelType w:val="multilevel"/>
    <w:tmpl w:val="2E0A1EA9"/>
    <w:lvl w:ilvl="0" w:tentative="0">
      <w:start w:val="1"/>
      <w:numFmt w:val="decimal"/>
      <w:pStyle w:val="55"/>
      <w:lvlText w:val="%1."/>
      <w:lvlJc w:val="left"/>
      <w:pPr>
        <w:ind w:left="432" w:hanging="432"/>
      </w:pPr>
      <w:rPr>
        <w:rFonts w:hint="default"/>
      </w:rPr>
    </w:lvl>
    <w:lvl w:ilvl="1" w:tentative="0">
      <w:start w:val="1"/>
      <w:numFmt w:val="decimal"/>
      <w:lvlText w:val="%1.%2."/>
      <w:lvlJc w:val="left"/>
      <w:pPr>
        <w:ind w:left="575" w:hanging="575"/>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4">
    <w:nsid w:val="3867B029"/>
    <w:multiLevelType w:val="multilevel"/>
    <w:tmpl w:val="3867B029"/>
    <w:lvl w:ilvl="0" w:tentative="0">
      <w:start w:val="1"/>
      <w:numFmt w:val="decimal"/>
      <w:pStyle w:val="3"/>
      <w:lvlText w:val="%1."/>
      <w:lvlJc w:val="left"/>
      <w:pPr>
        <w:ind w:left="432" w:hanging="432"/>
      </w:pPr>
      <w:rPr>
        <w:rFonts w:hint="default"/>
      </w:rPr>
    </w:lvl>
    <w:lvl w:ilvl="1" w:tentative="0">
      <w:start w:val="1"/>
      <w:numFmt w:val="decimal"/>
      <w:pStyle w:val="5"/>
      <w:lvlText w:val="%1.%2."/>
      <w:lvlJc w:val="left"/>
      <w:pPr>
        <w:ind w:left="995" w:hanging="575"/>
      </w:pPr>
      <w:rPr>
        <w:rFonts w:hint="default"/>
      </w:rPr>
    </w:lvl>
    <w:lvl w:ilvl="2" w:tentative="0">
      <w:start w:val="1"/>
      <w:numFmt w:val="decimal"/>
      <w:pStyle w:val="6"/>
      <w:lvlText w:val="%1.%2.%3."/>
      <w:lvlJc w:val="left"/>
      <w:pPr>
        <w:ind w:left="720" w:hanging="300"/>
      </w:pPr>
      <w:rPr>
        <w:rFonts w:hint="default"/>
      </w:rPr>
    </w:lvl>
    <w:lvl w:ilvl="3" w:tentative="0">
      <w:start w:val="1"/>
      <w:numFmt w:val="decimal"/>
      <w:pStyle w:val="7"/>
      <w:lvlText w:val="%1.%2.%3.%4."/>
      <w:lvlJc w:val="left"/>
      <w:pPr>
        <w:ind w:left="864" w:hanging="864"/>
      </w:pPr>
      <w:rPr>
        <w:rFonts w:hint="default"/>
      </w:rPr>
    </w:lvl>
    <w:lvl w:ilvl="4" w:tentative="0">
      <w:start w:val="1"/>
      <w:numFmt w:val="decimal"/>
      <w:pStyle w:val="8"/>
      <w:lvlText w:val="%1.%2.%3.%4.%5."/>
      <w:lvlJc w:val="left"/>
      <w:pPr>
        <w:ind w:left="1008" w:hanging="1008"/>
      </w:pPr>
      <w:rPr>
        <w:rFonts w:hint="default"/>
      </w:rPr>
    </w:lvl>
    <w:lvl w:ilvl="5" w:tentative="0">
      <w:start w:val="1"/>
      <w:numFmt w:val="decimal"/>
      <w:pStyle w:val="9"/>
      <w:lvlText w:val="%1.%2.%3.%4.%5.%6."/>
      <w:lvlJc w:val="left"/>
      <w:pPr>
        <w:ind w:left="1151" w:hanging="1151"/>
      </w:pPr>
      <w:rPr>
        <w:rFonts w:hint="default"/>
      </w:rPr>
    </w:lvl>
    <w:lvl w:ilvl="6" w:tentative="0">
      <w:start w:val="1"/>
      <w:numFmt w:val="decimal"/>
      <w:pStyle w:val="10"/>
      <w:lvlText w:val="%1.%2.%3.%4.%5.%6.%7."/>
      <w:lvlJc w:val="left"/>
      <w:pPr>
        <w:ind w:left="1296" w:hanging="1296"/>
      </w:pPr>
      <w:rPr>
        <w:rFonts w:hint="default"/>
      </w:rPr>
    </w:lvl>
    <w:lvl w:ilvl="7" w:tentative="0">
      <w:start w:val="1"/>
      <w:numFmt w:val="decimal"/>
      <w:pStyle w:val="11"/>
      <w:lvlText w:val="%1.%2.%3.%4.%5.%6.%7.%8."/>
      <w:lvlJc w:val="left"/>
      <w:pPr>
        <w:ind w:left="1440" w:hanging="1440"/>
      </w:pPr>
      <w:rPr>
        <w:rFonts w:hint="default"/>
      </w:rPr>
    </w:lvl>
    <w:lvl w:ilvl="8" w:tentative="0">
      <w:start w:val="1"/>
      <w:numFmt w:val="decimal"/>
      <w:pStyle w:val="12"/>
      <w:lvlText w:val="%1.%2.%3.%4.%5.%6.%7.%8.%9."/>
      <w:lvlJc w:val="left"/>
      <w:pPr>
        <w:ind w:left="1583" w:hanging="1583"/>
      </w:pPr>
      <w:rPr>
        <w:rFonts w:hint="default"/>
      </w:rPr>
    </w:lvl>
  </w:abstractNum>
  <w:abstractNum w:abstractNumId="5">
    <w:nsid w:val="3A76EA36"/>
    <w:multiLevelType w:val="singleLevel"/>
    <w:tmpl w:val="3A76EA36"/>
    <w:lvl w:ilvl="0" w:tentative="0">
      <w:start w:val="1"/>
      <w:numFmt w:val="decimal"/>
      <w:suff w:val="nothing"/>
      <w:lvlText w:val="%1、"/>
      <w:lvlJc w:val="left"/>
    </w:lvl>
  </w:abstractNum>
  <w:num w:numId="1">
    <w:abstractNumId w:val="4"/>
  </w:num>
  <w:num w:numId="2">
    <w:abstractNumId w:val="3"/>
  </w:num>
  <w:num w:numId="3">
    <w:abstractNumId w:val="2"/>
  </w:num>
  <w:num w:numId="4">
    <w:abstractNumId w:val="1"/>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dhMDc2ZGM1ZTRmNTBlZjdjMDBmYmRmZjk5NTAwMWUifQ=="/>
  </w:docVars>
  <w:rsids>
    <w:rsidRoot w:val="00FC6832"/>
    <w:rsid w:val="00001ABA"/>
    <w:rsid w:val="00003DA8"/>
    <w:rsid w:val="00006BE7"/>
    <w:rsid w:val="0000738C"/>
    <w:rsid w:val="00007CA3"/>
    <w:rsid w:val="000156DA"/>
    <w:rsid w:val="00024883"/>
    <w:rsid w:val="00033543"/>
    <w:rsid w:val="00033832"/>
    <w:rsid w:val="00040A7F"/>
    <w:rsid w:val="00042BC6"/>
    <w:rsid w:val="0004356F"/>
    <w:rsid w:val="00047E3D"/>
    <w:rsid w:val="00050E51"/>
    <w:rsid w:val="00055B50"/>
    <w:rsid w:val="00060C1B"/>
    <w:rsid w:val="00075A46"/>
    <w:rsid w:val="0008254A"/>
    <w:rsid w:val="00086CA0"/>
    <w:rsid w:val="00092829"/>
    <w:rsid w:val="000946A2"/>
    <w:rsid w:val="0009590C"/>
    <w:rsid w:val="000963C2"/>
    <w:rsid w:val="000968FD"/>
    <w:rsid w:val="000A6BC6"/>
    <w:rsid w:val="000B41B6"/>
    <w:rsid w:val="000B6F03"/>
    <w:rsid w:val="000B74C5"/>
    <w:rsid w:val="000C3951"/>
    <w:rsid w:val="000D1957"/>
    <w:rsid w:val="000D5B23"/>
    <w:rsid w:val="000E0016"/>
    <w:rsid w:val="000E637B"/>
    <w:rsid w:val="000E7AEA"/>
    <w:rsid w:val="000F21DF"/>
    <w:rsid w:val="000F3359"/>
    <w:rsid w:val="000F5319"/>
    <w:rsid w:val="000F701C"/>
    <w:rsid w:val="001053E6"/>
    <w:rsid w:val="0011054B"/>
    <w:rsid w:val="00127C8E"/>
    <w:rsid w:val="0013023D"/>
    <w:rsid w:val="00135495"/>
    <w:rsid w:val="001376B2"/>
    <w:rsid w:val="0014289D"/>
    <w:rsid w:val="0014321E"/>
    <w:rsid w:val="001433CB"/>
    <w:rsid w:val="001467C0"/>
    <w:rsid w:val="001513C6"/>
    <w:rsid w:val="001514E8"/>
    <w:rsid w:val="00164514"/>
    <w:rsid w:val="001713C6"/>
    <w:rsid w:val="00172871"/>
    <w:rsid w:val="001807FB"/>
    <w:rsid w:val="0018512E"/>
    <w:rsid w:val="00196213"/>
    <w:rsid w:val="00197F6E"/>
    <w:rsid w:val="001A0582"/>
    <w:rsid w:val="001A0D17"/>
    <w:rsid w:val="001A34BD"/>
    <w:rsid w:val="001A611F"/>
    <w:rsid w:val="001A6E9E"/>
    <w:rsid w:val="001B5008"/>
    <w:rsid w:val="001B5EDB"/>
    <w:rsid w:val="001C7D5B"/>
    <w:rsid w:val="001D3BDC"/>
    <w:rsid w:val="001D57D7"/>
    <w:rsid w:val="001D6037"/>
    <w:rsid w:val="001D6CFA"/>
    <w:rsid w:val="001E4E61"/>
    <w:rsid w:val="001F2FD2"/>
    <w:rsid w:val="001F3BC8"/>
    <w:rsid w:val="001F466F"/>
    <w:rsid w:val="001F5106"/>
    <w:rsid w:val="002019A8"/>
    <w:rsid w:val="002076DA"/>
    <w:rsid w:val="002215AE"/>
    <w:rsid w:val="002239DD"/>
    <w:rsid w:val="00225378"/>
    <w:rsid w:val="00230345"/>
    <w:rsid w:val="00230975"/>
    <w:rsid w:val="00236813"/>
    <w:rsid w:val="00251246"/>
    <w:rsid w:val="00256652"/>
    <w:rsid w:val="00257BEC"/>
    <w:rsid w:val="002637F9"/>
    <w:rsid w:val="00270A7C"/>
    <w:rsid w:val="00272361"/>
    <w:rsid w:val="00275719"/>
    <w:rsid w:val="0027648F"/>
    <w:rsid w:val="00277040"/>
    <w:rsid w:val="00277BF4"/>
    <w:rsid w:val="00283A1B"/>
    <w:rsid w:val="00292CED"/>
    <w:rsid w:val="0029459F"/>
    <w:rsid w:val="0029685F"/>
    <w:rsid w:val="002A3314"/>
    <w:rsid w:val="002C041F"/>
    <w:rsid w:val="002D29B8"/>
    <w:rsid w:val="002D51C9"/>
    <w:rsid w:val="002E079E"/>
    <w:rsid w:val="002E2397"/>
    <w:rsid w:val="002F2B88"/>
    <w:rsid w:val="002F41CB"/>
    <w:rsid w:val="002F7DB1"/>
    <w:rsid w:val="003020F1"/>
    <w:rsid w:val="0030407C"/>
    <w:rsid w:val="003064C4"/>
    <w:rsid w:val="003212DA"/>
    <w:rsid w:val="00323237"/>
    <w:rsid w:val="00323F1F"/>
    <w:rsid w:val="00325B0C"/>
    <w:rsid w:val="00330B9C"/>
    <w:rsid w:val="003363C7"/>
    <w:rsid w:val="00344634"/>
    <w:rsid w:val="00347B92"/>
    <w:rsid w:val="003538A5"/>
    <w:rsid w:val="0035599F"/>
    <w:rsid w:val="0036047A"/>
    <w:rsid w:val="00360F81"/>
    <w:rsid w:val="003672C6"/>
    <w:rsid w:val="00367736"/>
    <w:rsid w:val="00370386"/>
    <w:rsid w:val="00374D8F"/>
    <w:rsid w:val="00375DB5"/>
    <w:rsid w:val="0038228D"/>
    <w:rsid w:val="00391B12"/>
    <w:rsid w:val="003A0BC1"/>
    <w:rsid w:val="003A6DA6"/>
    <w:rsid w:val="003B0F96"/>
    <w:rsid w:val="003C12A5"/>
    <w:rsid w:val="003C7166"/>
    <w:rsid w:val="003C77AA"/>
    <w:rsid w:val="003D21EF"/>
    <w:rsid w:val="003D2723"/>
    <w:rsid w:val="003D396D"/>
    <w:rsid w:val="003D4338"/>
    <w:rsid w:val="003E1667"/>
    <w:rsid w:val="003E2060"/>
    <w:rsid w:val="003E42D3"/>
    <w:rsid w:val="003F2555"/>
    <w:rsid w:val="003F5890"/>
    <w:rsid w:val="003F6A43"/>
    <w:rsid w:val="003F6CEA"/>
    <w:rsid w:val="00401DF8"/>
    <w:rsid w:val="004037C5"/>
    <w:rsid w:val="004109D5"/>
    <w:rsid w:val="00412565"/>
    <w:rsid w:val="00413289"/>
    <w:rsid w:val="004172D4"/>
    <w:rsid w:val="004279FA"/>
    <w:rsid w:val="0043450B"/>
    <w:rsid w:val="0044208B"/>
    <w:rsid w:val="00445218"/>
    <w:rsid w:val="004467FB"/>
    <w:rsid w:val="0044706E"/>
    <w:rsid w:val="00471FDC"/>
    <w:rsid w:val="00472923"/>
    <w:rsid w:val="0047642A"/>
    <w:rsid w:val="00481DD3"/>
    <w:rsid w:val="00482BB3"/>
    <w:rsid w:val="00483FE2"/>
    <w:rsid w:val="00486C87"/>
    <w:rsid w:val="00496B3E"/>
    <w:rsid w:val="004A5335"/>
    <w:rsid w:val="004B435D"/>
    <w:rsid w:val="004C08E0"/>
    <w:rsid w:val="004C12FB"/>
    <w:rsid w:val="004C2D02"/>
    <w:rsid w:val="004C3FD5"/>
    <w:rsid w:val="004C5CC7"/>
    <w:rsid w:val="004C62BE"/>
    <w:rsid w:val="004E1138"/>
    <w:rsid w:val="004F04C8"/>
    <w:rsid w:val="004F0D93"/>
    <w:rsid w:val="004F26CC"/>
    <w:rsid w:val="004F5311"/>
    <w:rsid w:val="004F5D7E"/>
    <w:rsid w:val="004F5F8B"/>
    <w:rsid w:val="00504CE1"/>
    <w:rsid w:val="005102A0"/>
    <w:rsid w:val="00511EBB"/>
    <w:rsid w:val="00514603"/>
    <w:rsid w:val="00520669"/>
    <w:rsid w:val="00524052"/>
    <w:rsid w:val="00527F64"/>
    <w:rsid w:val="00530C86"/>
    <w:rsid w:val="00534BCF"/>
    <w:rsid w:val="00540412"/>
    <w:rsid w:val="00540BA0"/>
    <w:rsid w:val="00541B7D"/>
    <w:rsid w:val="00544C21"/>
    <w:rsid w:val="005475CE"/>
    <w:rsid w:val="0055040B"/>
    <w:rsid w:val="00551219"/>
    <w:rsid w:val="0055473A"/>
    <w:rsid w:val="0056389F"/>
    <w:rsid w:val="00563F32"/>
    <w:rsid w:val="005679B8"/>
    <w:rsid w:val="0057141F"/>
    <w:rsid w:val="00573F65"/>
    <w:rsid w:val="005770F2"/>
    <w:rsid w:val="0058189B"/>
    <w:rsid w:val="005846EF"/>
    <w:rsid w:val="0058493C"/>
    <w:rsid w:val="005A6202"/>
    <w:rsid w:val="005B2860"/>
    <w:rsid w:val="005B5E42"/>
    <w:rsid w:val="005B79C6"/>
    <w:rsid w:val="005C204C"/>
    <w:rsid w:val="005C59B7"/>
    <w:rsid w:val="005D333E"/>
    <w:rsid w:val="005E6BDA"/>
    <w:rsid w:val="005F5019"/>
    <w:rsid w:val="006019EB"/>
    <w:rsid w:val="0060282E"/>
    <w:rsid w:val="00603593"/>
    <w:rsid w:val="00605E2C"/>
    <w:rsid w:val="00606E31"/>
    <w:rsid w:val="00613845"/>
    <w:rsid w:val="00621D29"/>
    <w:rsid w:val="00622777"/>
    <w:rsid w:val="006316D4"/>
    <w:rsid w:val="00644E93"/>
    <w:rsid w:val="00651EDA"/>
    <w:rsid w:val="0065385B"/>
    <w:rsid w:val="006542C2"/>
    <w:rsid w:val="00656F43"/>
    <w:rsid w:val="00660391"/>
    <w:rsid w:val="00660607"/>
    <w:rsid w:val="00660FF1"/>
    <w:rsid w:val="00662C5C"/>
    <w:rsid w:val="0066470B"/>
    <w:rsid w:val="0066541A"/>
    <w:rsid w:val="00665C56"/>
    <w:rsid w:val="006734D5"/>
    <w:rsid w:val="00680A52"/>
    <w:rsid w:val="00683983"/>
    <w:rsid w:val="00685CED"/>
    <w:rsid w:val="006874A2"/>
    <w:rsid w:val="006945A2"/>
    <w:rsid w:val="00694823"/>
    <w:rsid w:val="006A12CC"/>
    <w:rsid w:val="006B5DAA"/>
    <w:rsid w:val="006C0D8D"/>
    <w:rsid w:val="006C24BD"/>
    <w:rsid w:val="006D1D17"/>
    <w:rsid w:val="006D2974"/>
    <w:rsid w:val="006D4254"/>
    <w:rsid w:val="006F1196"/>
    <w:rsid w:val="006F1256"/>
    <w:rsid w:val="006F67AB"/>
    <w:rsid w:val="006F6E23"/>
    <w:rsid w:val="00703194"/>
    <w:rsid w:val="00704904"/>
    <w:rsid w:val="00711058"/>
    <w:rsid w:val="00714B89"/>
    <w:rsid w:val="0071540B"/>
    <w:rsid w:val="00716412"/>
    <w:rsid w:val="00721B1E"/>
    <w:rsid w:val="00722BBF"/>
    <w:rsid w:val="00726646"/>
    <w:rsid w:val="0072766A"/>
    <w:rsid w:val="00735669"/>
    <w:rsid w:val="00737323"/>
    <w:rsid w:val="00742596"/>
    <w:rsid w:val="00742ECC"/>
    <w:rsid w:val="00744C24"/>
    <w:rsid w:val="007539D4"/>
    <w:rsid w:val="00754408"/>
    <w:rsid w:val="0076021B"/>
    <w:rsid w:val="00771945"/>
    <w:rsid w:val="00771DEA"/>
    <w:rsid w:val="00771F53"/>
    <w:rsid w:val="00777CDD"/>
    <w:rsid w:val="007836CF"/>
    <w:rsid w:val="00787BB4"/>
    <w:rsid w:val="00791929"/>
    <w:rsid w:val="007938DF"/>
    <w:rsid w:val="00794CB4"/>
    <w:rsid w:val="007A562B"/>
    <w:rsid w:val="007A6387"/>
    <w:rsid w:val="007A7616"/>
    <w:rsid w:val="007B7ACA"/>
    <w:rsid w:val="007C3F6F"/>
    <w:rsid w:val="007C66FD"/>
    <w:rsid w:val="007D4CD5"/>
    <w:rsid w:val="007D4FAA"/>
    <w:rsid w:val="007D52C2"/>
    <w:rsid w:val="007E3914"/>
    <w:rsid w:val="007E5054"/>
    <w:rsid w:val="007F6554"/>
    <w:rsid w:val="0080212F"/>
    <w:rsid w:val="008076CD"/>
    <w:rsid w:val="0081015F"/>
    <w:rsid w:val="00811D22"/>
    <w:rsid w:val="008175CB"/>
    <w:rsid w:val="008512AC"/>
    <w:rsid w:val="00855F0D"/>
    <w:rsid w:val="00862664"/>
    <w:rsid w:val="008642B3"/>
    <w:rsid w:val="00867434"/>
    <w:rsid w:val="00873B26"/>
    <w:rsid w:val="00874C42"/>
    <w:rsid w:val="0088007D"/>
    <w:rsid w:val="008839AE"/>
    <w:rsid w:val="00892B5A"/>
    <w:rsid w:val="00896387"/>
    <w:rsid w:val="00897BEA"/>
    <w:rsid w:val="008A114A"/>
    <w:rsid w:val="008A432B"/>
    <w:rsid w:val="008A4EA3"/>
    <w:rsid w:val="008C5048"/>
    <w:rsid w:val="008C5E2C"/>
    <w:rsid w:val="008D09C6"/>
    <w:rsid w:val="008D4416"/>
    <w:rsid w:val="008D68BC"/>
    <w:rsid w:val="008E1003"/>
    <w:rsid w:val="008F04AE"/>
    <w:rsid w:val="008F75F2"/>
    <w:rsid w:val="009030EE"/>
    <w:rsid w:val="00903592"/>
    <w:rsid w:val="009066F9"/>
    <w:rsid w:val="00923A4E"/>
    <w:rsid w:val="00925000"/>
    <w:rsid w:val="009263AB"/>
    <w:rsid w:val="00926B29"/>
    <w:rsid w:val="009273DF"/>
    <w:rsid w:val="0093160C"/>
    <w:rsid w:val="00940495"/>
    <w:rsid w:val="00943FFA"/>
    <w:rsid w:val="0094458A"/>
    <w:rsid w:val="0094508B"/>
    <w:rsid w:val="0094688E"/>
    <w:rsid w:val="009511A9"/>
    <w:rsid w:val="0095330A"/>
    <w:rsid w:val="00957FEF"/>
    <w:rsid w:val="009659ED"/>
    <w:rsid w:val="009735C2"/>
    <w:rsid w:val="00977496"/>
    <w:rsid w:val="00977D7C"/>
    <w:rsid w:val="00993246"/>
    <w:rsid w:val="00993471"/>
    <w:rsid w:val="0099542F"/>
    <w:rsid w:val="00996F37"/>
    <w:rsid w:val="009B24FF"/>
    <w:rsid w:val="009B2DE1"/>
    <w:rsid w:val="009B5F7C"/>
    <w:rsid w:val="009C1A73"/>
    <w:rsid w:val="009C2B3C"/>
    <w:rsid w:val="009C2E39"/>
    <w:rsid w:val="009C4179"/>
    <w:rsid w:val="009C4BD2"/>
    <w:rsid w:val="009C4DEF"/>
    <w:rsid w:val="009D0142"/>
    <w:rsid w:val="009D0D4A"/>
    <w:rsid w:val="009D3091"/>
    <w:rsid w:val="009D3E9D"/>
    <w:rsid w:val="009E1F59"/>
    <w:rsid w:val="009E379B"/>
    <w:rsid w:val="009E5053"/>
    <w:rsid w:val="009F73AC"/>
    <w:rsid w:val="009F76DF"/>
    <w:rsid w:val="00A00AF2"/>
    <w:rsid w:val="00A046ED"/>
    <w:rsid w:val="00A10D93"/>
    <w:rsid w:val="00A117D1"/>
    <w:rsid w:val="00A23859"/>
    <w:rsid w:val="00A26C96"/>
    <w:rsid w:val="00A304B5"/>
    <w:rsid w:val="00A34FCE"/>
    <w:rsid w:val="00A35CCB"/>
    <w:rsid w:val="00A3633B"/>
    <w:rsid w:val="00A36FBA"/>
    <w:rsid w:val="00A4084B"/>
    <w:rsid w:val="00A4410F"/>
    <w:rsid w:val="00A447F9"/>
    <w:rsid w:val="00A50AA2"/>
    <w:rsid w:val="00A538CC"/>
    <w:rsid w:val="00A5453B"/>
    <w:rsid w:val="00A6640C"/>
    <w:rsid w:val="00A66A10"/>
    <w:rsid w:val="00A7441D"/>
    <w:rsid w:val="00A84041"/>
    <w:rsid w:val="00A86652"/>
    <w:rsid w:val="00A902ED"/>
    <w:rsid w:val="00A9151E"/>
    <w:rsid w:val="00A920E9"/>
    <w:rsid w:val="00A96067"/>
    <w:rsid w:val="00A96A89"/>
    <w:rsid w:val="00A97823"/>
    <w:rsid w:val="00AA022E"/>
    <w:rsid w:val="00AA1012"/>
    <w:rsid w:val="00AA1BA0"/>
    <w:rsid w:val="00AA29BA"/>
    <w:rsid w:val="00AA7502"/>
    <w:rsid w:val="00AB24E9"/>
    <w:rsid w:val="00AB29B0"/>
    <w:rsid w:val="00AC67E1"/>
    <w:rsid w:val="00AC73C7"/>
    <w:rsid w:val="00AC75A5"/>
    <w:rsid w:val="00AD5CE5"/>
    <w:rsid w:val="00AD6088"/>
    <w:rsid w:val="00AD66AD"/>
    <w:rsid w:val="00AE3499"/>
    <w:rsid w:val="00AE3F75"/>
    <w:rsid w:val="00AE5D37"/>
    <w:rsid w:val="00AE5E0D"/>
    <w:rsid w:val="00AF0877"/>
    <w:rsid w:val="00B00588"/>
    <w:rsid w:val="00B05597"/>
    <w:rsid w:val="00B10D0D"/>
    <w:rsid w:val="00B20979"/>
    <w:rsid w:val="00B23049"/>
    <w:rsid w:val="00B264AE"/>
    <w:rsid w:val="00B26A34"/>
    <w:rsid w:val="00B26F1E"/>
    <w:rsid w:val="00B44C8B"/>
    <w:rsid w:val="00B5482F"/>
    <w:rsid w:val="00B56782"/>
    <w:rsid w:val="00B60BA7"/>
    <w:rsid w:val="00B743BD"/>
    <w:rsid w:val="00B74881"/>
    <w:rsid w:val="00B76B77"/>
    <w:rsid w:val="00B779CB"/>
    <w:rsid w:val="00B827A9"/>
    <w:rsid w:val="00B879D3"/>
    <w:rsid w:val="00B87DD0"/>
    <w:rsid w:val="00B90A39"/>
    <w:rsid w:val="00BA0C53"/>
    <w:rsid w:val="00BA5C7B"/>
    <w:rsid w:val="00BA6BBC"/>
    <w:rsid w:val="00BA6C90"/>
    <w:rsid w:val="00BA7CDC"/>
    <w:rsid w:val="00BB4C29"/>
    <w:rsid w:val="00BC0E24"/>
    <w:rsid w:val="00BC3063"/>
    <w:rsid w:val="00BD3EC4"/>
    <w:rsid w:val="00BD48D2"/>
    <w:rsid w:val="00BD4EA3"/>
    <w:rsid w:val="00BD6798"/>
    <w:rsid w:val="00BD6EA8"/>
    <w:rsid w:val="00BE22EC"/>
    <w:rsid w:val="00BE4314"/>
    <w:rsid w:val="00BE7923"/>
    <w:rsid w:val="00BF2978"/>
    <w:rsid w:val="00C04A72"/>
    <w:rsid w:val="00C10636"/>
    <w:rsid w:val="00C12A4B"/>
    <w:rsid w:val="00C225B8"/>
    <w:rsid w:val="00C35FEA"/>
    <w:rsid w:val="00C40F40"/>
    <w:rsid w:val="00C44412"/>
    <w:rsid w:val="00C45D66"/>
    <w:rsid w:val="00C536F5"/>
    <w:rsid w:val="00C5528D"/>
    <w:rsid w:val="00C55FD1"/>
    <w:rsid w:val="00C63BF9"/>
    <w:rsid w:val="00C76653"/>
    <w:rsid w:val="00C823BA"/>
    <w:rsid w:val="00C952F8"/>
    <w:rsid w:val="00C9536A"/>
    <w:rsid w:val="00C96A8D"/>
    <w:rsid w:val="00C96C61"/>
    <w:rsid w:val="00CA184D"/>
    <w:rsid w:val="00CA7846"/>
    <w:rsid w:val="00CB154E"/>
    <w:rsid w:val="00CB683F"/>
    <w:rsid w:val="00CC1A21"/>
    <w:rsid w:val="00CC3C7C"/>
    <w:rsid w:val="00CC4C81"/>
    <w:rsid w:val="00CD25BA"/>
    <w:rsid w:val="00CD43AE"/>
    <w:rsid w:val="00CE1B72"/>
    <w:rsid w:val="00CE1FC4"/>
    <w:rsid w:val="00CE5650"/>
    <w:rsid w:val="00CE7D21"/>
    <w:rsid w:val="00CF324A"/>
    <w:rsid w:val="00CF4C73"/>
    <w:rsid w:val="00CF73C6"/>
    <w:rsid w:val="00CF7CD8"/>
    <w:rsid w:val="00D039E8"/>
    <w:rsid w:val="00D12072"/>
    <w:rsid w:val="00D225E5"/>
    <w:rsid w:val="00D231FC"/>
    <w:rsid w:val="00D24FE3"/>
    <w:rsid w:val="00D269E8"/>
    <w:rsid w:val="00D447EB"/>
    <w:rsid w:val="00D45FE1"/>
    <w:rsid w:val="00D50B05"/>
    <w:rsid w:val="00D50FB5"/>
    <w:rsid w:val="00D523FA"/>
    <w:rsid w:val="00D56C90"/>
    <w:rsid w:val="00D6490F"/>
    <w:rsid w:val="00D674DE"/>
    <w:rsid w:val="00D81015"/>
    <w:rsid w:val="00D94C3C"/>
    <w:rsid w:val="00D96F2B"/>
    <w:rsid w:val="00DA56CB"/>
    <w:rsid w:val="00DA7D6E"/>
    <w:rsid w:val="00DB0C6D"/>
    <w:rsid w:val="00DB12C7"/>
    <w:rsid w:val="00DB60C3"/>
    <w:rsid w:val="00DC241F"/>
    <w:rsid w:val="00DD3679"/>
    <w:rsid w:val="00DD7E55"/>
    <w:rsid w:val="00DE0B03"/>
    <w:rsid w:val="00DE503C"/>
    <w:rsid w:val="00DF03F7"/>
    <w:rsid w:val="00DF11B5"/>
    <w:rsid w:val="00E05588"/>
    <w:rsid w:val="00E07D8D"/>
    <w:rsid w:val="00E12DF5"/>
    <w:rsid w:val="00E17751"/>
    <w:rsid w:val="00E20906"/>
    <w:rsid w:val="00E23DBB"/>
    <w:rsid w:val="00E246E3"/>
    <w:rsid w:val="00E25492"/>
    <w:rsid w:val="00E3573F"/>
    <w:rsid w:val="00E37A17"/>
    <w:rsid w:val="00E41B16"/>
    <w:rsid w:val="00E47C1E"/>
    <w:rsid w:val="00E54169"/>
    <w:rsid w:val="00E55E3C"/>
    <w:rsid w:val="00E56311"/>
    <w:rsid w:val="00E56F18"/>
    <w:rsid w:val="00E60F54"/>
    <w:rsid w:val="00E827A9"/>
    <w:rsid w:val="00E84455"/>
    <w:rsid w:val="00E84A42"/>
    <w:rsid w:val="00E872F8"/>
    <w:rsid w:val="00E91ACC"/>
    <w:rsid w:val="00E9200D"/>
    <w:rsid w:val="00E93385"/>
    <w:rsid w:val="00E9568C"/>
    <w:rsid w:val="00EA6F3D"/>
    <w:rsid w:val="00EB7AE3"/>
    <w:rsid w:val="00EC4C29"/>
    <w:rsid w:val="00EE06AA"/>
    <w:rsid w:val="00EE6CD5"/>
    <w:rsid w:val="00EF0366"/>
    <w:rsid w:val="00EF563B"/>
    <w:rsid w:val="00EF71AE"/>
    <w:rsid w:val="00F008CB"/>
    <w:rsid w:val="00F00FB6"/>
    <w:rsid w:val="00F026B2"/>
    <w:rsid w:val="00F0472F"/>
    <w:rsid w:val="00F15AC1"/>
    <w:rsid w:val="00F20946"/>
    <w:rsid w:val="00F317AE"/>
    <w:rsid w:val="00F35455"/>
    <w:rsid w:val="00F40EC2"/>
    <w:rsid w:val="00F466ED"/>
    <w:rsid w:val="00F5084D"/>
    <w:rsid w:val="00F526B9"/>
    <w:rsid w:val="00F532F3"/>
    <w:rsid w:val="00F548ED"/>
    <w:rsid w:val="00F5645B"/>
    <w:rsid w:val="00F623BA"/>
    <w:rsid w:val="00F73D43"/>
    <w:rsid w:val="00F80AAA"/>
    <w:rsid w:val="00F820A2"/>
    <w:rsid w:val="00F823EF"/>
    <w:rsid w:val="00F84060"/>
    <w:rsid w:val="00FA073F"/>
    <w:rsid w:val="00FA2434"/>
    <w:rsid w:val="00FB7755"/>
    <w:rsid w:val="00FC1BDF"/>
    <w:rsid w:val="00FC6832"/>
    <w:rsid w:val="00FD0A5A"/>
    <w:rsid w:val="00FD3D6F"/>
    <w:rsid w:val="00FD6133"/>
    <w:rsid w:val="00FE3B1E"/>
    <w:rsid w:val="00FF71E1"/>
    <w:rsid w:val="00FF7953"/>
    <w:rsid w:val="011E0FAF"/>
    <w:rsid w:val="01353150"/>
    <w:rsid w:val="016A1786"/>
    <w:rsid w:val="017D708E"/>
    <w:rsid w:val="01955C0E"/>
    <w:rsid w:val="01A30D24"/>
    <w:rsid w:val="01A85D6F"/>
    <w:rsid w:val="01CB239D"/>
    <w:rsid w:val="01E52700"/>
    <w:rsid w:val="01FC3C71"/>
    <w:rsid w:val="02820350"/>
    <w:rsid w:val="02866093"/>
    <w:rsid w:val="02BC0727"/>
    <w:rsid w:val="02C03ACD"/>
    <w:rsid w:val="02EC7A88"/>
    <w:rsid w:val="03046CDC"/>
    <w:rsid w:val="0319312B"/>
    <w:rsid w:val="03231BC2"/>
    <w:rsid w:val="032952CB"/>
    <w:rsid w:val="032B5119"/>
    <w:rsid w:val="03317F08"/>
    <w:rsid w:val="033876D0"/>
    <w:rsid w:val="03530242"/>
    <w:rsid w:val="03561F09"/>
    <w:rsid w:val="037B2A92"/>
    <w:rsid w:val="03CC164B"/>
    <w:rsid w:val="03E264F1"/>
    <w:rsid w:val="03E62FBF"/>
    <w:rsid w:val="03F40917"/>
    <w:rsid w:val="04080BA0"/>
    <w:rsid w:val="042B26C2"/>
    <w:rsid w:val="043B1FC0"/>
    <w:rsid w:val="04590024"/>
    <w:rsid w:val="04763EE5"/>
    <w:rsid w:val="047D37DE"/>
    <w:rsid w:val="048C2EFE"/>
    <w:rsid w:val="04992E63"/>
    <w:rsid w:val="04A53186"/>
    <w:rsid w:val="04A56E6E"/>
    <w:rsid w:val="050A76F9"/>
    <w:rsid w:val="051536FE"/>
    <w:rsid w:val="051D2B72"/>
    <w:rsid w:val="05217E87"/>
    <w:rsid w:val="052E4B34"/>
    <w:rsid w:val="058A6E50"/>
    <w:rsid w:val="05E74E14"/>
    <w:rsid w:val="06154871"/>
    <w:rsid w:val="0679783A"/>
    <w:rsid w:val="06A15AF6"/>
    <w:rsid w:val="06BE46F4"/>
    <w:rsid w:val="06D91FE6"/>
    <w:rsid w:val="06ED1F18"/>
    <w:rsid w:val="07092254"/>
    <w:rsid w:val="070B1A23"/>
    <w:rsid w:val="072E7ACC"/>
    <w:rsid w:val="074841EC"/>
    <w:rsid w:val="075508AD"/>
    <w:rsid w:val="076170CE"/>
    <w:rsid w:val="07A7525A"/>
    <w:rsid w:val="07B34EC7"/>
    <w:rsid w:val="07BA3F9B"/>
    <w:rsid w:val="07CE2E09"/>
    <w:rsid w:val="081A1D17"/>
    <w:rsid w:val="082F3215"/>
    <w:rsid w:val="08425F97"/>
    <w:rsid w:val="08536A17"/>
    <w:rsid w:val="08567150"/>
    <w:rsid w:val="08571C4A"/>
    <w:rsid w:val="085B13C5"/>
    <w:rsid w:val="086629AC"/>
    <w:rsid w:val="089113DD"/>
    <w:rsid w:val="089F2A70"/>
    <w:rsid w:val="08A96A7F"/>
    <w:rsid w:val="08EA2E75"/>
    <w:rsid w:val="08F844EB"/>
    <w:rsid w:val="08FD6983"/>
    <w:rsid w:val="0906093E"/>
    <w:rsid w:val="090C38C7"/>
    <w:rsid w:val="09434C3C"/>
    <w:rsid w:val="09905CA1"/>
    <w:rsid w:val="09935198"/>
    <w:rsid w:val="09C26C9E"/>
    <w:rsid w:val="09DE50CA"/>
    <w:rsid w:val="0A0A75A9"/>
    <w:rsid w:val="0A576CAC"/>
    <w:rsid w:val="0AB86300"/>
    <w:rsid w:val="0AF07B79"/>
    <w:rsid w:val="0B021337"/>
    <w:rsid w:val="0B1667CF"/>
    <w:rsid w:val="0B7D293D"/>
    <w:rsid w:val="0B7F31E1"/>
    <w:rsid w:val="0B92078C"/>
    <w:rsid w:val="0BAE1331"/>
    <w:rsid w:val="0BDB744F"/>
    <w:rsid w:val="0BF82C31"/>
    <w:rsid w:val="0C102A84"/>
    <w:rsid w:val="0C2114A1"/>
    <w:rsid w:val="0C3870A1"/>
    <w:rsid w:val="0C547398"/>
    <w:rsid w:val="0CA90055"/>
    <w:rsid w:val="0CAF7DD0"/>
    <w:rsid w:val="0CCE5D05"/>
    <w:rsid w:val="0D4D7F35"/>
    <w:rsid w:val="0D625598"/>
    <w:rsid w:val="0DB31D06"/>
    <w:rsid w:val="0DC43F13"/>
    <w:rsid w:val="0DC53159"/>
    <w:rsid w:val="0DC9777B"/>
    <w:rsid w:val="0E074704"/>
    <w:rsid w:val="0E086284"/>
    <w:rsid w:val="0E253445"/>
    <w:rsid w:val="0E2A7675"/>
    <w:rsid w:val="0E417FC6"/>
    <w:rsid w:val="0E621336"/>
    <w:rsid w:val="0E700754"/>
    <w:rsid w:val="0F0C746F"/>
    <w:rsid w:val="0F1A76E4"/>
    <w:rsid w:val="0F350E8B"/>
    <w:rsid w:val="0F484D09"/>
    <w:rsid w:val="0F703D4A"/>
    <w:rsid w:val="0F826423"/>
    <w:rsid w:val="0F864E8A"/>
    <w:rsid w:val="0FD778A1"/>
    <w:rsid w:val="0FFB5E7A"/>
    <w:rsid w:val="0FFD2107"/>
    <w:rsid w:val="10202619"/>
    <w:rsid w:val="1028262F"/>
    <w:rsid w:val="10394744"/>
    <w:rsid w:val="10675A38"/>
    <w:rsid w:val="10800B1E"/>
    <w:rsid w:val="10806DD7"/>
    <w:rsid w:val="10BA75EF"/>
    <w:rsid w:val="10D604F0"/>
    <w:rsid w:val="1126480E"/>
    <w:rsid w:val="115A374C"/>
    <w:rsid w:val="11755C50"/>
    <w:rsid w:val="11B063FA"/>
    <w:rsid w:val="11B44546"/>
    <w:rsid w:val="11BA078E"/>
    <w:rsid w:val="11E87828"/>
    <w:rsid w:val="11EA1A5C"/>
    <w:rsid w:val="122038A7"/>
    <w:rsid w:val="12307612"/>
    <w:rsid w:val="12317D70"/>
    <w:rsid w:val="12445B3A"/>
    <w:rsid w:val="12565158"/>
    <w:rsid w:val="12794A62"/>
    <w:rsid w:val="129B466E"/>
    <w:rsid w:val="12A41B15"/>
    <w:rsid w:val="12A824A5"/>
    <w:rsid w:val="12AF26E6"/>
    <w:rsid w:val="12C37B50"/>
    <w:rsid w:val="12D2038A"/>
    <w:rsid w:val="13173046"/>
    <w:rsid w:val="134915F5"/>
    <w:rsid w:val="134F481A"/>
    <w:rsid w:val="136044BA"/>
    <w:rsid w:val="13653AA2"/>
    <w:rsid w:val="13725C40"/>
    <w:rsid w:val="13A83A8D"/>
    <w:rsid w:val="13BC126E"/>
    <w:rsid w:val="13C3373E"/>
    <w:rsid w:val="13C45F7D"/>
    <w:rsid w:val="13D7537E"/>
    <w:rsid w:val="13DF1DF8"/>
    <w:rsid w:val="13E04B4D"/>
    <w:rsid w:val="14035685"/>
    <w:rsid w:val="1405640D"/>
    <w:rsid w:val="140908D1"/>
    <w:rsid w:val="141F7B53"/>
    <w:rsid w:val="142A577A"/>
    <w:rsid w:val="143754F7"/>
    <w:rsid w:val="14543FB2"/>
    <w:rsid w:val="14821EFB"/>
    <w:rsid w:val="149038C9"/>
    <w:rsid w:val="149F1232"/>
    <w:rsid w:val="14CF7C12"/>
    <w:rsid w:val="14D242CD"/>
    <w:rsid w:val="14E22D78"/>
    <w:rsid w:val="152773C8"/>
    <w:rsid w:val="154F237D"/>
    <w:rsid w:val="158575DD"/>
    <w:rsid w:val="15E2262F"/>
    <w:rsid w:val="15EE5FD1"/>
    <w:rsid w:val="16205E19"/>
    <w:rsid w:val="16757C8C"/>
    <w:rsid w:val="167F30CD"/>
    <w:rsid w:val="16942765"/>
    <w:rsid w:val="16B87951"/>
    <w:rsid w:val="16E07CDB"/>
    <w:rsid w:val="17166049"/>
    <w:rsid w:val="17274944"/>
    <w:rsid w:val="175E0FF1"/>
    <w:rsid w:val="175E789A"/>
    <w:rsid w:val="179B722C"/>
    <w:rsid w:val="17AC6144"/>
    <w:rsid w:val="17E1714A"/>
    <w:rsid w:val="17EE2081"/>
    <w:rsid w:val="17FA1F6C"/>
    <w:rsid w:val="1824353F"/>
    <w:rsid w:val="18A647DD"/>
    <w:rsid w:val="19212219"/>
    <w:rsid w:val="19280479"/>
    <w:rsid w:val="194E39DB"/>
    <w:rsid w:val="194E6428"/>
    <w:rsid w:val="195E3EAE"/>
    <w:rsid w:val="197F26E3"/>
    <w:rsid w:val="19AD7F51"/>
    <w:rsid w:val="19D36C12"/>
    <w:rsid w:val="19E13AA0"/>
    <w:rsid w:val="19E1794A"/>
    <w:rsid w:val="19E27BFB"/>
    <w:rsid w:val="19E35F98"/>
    <w:rsid w:val="19EE7E5D"/>
    <w:rsid w:val="1A030919"/>
    <w:rsid w:val="1A224B05"/>
    <w:rsid w:val="1A74451A"/>
    <w:rsid w:val="1A8567D8"/>
    <w:rsid w:val="1A8D680F"/>
    <w:rsid w:val="1A944D3F"/>
    <w:rsid w:val="1AA24BCB"/>
    <w:rsid w:val="1AA57C2F"/>
    <w:rsid w:val="1AB17E0C"/>
    <w:rsid w:val="1ABF6264"/>
    <w:rsid w:val="1B08049B"/>
    <w:rsid w:val="1B232A67"/>
    <w:rsid w:val="1B2808BE"/>
    <w:rsid w:val="1B436043"/>
    <w:rsid w:val="1B5144A1"/>
    <w:rsid w:val="1B575D9C"/>
    <w:rsid w:val="1B6427C2"/>
    <w:rsid w:val="1B6F0B84"/>
    <w:rsid w:val="1BC56196"/>
    <w:rsid w:val="1BD63489"/>
    <w:rsid w:val="1C073060"/>
    <w:rsid w:val="1C1E3330"/>
    <w:rsid w:val="1C214EBA"/>
    <w:rsid w:val="1C6B037B"/>
    <w:rsid w:val="1C6B273C"/>
    <w:rsid w:val="1CBB0F71"/>
    <w:rsid w:val="1CC72A7D"/>
    <w:rsid w:val="1CCC4B92"/>
    <w:rsid w:val="1CCC570F"/>
    <w:rsid w:val="1CD10E9D"/>
    <w:rsid w:val="1CDA5801"/>
    <w:rsid w:val="1CF708BC"/>
    <w:rsid w:val="1D012F61"/>
    <w:rsid w:val="1D2E4647"/>
    <w:rsid w:val="1D397DAC"/>
    <w:rsid w:val="1D921938"/>
    <w:rsid w:val="1D960299"/>
    <w:rsid w:val="1DAC24A5"/>
    <w:rsid w:val="1DB1083F"/>
    <w:rsid w:val="1DBC69B5"/>
    <w:rsid w:val="1DDD3DB8"/>
    <w:rsid w:val="1DE40B38"/>
    <w:rsid w:val="1E0557C9"/>
    <w:rsid w:val="1E167827"/>
    <w:rsid w:val="1E3649B9"/>
    <w:rsid w:val="1E444FEB"/>
    <w:rsid w:val="1E546C2D"/>
    <w:rsid w:val="1E572521"/>
    <w:rsid w:val="1E636AD9"/>
    <w:rsid w:val="1E7A7F7E"/>
    <w:rsid w:val="1E9C122D"/>
    <w:rsid w:val="1E9E5891"/>
    <w:rsid w:val="1EAD7A9F"/>
    <w:rsid w:val="1EC87BFF"/>
    <w:rsid w:val="1EF42914"/>
    <w:rsid w:val="1F113533"/>
    <w:rsid w:val="1F1D6D27"/>
    <w:rsid w:val="1F4632B7"/>
    <w:rsid w:val="1F8755C4"/>
    <w:rsid w:val="1FE67E76"/>
    <w:rsid w:val="203976F2"/>
    <w:rsid w:val="20496AE5"/>
    <w:rsid w:val="20B2479C"/>
    <w:rsid w:val="20F22A16"/>
    <w:rsid w:val="20F85555"/>
    <w:rsid w:val="2159163B"/>
    <w:rsid w:val="215C5843"/>
    <w:rsid w:val="21676C37"/>
    <w:rsid w:val="216E684D"/>
    <w:rsid w:val="217764B2"/>
    <w:rsid w:val="218C2DBF"/>
    <w:rsid w:val="21921858"/>
    <w:rsid w:val="21944AF0"/>
    <w:rsid w:val="21A61285"/>
    <w:rsid w:val="21C5052E"/>
    <w:rsid w:val="21DC6FC7"/>
    <w:rsid w:val="22022CA2"/>
    <w:rsid w:val="22120F99"/>
    <w:rsid w:val="223E515A"/>
    <w:rsid w:val="22801328"/>
    <w:rsid w:val="228B6E33"/>
    <w:rsid w:val="22C500B9"/>
    <w:rsid w:val="23023E15"/>
    <w:rsid w:val="23304328"/>
    <w:rsid w:val="23681D14"/>
    <w:rsid w:val="236A01BA"/>
    <w:rsid w:val="23736A1D"/>
    <w:rsid w:val="23931EE5"/>
    <w:rsid w:val="23DF3A9C"/>
    <w:rsid w:val="23E629DD"/>
    <w:rsid w:val="24066861"/>
    <w:rsid w:val="245711E5"/>
    <w:rsid w:val="248735D0"/>
    <w:rsid w:val="24932167"/>
    <w:rsid w:val="2494054E"/>
    <w:rsid w:val="249E0BC2"/>
    <w:rsid w:val="24C73A6C"/>
    <w:rsid w:val="24D90044"/>
    <w:rsid w:val="24DF5EEB"/>
    <w:rsid w:val="24EC0C81"/>
    <w:rsid w:val="25440E2B"/>
    <w:rsid w:val="254E031C"/>
    <w:rsid w:val="25557199"/>
    <w:rsid w:val="25661806"/>
    <w:rsid w:val="257836EB"/>
    <w:rsid w:val="258B7CC8"/>
    <w:rsid w:val="259F40A6"/>
    <w:rsid w:val="25B561F3"/>
    <w:rsid w:val="25C048C7"/>
    <w:rsid w:val="25D733F0"/>
    <w:rsid w:val="25F0369F"/>
    <w:rsid w:val="260770CA"/>
    <w:rsid w:val="260A3579"/>
    <w:rsid w:val="2631564B"/>
    <w:rsid w:val="26322856"/>
    <w:rsid w:val="265B0268"/>
    <w:rsid w:val="269D7E69"/>
    <w:rsid w:val="272D1F92"/>
    <w:rsid w:val="27567AE0"/>
    <w:rsid w:val="27801C23"/>
    <w:rsid w:val="2799043E"/>
    <w:rsid w:val="27B11830"/>
    <w:rsid w:val="27BF0327"/>
    <w:rsid w:val="27C3740D"/>
    <w:rsid w:val="28210260"/>
    <w:rsid w:val="2824061B"/>
    <w:rsid w:val="282E04AF"/>
    <w:rsid w:val="282E4770"/>
    <w:rsid w:val="284B08A2"/>
    <w:rsid w:val="284C4FE0"/>
    <w:rsid w:val="28524FC9"/>
    <w:rsid w:val="286C428F"/>
    <w:rsid w:val="287C019A"/>
    <w:rsid w:val="28815DAD"/>
    <w:rsid w:val="288602EB"/>
    <w:rsid w:val="28942A08"/>
    <w:rsid w:val="28BC425F"/>
    <w:rsid w:val="28BF53F8"/>
    <w:rsid w:val="28C06F7E"/>
    <w:rsid w:val="290D4A89"/>
    <w:rsid w:val="291833B1"/>
    <w:rsid w:val="2939792A"/>
    <w:rsid w:val="2970407E"/>
    <w:rsid w:val="29791BFE"/>
    <w:rsid w:val="29802302"/>
    <w:rsid w:val="29A22F02"/>
    <w:rsid w:val="29AC4C11"/>
    <w:rsid w:val="29E4715E"/>
    <w:rsid w:val="29F9078A"/>
    <w:rsid w:val="2A0E696C"/>
    <w:rsid w:val="2A306760"/>
    <w:rsid w:val="2A500BB0"/>
    <w:rsid w:val="2A5820E6"/>
    <w:rsid w:val="2AA0743E"/>
    <w:rsid w:val="2AB118E1"/>
    <w:rsid w:val="2AC57F2E"/>
    <w:rsid w:val="2ADB7B91"/>
    <w:rsid w:val="2AE52B3C"/>
    <w:rsid w:val="2AE5579D"/>
    <w:rsid w:val="2B367E17"/>
    <w:rsid w:val="2B391645"/>
    <w:rsid w:val="2B7816DF"/>
    <w:rsid w:val="2BC11E24"/>
    <w:rsid w:val="2BC90C1A"/>
    <w:rsid w:val="2BE02C40"/>
    <w:rsid w:val="2C425C88"/>
    <w:rsid w:val="2C724C07"/>
    <w:rsid w:val="2C9357B4"/>
    <w:rsid w:val="2CB43679"/>
    <w:rsid w:val="2CCF6E07"/>
    <w:rsid w:val="2CE6477E"/>
    <w:rsid w:val="2D1D28FC"/>
    <w:rsid w:val="2D2B65BD"/>
    <w:rsid w:val="2D712544"/>
    <w:rsid w:val="2D903C81"/>
    <w:rsid w:val="2DBD2A37"/>
    <w:rsid w:val="2E062EEB"/>
    <w:rsid w:val="2E6405A0"/>
    <w:rsid w:val="2E800CF2"/>
    <w:rsid w:val="2EA2153C"/>
    <w:rsid w:val="2ED52630"/>
    <w:rsid w:val="2EDF0755"/>
    <w:rsid w:val="2EF53EEF"/>
    <w:rsid w:val="2F4552CD"/>
    <w:rsid w:val="2F637264"/>
    <w:rsid w:val="2F840BF2"/>
    <w:rsid w:val="2F9248FA"/>
    <w:rsid w:val="2FB56A94"/>
    <w:rsid w:val="2FC37E47"/>
    <w:rsid w:val="2FED7CAA"/>
    <w:rsid w:val="2FED7F3B"/>
    <w:rsid w:val="30073732"/>
    <w:rsid w:val="30133592"/>
    <w:rsid w:val="301601A6"/>
    <w:rsid w:val="30430D5E"/>
    <w:rsid w:val="30753239"/>
    <w:rsid w:val="307D639C"/>
    <w:rsid w:val="308E2433"/>
    <w:rsid w:val="30A9233F"/>
    <w:rsid w:val="30E8342A"/>
    <w:rsid w:val="30F57DBC"/>
    <w:rsid w:val="30F87111"/>
    <w:rsid w:val="310A7B7D"/>
    <w:rsid w:val="3115045E"/>
    <w:rsid w:val="311A5769"/>
    <w:rsid w:val="312E32CE"/>
    <w:rsid w:val="3153792F"/>
    <w:rsid w:val="31E203B5"/>
    <w:rsid w:val="31E961C3"/>
    <w:rsid w:val="31EB4642"/>
    <w:rsid w:val="320D3378"/>
    <w:rsid w:val="32197AF2"/>
    <w:rsid w:val="323073CB"/>
    <w:rsid w:val="32311C01"/>
    <w:rsid w:val="324E0806"/>
    <w:rsid w:val="325F0E53"/>
    <w:rsid w:val="32665329"/>
    <w:rsid w:val="32737B32"/>
    <w:rsid w:val="32BB7F39"/>
    <w:rsid w:val="32DE1994"/>
    <w:rsid w:val="33594BA5"/>
    <w:rsid w:val="33633C03"/>
    <w:rsid w:val="33756876"/>
    <w:rsid w:val="33781580"/>
    <w:rsid w:val="33983C88"/>
    <w:rsid w:val="33985FF1"/>
    <w:rsid w:val="339B0286"/>
    <w:rsid w:val="33C82E61"/>
    <w:rsid w:val="33DF6F54"/>
    <w:rsid w:val="33E323D5"/>
    <w:rsid w:val="33EA4587"/>
    <w:rsid w:val="33F80E1A"/>
    <w:rsid w:val="34132AFB"/>
    <w:rsid w:val="341E492E"/>
    <w:rsid w:val="34583820"/>
    <w:rsid w:val="3490242C"/>
    <w:rsid w:val="349A13A6"/>
    <w:rsid w:val="34D249D6"/>
    <w:rsid w:val="34E462E2"/>
    <w:rsid w:val="34E8571D"/>
    <w:rsid w:val="351F4735"/>
    <w:rsid w:val="355B401E"/>
    <w:rsid w:val="356C0464"/>
    <w:rsid w:val="35C10BB4"/>
    <w:rsid w:val="35CA16AF"/>
    <w:rsid w:val="35D7397B"/>
    <w:rsid w:val="35FE70D7"/>
    <w:rsid w:val="36010CDF"/>
    <w:rsid w:val="36280C33"/>
    <w:rsid w:val="362E62D6"/>
    <w:rsid w:val="3659703F"/>
    <w:rsid w:val="366D6646"/>
    <w:rsid w:val="36743240"/>
    <w:rsid w:val="36805D7F"/>
    <w:rsid w:val="36941108"/>
    <w:rsid w:val="36D35ED4"/>
    <w:rsid w:val="36F93D2D"/>
    <w:rsid w:val="37070849"/>
    <w:rsid w:val="372A5C50"/>
    <w:rsid w:val="374C44AD"/>
    <w:rsid w:val="37556005"/>
    <w:rsid w:val="3760095F"/>
    <w:rsid w:val="37630B70"/>
    <w:rsid w:val="37936580"/>
    <w:rsid w:val="37E9458E"/>
    <w:rsid w:val="382730B0"/>
    <w:rsid w:val="384A4E91"/>
    <w:rsid w:val="38590299"/>
    <w:rsid w:val="386B2C2E"/>
    <w:rsid w:val="38AD5974"/>
    <w:rsid w:val="38C11ED7"/>
    <w:rsid w:val="38C74D5D"/>
    <w:rsid w:val="38F27AF0"/>
    <w:rsid w:val="38F52519"/>
    <w:rsid w:val="390239BE"/>
    <w:rsid w:val="3954632A"/>
    <w:rsid w:val="396315A3"/>
    <w:rsid w:val="399565E0"/>
    <w:rsid w:val="39BB54B2"/>
    <w:rsid w:val="39BD13B3"/>
    <w:rsid w:val="39EC35CC"/>
    <w:rsid w:val="3A2156A9"/>
    <w:rsid w:val="3A3E0A25"/>
    <w:rsid w:val="3A811D00"/>
    <w:rsid w:val="3AA22EF2"/>
    <w:rsid w:val="3AA63538"/>
    <w:rsid w:val="3ABE56C2"/>
    <w:rsid w:val="3ACD1DA9"/>
    <w:rsid w:val="3B7064DC"/>
    <w:rsid w:val="3B750CF8"/>
    <w:rsid w:val="3B7B2140"/>
    <w:rsid w:val="3BA82F78"/>
    <w:rsid w:val="3BC05FB2"/>
    <w:rsid w:val="3BD3519D"/>
    <w:rsid w:val="3BF0408B"/>
    <w:rsid w:val="3BF205BD"/>
    <w:rsid w:val="3C110E64"/>
    <w:rsid w:val="3C134605"/>
    <w:rsid w:val="3C167111"/>
    <w:rsid w:val="3C3C08E3"/>
    <w:rsid w:val="3C5A141B"/>
    <w:rsid w:val="3CDF4463"/>
    <w:rsid w:val="3D1027AB"/>
    <w:rsid w:val="3D12337E"/>
    <w:rsid w:val="3D157871"/>
    <w:rsid w:val="3D316F30"/>
    <w:rsid w:val="3D640D6E"/>
    <w:rsid w:val="3D852128"/>
    <w:rsid w:val="3D9C2937"/>
    <w:rsid w:val="3DB0149F"/>
    <w:rsid w:val="3DB51DBE"/>
    <w:rsid w:val="3DB96953"/>
    <w:rsid w:val="3DCA73B5"/>
    <w:rsid w:val="3DDD399A"/>
    <w:rsid w:val="3DFE0BF8"/>
    <w:rsid w:val="3E0E6961"/>
    <w:rsid w:val="3E15438A"/>
    <w:rsid w:val="3E173A3F"/>
    <w:rsid w:val="3E2756FA"/>
    <w:rsid w:val="3E493D09"/>
    <w:rsid w:val="3E560A94"/>
    <w:rsid w:val="3EBB52CA"/>
    <w:rsid w:val="3EBE5782"/>
    <w:rsid w:val="3ED37612"/>
    <w:rsid w:val="3F1D04DD"/>
    <w:rsid w:val="3F1D2155"/>
    <w:rsid w:val="3F2D1487"/>
    <w:rsid w:val="3F350A48"/>
    <w:rsid w:val="3F3863B7"/>
    <w:rsid w:val="3F3B19D7"/>
    <w:rsid w:val="3F5E4398"/>
    <w:rsid w:val="3F66522B"/>
    <w:rsid w:val="3F8008C5"/>
    <w:rsid w:val="3F850EA5"/>
    <w:rsid w:val="3FD16630"/>
    <w:rsid w:val="3FE03F00"/>
    <w:rsid w:val="400B13AA"/>
    <w:rsid w:val="40341627"/>
    <w:rsid w:val="4035171C"/>
    <w:rsid w:val="40920B61"/>
    <w:rsid w:val="409413E1"/>
    <w:rsid w:val="409936BD"/>
    <w:rsid w:val="40AC4632"/>
    <w:rsid w:val="40C07F9F"/>
    <w:rsid w:val="40C357E1"/>
    <w:rsid w:val="40C654A0"/>
    <w:rsid w:val="40CA3013"/>
    <w:rsid w:val="40E85BCF"/>
    <w:rsid w:val="40ED32DF"/>
    <w:rsid w:val="410E5240"/>
    <w:rsid w:val="414E64EF"/>
    <w:rsid w:val="41AC16A0"/>
    <w:rsid w:val="41CA2B9F"/>
    <w:rsid w:val="41F15CDA"/>
    <w:rsid w:val="41F84A13"/>
    <w:rsid w:val="41FE6022"/>
    <w:rsid w:val="420567A5"/>
    <w:rsid w:val="420B38E3"/>
    <w:rsid w:val="42283963"/>
    <w:rsid w:val="424D745A"/>
    <w:rsid w:val="428B67D2"/>
    <w:rsid w:val="429A7ECD"/>
    <w:rsid w:val="42BD44D6"/>
    <w:rsid w:val="42E675D6"/>
    <w:rsid w:val="42E906E5"/>
    <w:rsid w:val="42F926AD"/>
    <w:rsid w:val="42FC3434"/>
    <w:rsid w:val="431944B4"/>
    <w:rsid w:val="43231F85"/>
    <w:rsid w:val="434F19BE"/>
    <w:rsid w:val="435D6234"/>
    <w:rsid w:val="43B13C19"/>
    <w:rsid w:val="43B833EA"/>
    <w:rsid w:val="43CD117F"/>
    <w:rsid w:val="43E17CDE"/>
    <w:rsid w:val="440062B8"/>
    <w:rsid w:val="441579C0"/>
    <w:rsid w:val="44286853"/>
    <w:rsid w:val="44427015"/>
    <w:rsid w:val="44525D16"/>
    <w:rsid w:val="44B32010"/>
    <w:rsid w:val="44B5036B"/>
    <w:rsid w:val="44FA379B"/>
    <w:rsid w:val="45006A9F"/>
    <w:rsid w:val="45833243"/>
    <w:rsid w:val="45A37398"/>
    <w:rsid w:val="462140C5"/>
    <w:rsid w:val="462636DC"/>
    <w:rsid w:val="462C600C"/>
    <w:rsid w:val="46351B44"/>
    <w:rsid w:val="466C4DF0"/>
    <w:rsid w:val="467323FE"/>
    <w:rsid w:val="46D715B3"/>
    <w:rsid w:val="46DE0E27"/>
    <w:rsid w:val="471215AD"/>
    <w:rsid w:val="47124AD7"/>
    <w:rsid w:val="47464B25"/>
    <w:rsid w:val="474A1829"/>
    <w:rsid w:val="47B406DC"/>
    <w:rsid w:val="47C82870"/>
    <w:rsid w:val="47CB098F"/>
    <w:rsid w:val="480B5F66"/>
    <w:rsid w:val="48952158"/>
    <w:rsid w:val="48997727"/>
    <w:rsid w:val="48A750F6"/>
    <w:rsid w:val="48B96E36"/>
    <w:rsid w:val="48F13EB9"/>
    <w:rsid w:val="48FA1FBB"/>
    <w:rsid w:val="4917252B"/>
    <w:rsid w:val="492F4C22"/>
    <w:rsid w:val="496A77AD"/>
    <w:rsid w:val="497D70A6"/>
    <w:rsid w:val="497E18B5"/>
    <w:rsid w:val="49CE0FF0"/>
    <w:rsid w:val="49F76E32"/>
    <w:rsid w:val="4A055EC7"/>
    <w:rsid w:val="4A0627DE"/>
    <w:rsid w:val="4A1A3C81"/>
    <w:rsid w:val="4A1E0EB6"/>
    <w:rsid w:val="4A28355A"/>
    <w:rsid w:val="4A3601AC"/>
    <w:rsid w:val="4A3C4E65"/>
    <w:rsid w:val="4A4C15BB"/>
    <w:rsid w:val="4A7C7356"/>
    <w:rsid w:val="4A7F4C53"/>
    <w:rsid w:val="4AA5332D"/>
    <w:rsid w:val="4ABB580F"/>
    <w:rsid w:val="4AC017A8"/>
    <w:rsid w:val="4B26404B"/>
    <w:rsid w:val="4B8F1EE5"/>
    <w:rsid w:val="4BA420AF"/>
    <w:rsid w:val="4BDF2CD4"/>
    <w:rsid w:val="4C120BAA"/>
    <w:rsid w:val="4C28710C"/>
    <w:rsid w:val="4C53207E"/>
    <w:rsid w:val="4C5C4A00"/>
    <w:rsid w:val="4C5E1A7E"/>
    <w:rsid w:val="4C6D2062"/>
    <w:rsid w:val="4C761B98"/>
    <w:rsid w:val="4C7F0872"/>
    <w:rsid w:val="4C8B5420"/>
    <w:rsid w:val="4C975D73"/>
    <w:rsid w:val="4CA429F1"/>
    <w:rsid w:val="4CB132D9"/>
    <w:rsid w:val="4CB20D16"/>
    <w:rsid w:val="4CCF7FCC"/>
    <w:rsid w:val="4CD84661"/>
    <w:rsid w:val="4CE74F4D"/>
    <w:rsid w:val="4CEE6440"/>
    <w:rsid w:val="4CFB09F8"/>
    <w:rsid w:val="4D182A9E"/>
    <w:rsid w:val="4D52055F"/>
    <w:rsid w:val="4D73058E"/>
    <w:rsid w:val="4D763383"/>
    <w:rsid w:val="4D865E33"/>
    <w:rsid w:val="4D965BE8"/>
    <w:rsid w:val="4DAF5A61"/>
    <w:rsid w:val="4DBA4BED"/>
    <w:rsid w:val="4E0F5AE7"/>
    <w:rsid w:val="4E1A523B"/>
    <w:rsid w:val="4E1B6270"/>
    <w:rsid w:val="4E52289A"/>
    <w:rsid w:val="4E556CBA"/>
    <w:rsid w:val="4E8F1D1B"/>
    <w:rsid w:val="4E916F1E"/>
    <w:rsid w:val="4E9E0E39"/>
    <w:rsid w:val="4EA775AA"/>
    <w:rsid w:val="4EDE3E37"/>
    <w:rsid w:val="4EEF173C"/>
    <w:rsid w:val="4EF474AD"/>
    <w:rsid w:val="4EFC2249"/>
    <w:rsid w:val="4F1B2C8C"/>
    <w:rsid w:val="4F1E7663"/>
    <w:rsid w:val="4F271630"/>
    <w:rsid w:val="4F3124AF"/>
    <w:rsid w:val="4F3729BF"/>
    <w:rsid w:val="4F381C12"/>
    <w:rsid w:val="4F3A4DC3"/>
    <w:rsid w:val="4F47753A"/>
    <w:rsid w:val="4F67242D"/>
    <w:rsid w:val="4FB43964"/>
    <w:rsid w:val="4FC0003A"/>
    <w:rsid w:val="4FD035BF"/>
    <w:rsid w:val="4FDA0F07"/>
    <w:rsid w:val="4FFC44EB"/>
    <w:rsid w:val="50131BB5"/>
    <w:rsid w:val="501F2D62"/>
    <w:rsid w:val="5033548B"/>
    <w:rsid w:val="503A1792"/>
    <w:rsid w:val="5069776F"/>
    <w:rsid w:val="506B7966"/>
    <w:rsid w:val="50770ACF"/>
    <w:rsid w:val="508B764F"/>
    <w:rsid w:val="50920F62"/>
    <w:rsid w:val="50A82954"/>
    <w:rsid w:val="50B03DC8"/>
    <w:rsid w:val="50D9578E"/>
    <w:rsid w:val="50ED4977"/>
    <w:rsid w:val="513C11EA"/>
    <w:rsid w:val="516B5E6B"/>
    <w:rsid w:val="516F3637"/>
    <w:rsid w:val="518A1932"/>
    <w:rsid w:val="51BB2504"/>
    <w:rsid w:val="51C031DD"/>
    <w:rsid w:val="51D92044"/>
    <w:rsid w:val="51E018CB"/>
    <w:rsid w:val="51EA0BE8"/>
    <w:rsid w:val="5207107E"/>
    <w:rsid w:val="5211601C"/>
    <w:rsid w:val="522230F5"/>
    <w:rsid w:val="52310C6E"/>
    <w:rsid w:val="523F25EF"/>
    <w:rsid w:val="525D4D72"/>
    <w:rsid w:val="52705B64"/>
    <w:rsid w:val="529815D0"/>
    <w:rsid w:val="52993D93"/>
    <w:rsid w:val="52B75DE8"/>
    <w:rsid w:val="52BB70B4"/>
    <w:rsid w:val="52D10231"/>
    <w:rsid w:val="52FC21F2"/>
    <w:rsid w:val="530A5181"/>
    <w:rsid w:val="531168BC"/>
    <w:rsid w:val="532677D9"/>
    <w:rsid w:val="533662E6"/>
    <w:rsid w:val="533B6098"/>
    <w:rsid w:val="53637F03"/>
    <w:rsid w:val="53964FD7"/>
    <w:rsid w:val="53EB6827"/>
    <w:rsid w:val="54007E51"/>
    <w:rsid w:val="5403144A"/>
    <w:rsid w:val="541802FC"/>
    <w:rsid w:val="542E10AC"/>
    <w:rsid w:val="542F46EE"/>
    <w:rsid w:val="544B6073"/>
    <w:rsid w:val="5480553A"/>
    <w:rsid w:val="54AB56D0"/>
    <w:rsid w:val="54E11770"/>
    <w:rsid w:val="551D67A2"/>
    <w:rsid w:val="55517866"/>
    <w:rsid w:val="556E7C03"/>
    <w:rsid w:val="559519EA"/>
    <w:rsid w:val="559E72F9"/>
    <w:rsid w:val="55EA0798"/>
    <w:rsid w:val="560046D2"/>
    <w:rsid w:val="560732E1"/>
    <w:rsid w:val="56175E36"/>
    <w:rsid w:val="563A4EE1"/>
    <w:rsid w:val="56507813"/>
    <w:rsid w:val="56574EF1"/>
    <w:rsid w:val="567310AA"/>
    <w:rsid w:val="56756804"/>
    <w:rsid w:val="567D7625"/>
    <w:rsid w:val="56A95929"/>
    <w:rsid w:val="56C24A2A"/>
    <w:rsid w:val="56E542AB"/>
    <w:rsid w:val="5701035C"/>
    <w:rsid w:val="571F069E"/>
    <w:rsid w:val="575E6FC9"/>
    <w:rsid w:val="576660B0"/>
    <w:rsid w:val="576C0D32"/>
    <w:rsid w:val="57727B09"/>
    <w:rsid w:val="57881810"/>
    <w:rsid w:val="57A92B86"/>
    <w:rsid w:val="57AA1051"/>
    <w:rsid w:val="57B64202"/>
    <w:rsid w:val="58052077"/>
    <w:rsid w:val="5809044B"/>
    <w:rsid w:val="580D2671"/>
    <w:rsid w:val="5814375B"/>
    <w:rsid w:val="581614F2"/>
    <w:rsid w:val="58315505"/>
    <w:rsid w:val="58321905"/>
    <w:rsid w:val="585039A6"/>
    <w:rsid w:val="585113BE"/>
    <w:rsid w:val="5857585A"/>
    <w:rsid w:val="587A6C75"/>
    <w:rsid w:val="58943096"/>
    <w:rsid w:val="58A148FA"/>
    <w:rsid w:val="58AB1524"/>
    <w:rsid w:val="58BF6D7E"/>
    <w:rsid w:val="590B53EC"/>
    <w:rsid w:val="59117932"/>
    <w:rsid w:val="591326B2"/>
    <w:rsid w:val="591D1FD1"/>
    <w:rsid w:val="59362627"/>
    <w:rsid w:val="593757BC"/>
    <w:rsid w:val="593F54F5"/>
    <w:rsid w:val="59614A0D"/>
    <w:rsid w:val="598D0C2A"/>
    <w:rsid w:val="59C4289D"/>
    <w:rsid w:val="59E22D24"/>
    <w:rsid w:val="5A185909"/>
    <w:rsid w:val="5A1B2173"/>
    <w:rsid w:val="5A9C64DA"/>
    <w:rsid w:val="5AB176CE"/>
    <w:rsid w:val="5B2F6B51"/>
    <w:rsid w:val="5B3E175B"/>
    <w:rsid w:val="5B413A7A"/>
    <w:rsid w:val="5B492450"/>
    <w:rsid w:val="5B602774"/>
    <w:rsid w:val="5B9D08B5"/>
    <w:rsid w:val="5BA0773E"/>
    <w:rsid w:val="5BB47398"/>
    <w:rsid w:val="5BD33D0A"/>
    <w:rsid w:val="5C182A49"/>
    <w:rsid w:val="5C4237E5"/>
    <w:rsid w:val="5C424117"/>
    <w:rsid w:val="5C453E25"/>
    <w:rsid w:val="5C761E49"/>
    <w:rsid w:val="5C845EAE"/>
    <w:rsid w:val="5C9E65BC"/>
    <w:rsid w:val="5CE679A6"/>
    <w:rsid w:val="5CFE22C2"/>
    <w:rsid w:val="5D6C356E"/>
    <w:rsid w:val="5DDA7079"/>
    <w:rsid w:val="5DF72B16"/>
    <w:rsid w:val="5DF844B6"/>
    <w:rsid w:val="5E0F6D37"/>
    <w:rsid w:val="5E3D05D8"/>
    <w:rsid w:val="5E4D48C2"/>
    <w:rsid w:val="5E6334E6"/>
    <w:rsid w:val="5E69303F"/>
    <w:rsid w:val="5E7E7C15"/>
    <w:rsid w:val="5E87381B"/>
    <w:rsid w:val="5EDD47E4"/>
    <w:rsid w:val="5EE24701"/>
    <w:rsid w:val="5F315002"/>
    <w:rsid w:val="5F5244A8"/>
    <w:rsid w:val="5F6E6E08"/>
    <w:rsid w:val="5F955985"/>
    <w:rsid w:val="5FB44D9E"/>
    <w:rsid w:val="5FEA09B6"/>
    <w:rsid w:val="5FF90DC7"/>
    <w:rsid w:val="602E5ED1"/>
    <w:rsid w:val="603C3201"/>
    <w:rsid w:val="605F700A"/>
    <w:rsid w:val="60813E64"/>
    <w:rsid w:val="609C1336"/>
    <w:rsid w:val="60B74F5F"/>
    <w:rsid w:val="60BA368F"/>
    <w:rsid w:val="60C92CD5"/>
    <w:rsid w:val="60F8047A"/>
    <w:rsid w:val="613A6A65"/>
    <w:rsid w:val="6157080D"/>
    <w:rsid w:val="61905107"/>
    <w:rsid w:val="61C5536E"/>
    <w:rsid w:val="61FA188C"/>
    <w:rsid w:val="620023CB"/>
    <w:rsid w:val="620C69B8"/>
    <w:rsid w:val="622B4337"/>
    <w:rsid w:val="622F2236"/>
    <w:rsid w:val="623D7A9E"/>
    <w:rsid w:val="62435354"/>
    <w:rsid w:val="62457D9B"/>
    <w:rsid w:val="62587A58"/>
    <w:rsid w:val="62655171"/>
    <w:rsid w:val="62675503"/>
    <w:rsid w:val="62E62AFE"/>
    <w:rsid w:val="62F03C35"/>
    <w:rsid w:val="630D234D"/>
    <w:rsid w:val="63155676"/>
    <w:rsid w:val="63204C0B"/>
    <w:rsid w:val="63377F9B"/>
    <w:rsid w:val="63393CB5"/>
    <w:rsid w:val="637E5ADD"/>
    <w:rsid w:val="63824A88"/>
    <w:rsid w:val="638C7AC3"/>
    <w:rsid w:val="63951479"/>
    <w:rsid w:val="639C3F43"/>
    <w:rsid w:val="63B0149D"/>
    <w:rsid w:val="63B6738B"/>
    <w:rsid w:val="63E92F01"/>
    <w:rsid w:val="64005AF9"/>
    <w:rsid w:val="641C3D20"/>
    <w:rsid w:val="641F5364"/>
    <w:rsid w:val="64361291"/>
    <w:rsid w:val="646443BC"/>
    <w:rsid w:val="647E188B"/>
    <w:rsid w:val="64C23EB4"/>
    <w:rsid w:val="64D10CEA"/>
    <w:rsid w:val="64DB4F3F"/>
    <w:rsid w:val="65003A97"/>
    <w:rsid w:val="650F2BFD"/>
    <w:rsid w:val="653D52B2"/>
    <w:rsid w:val="65511CBA"/>
    <w:rsid w:val="65535940"/>
    <w:rsid w:val="655A40B6"/>
    <w:rsid w:val="65623F9C"/>
    <w:rsid w:val="6563308D"/>
    <w:rsid w:val="656F61A7"/>
    <w:rsid w:val="658D6B35"/>
    <w:rsid w:val="65A0431A"/>
    <w:rsid w:val="661C43A8"/>
    <w:rsid w:val="662621EA"/>
    <w:rsid w:val="66296E44"/>
    <w:rsid w:val="66502FE4"/>
    <w:rsid w:val="66610422"/>
    <w:rsid w:val="66636F9A"/>
    <w:rsid w:val="666F645B"/>
    <w:rsid w:val="66803FD1"/>
    <w:rsid w:val="66AA6532"/>
    <w:rsid w:val="66B8278C"/>
    <w:rsid w:val="677451B8"/>
    <w:rsid w:val="678A004E"/>
    <w:rsid w:val="67941077"/>
    <w:rsid w:val="679D378C"/>
    <w:rsid w:val="67CC086A"/>
    <w:rsid w:val="67FA7C0D"/>
    <w:rsid w:val="6818150B"/>
    <w:rsid w:val="683253EE"/>
    <w:rsid w:val="6840762F"/>
    <w:rsid w:val="6843464A"/>
    <w:rsid w:val="68A85D1A"/>
    <w:rsid w:val="68B037A3"/>
    <w:rsid w:val="695108AB"/>
    <w:rsid w:val="69570434"/>
    <w:rsid w:val="696C1CD7"/>
    <w:rsid w:val="696C7DC8"/>
    <w:rsid w:val="697048C1"/>
    <w:rsid w:val="697C22BA"/>
    <w:rsid w:val="69827F32"/>
    <w:rsid w:val="69CC2A17"/>
    <w:rsid w:val="69E47B50"/>
    <w:rsid w:val="69EE0A8E"/>
    <w:rsid w:val="69FA19C4"/>
    <w:rsid w:val="69FA3260"/>
    <w:rsid w:val="69FF6FDA"/>
    <w:rsid w:val="6A0D0806"/>
    <w:rsid w:val="6A491022"/>
    <w:rsid w:val="6A5142E1"/>
    <w:rsid w:val="6A5730A9"/>
    <w:rsid w:val="6A703458"/>
    <w:rsid w:val="6AB73D58"/>
    <w:rsid w:val="6AE54422"/>
    <w:rsid w:val="6AF663A3"/>
    <w:rsid w:val="6B7D28AC"/>
    <w:rsid w:val="6B842503"/>
    <w:rsid w:val="6B991AAB"/>
    <w:rsid w:val="6BB81B36"/>
    <w:rsid w:val="6C0A6C41"/>
    <w:rsid w:val="6C0C2766"/>
    <w:rsid w:val="6C1E680D"/>
    <w:rsid w:val="6C21563C"/>
    <w:rsid w:val="6C221F3C"/>
    <w:rsid w:val="6C2703D2"/>
    <w:rsid w:val="6C7C3BC3"/>
    <w:rsid w:val="6C983801"/>
    <w:rsid w:val="6D057DF8"/>
    <w:rsid w:val="6D433529"/>
    <w:rsid w:val="6D643DA0"/>
    <w:rsid w:val="6D9100B5"/>
    <w:rsid w:val="6D91113C"/>
    <w:rsid w:val="6DD109A8"/>
    <w:rsid w:val="6DDA5F09"/>
    <w:rsid w:val="6E2C680B"/>
    <w:rsid w:val="6E415A81"/>
    <w:rsid w:val="6E52221F"/>
    <w:rsid w:val="6E591BF0"/>
    <w:rsid w:val="6E6660FF"/>
    <w:rsid w:val="6E6B222A"/>
    <w:rsid w:val="6EAF67C5"/>
    <w:rsid w:val="6ED06447"/>
    <w:rsid w:val="6F1A6664"/>
    <w:rsid w:val="6F7F4491"/>
    <w:rsid w:val="6F86003C"/>
    <w:rsid w:val="6FAA6067"/>
    <w:rsid w:val="6FC4238A"/>
    <w:rsid w:val="6FD87AEF"/>
    <w:rsid w:val="6FEA30B8"/>
    <w:rsid w:val="700B4AA7"/>
    <w:rsid w:val="7011581A"/>
    <w:rsid w:val="70675709"/>
    <w:rsid w:val="706C1818"/>
    <w:rsid w:val="706E0677"/>
    <w:rsid w:val="70A72179"/>
    <w:rsid w:val="70A853E8"/>
    <w:rsid w:val="70A910CC"/>
    <w:rsid w:val="70BD0701"/>
    <w:rsid w:val="70D56614"/>
    <w:rsid w:val="70F112FE"/>
    <w:rsid w:val="717266EF"/>
    <w:rsid w:val="717555DA"/>
    <w:rsid w:val="717F51A0"/>
    <w:rsid w:val="718A0904"/>
    <w:rsid w:val="718F158B"/>
    <w:rsid w:val="71A771C6"/>
    <w:rsid w:val="71B909A9"/>
    <w:rsid w:val="71BA0978"/>
    <w:rsid w:val="71BB6A62"/>
    <w:rsid w:val="71CE15FF"/>
    <w:rsid w:val="71E01A82"/>
    <w:rsid w:val="71E116BB"/>
    <w:rsid w:val="72074D1D"/>
    <w:rsid w:val="72697F98"/>
    <w:rsid w:val="72847589"/>
    <w:rsid w:val="72AE6761"/>
    <w:rsid w:val="734E66D0"/>
    <w:rsid w:val="735E6095"/>
    <w:rsid w:val="73941492"/>
    <w:rsid w:val="73B649AB"/>
    <w:rsid w:val="73DD3D42"/>
    <w:rsid w:val="73E06370"/>
    <w:rsid w:val="73E35E8C"/>
    <w:rsid w:val="73ED5C9A"/>
    <w:rsid w:val="73F35CC4"/>
    <w:rsid w:val="73FC7719"/>
    <w:rsid w:val="74026926"/>
    <w:rsid w:val="74041A81"/>
    <w:rsid w:val="74167AF9"/>
    <w:rsid w:val="74307A43"/>
    <w:rsid w:val="743B5D77"/>
    <w:rsid w:val="74470B0B"/>
    <w:rsid w:val="74644555"/>
    <w:rsid w:val="74792F01"/>
    <w:rsid w:val="747D521A"/>
    <w:rsid w:val="750E6150"/>
    <w:rsid w:val="751F1ECA"/>
    <w:rsid w:val="752061AD"/>
    <w:rsid w:val="75920040"/>
    <w:rsid w:val="75B6172F"/>
    <w:rsid w:val="75CA2F3B"/>
    <w:rsid w:val="75DC59ED"/>
    <w:rsid w:val="76012ADD"/>
    <w:rsid w:val="76015255"/>
    <w:rsid w:val="762075D5"/>
    <w:rsid w:val="76627477"/>
    <w:rsid w:val="766A174F"/>
    <w:rsid w:val="767511C0"/>
    <w:rsid w:val="76AD6005"/>
    <w:rsid w:val="76AE690B"/>
    <w:rsid w:val="76D8308D"/>
    <w:rsid w:val="773E3541"/>
    <w:rsid w:val="774D3D16"/>
    <w:rsid w:val="77603EAD"/>
    <w:rsid w:val="777041CD"/>
    <w:rsid w:val="777C1CF2"/>
    <w:rsid w:val="77997737"/>
    <w:rsid w:val="77A41450"/>
    <w:rsid w:val="77BB4C49"/>
    <w:rsid w:val="77C948CA"/>
    <w:rsid w:val="77EA3A1B"/>
    <w:rsid w:val="77F437B1"/>
    <w:rsid w:val="784C5CC1"/>
    <w:rsid w:val="78651115"/>
    <w:rsid w:val="787532E8"/>
    <w:rsid w:val="788422BC"/>
    <w:rsid w:val="788C4503"/>
    <w:rsid w:val="78B04D0D"/>
    <w:rsid w:val="78CF715A"/>
    <w:rsid w:val="78D14E4C"/>
    <w:rsid w:val="78E21420"/>
    <w:rsid w:val="790D32B6"/>
    <w:rsid w:val="790E2FED"/>
    <w:rsid w:val="79127C9E"/>
    <w:rsid w:val="792043F7"/>
    <w:rsid w:val="79231107"/>
    <w:rsid w:val="793C6693"/>
    <w:rsid w:val="79425135"/>
    <w:rsid w:val="79482594"/>
    <w:rsid w:val="7984513B"/>
    <w:rsid w:val="79870D9A"/>
    <w:rsid w:val="79D33BD7"/>
    <w:rsid w:val="79F64D19"/>
    <w:rsid w:val="7A176331"/>
    <w:rsid w:val="7A607A10"/>
    <w:rsid w:val="7A636CBB"/>
    <w:rsid w:val="7A804167"/>
    <w:rsid w:val="7AA20238"/>
    <w:rsid w:val="7AA70EA4"/>
    <w:rsid w:val="7AAC4C66"/>
    <w:rsid w:val="7AE617A5"/>
    <w:rsid w:val="7AF524C2"/>
    <w:rsid w:val="7B0A27F2"/>
    <w:rsid w:val="7B0C793E"/>
    <w:rsid w:val="7B26606F"/>
    <w:rsid w:val="7B2C7E4B"/>
    <w:rsid w:val="7B3B1E3C"/>
    <w:rsid w:val="7B451E91"/>
    <w:rsid w:val="7B6B0973"/>
    <w:rsid w:val="7B6C4286"/>
    <w:rsid w:val="7B753023"/>
    <w:rsid w:val="7C1A4147"/>
    <w:rsid w:val="7C1A7863"/>
    <w:rsid w:val="7C3C47A7"/>
    <w:rsid w:val="7C4177C3"/>
    <w:rsid w:val="7C4E0D5F"/>
    <w:rsid w:val="7C620CEA"/>
    <w:rsid w:val="7C7733AC"/>
    <w:rsid w:val="7C8D1D10"/>
    <w:rsid w:val="7C9141E2"/>
    <w:rsid w:val="7C9D0A6F"/>
    <w:rsid w:val="7CD75427"/>
    <w:rsid w:val="7CFD6EC4"/>
    <w:rsid w:val="7D4529E3"/>
    <w:rsid w:val="7D49045B"/>
    <w:rsid w:val="7DFD59CA"/>
    <w:rsid w:val="7E5356EF"/>
    <w:rsid w:val="7E7F0DC5"/>
    <w:rsid w:val="7E8E0CF9"/>
    <w:rsid w:val="7E961D7F"/>
    <w:rsid w:val="7E9B3351"/>
    <w:rsid w:val="7EB05F55"/>
    <w:rsid w:val="7EFC5DB4"/>
    <w:rsid w:val="7F00119D"/>
    <w:rsid w:val="7F150619"/>
    <w:rsid w:val="7F30693B"/>
    <w:rsid w:val="7F35369C"/>
    <w:rsid w:val="7F3A6B36"/>
    <w:rsid w:val="7F4A3959"/>
    <w:rsid w:val="7FD669BC"/>
    <w:rsid w:val="7FEC0E6E"/>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99" w:semiHidden="0" w:name="toc 1"/>
    <w:lsdException w:qFormat="1" w:unhideWhenUsed="0" w:uiPriority="9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qFormat="1" w:uiPriority="99" w:semiHidden="0"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qFormat="1"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qFormat="1" w:unhideWhenUsed="0" w:uiPriority="99" w:semiHidden="0" w:name="Date"/>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qFormat="1" w:unhideWhenUsed="0" w:uiPriority="99" w:semiHidden="0" w:name="Hyperlink"/>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qFormat="1" w:unhideWhenUsed="0" w:uiPriority="99" w:semiHidden="0" w:name="Plain Text"/>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4"/>
    <w:next w:val="1"/>
    <w:link w:val="24"/>
    <w:qFormat/>
    <w:uiPriority w:val="99"/>
    <w:pPr>
      <w:keepNext/>
      <w:keepLines/>
      <w:numPr>
        <w:ilvl w:val="0"/>
        <w:numId w:val="1"/>
      </w:numPr>
      <w:spacing w:line="560" w:lineRule="exact"/>
      <w:ind w:left="432" w:hanging="432" w:firstLineChars="0"/>
      <w:jc w:val="center"/>
      <w:outlineLvl w:val="0"/>
    </w:pPr>
    <w:rPr>
      <w:rFonts w:ascii="Times New Roman" w:hAnsi="Times New Roman" w:eastAsia="黑体"/>
      <w:b/>
      <w:bCs/>
      <w:kern w:val="44"/>
      <w:sz w:val="36"/>
      <w:szCs w:val="44"/>
    </w:rPr>
  </w:style>
  <w:style w:type="paragraph" w:styleId="5">
    <w:name w:val="heading 2"/>
    <w:basedOn w:val="4"/>
    <w:next w:val="1"/>
    <w:link w:val="25"/>
    <w:qFormat/>
    <w:uiPriority w:val="99"/>
    <w:pPr>
      <w:numPr>
        <w:ilvl w:val="1"/>
        <w:numId w:val="1"/>
      </w:numPr>
      <w:spacing w:before="50" w:beforeLines="50"/>
      <w:ind w:left="995" w:hanging="575" w:firstLineChars="0"/>
      <w:outlineLvl w:val="1"/>
    </w:pPr>
    <w:rPr>
      <w:rFonts w:eastAsia="仿宋"/>
      <w:b/>
      <w:bCs/>
      <w:kern w:val="0"/>
      <w:sz w:val="30"/>
      <w:szCs w:val="32"/>
    </w:rPr>
  </w:style>
  <w:style w:type="paragraph" w:styleId="6">
    <w:name w:val="heading 3"/>
    <w:basedOn w:val="4"/>
    <w:next w:val="1"/>
    <w:link w:val="26"/>
    <w:qFormat/>
    <w:uiPriority w:val="99"/>
    <w:pPr>
      <w:numPr>
        <w:ilvl w:val="2"/>
        <w:numId w:val="1"/>
      </w:numPr>
      <w:spacing w:before="50" w:beforeLines="50"/>
      <w:ind w:left="720" w:hanging="300" w:firstLineChars="0"/>
      <w:outlineLvl w:val="2"/>
    </w:pPr>
    <w:rPr>
      <w:rFonts w:eastAsia="仿宋"/>
      <w:bCs/>
      <w:kern w:val="0"/>
      <w:sz w:val="30"/>
      <w:szCs w:val="32"/>
    </w:rPr>
  </w:style>
  <w:style w:type="paragraph" w:styleId="7">
    <w:name w:val="heading 4"/>
    <w:basedOn w:val="4"/>
    <w:next w:val="1"/>
    <w:link w:val="27"/>
    <w:qFormat/>
    <w:uiPriority w:val="99"/>
    <w:pPr>
      <w:numPr>
        <w:ilvl w:val="3"/>
        <w:numId w:val="1"/>
      </w:numPr>
      <w:spacing w:line="480" w:lineRule="exact"/>
      <w:ind w:left="864" w:hanging="864" w:firstLineChars="0"/>
      <w:outlineLvl w:val="3"/>
    </w:pPr>
    <w:rPr>
      <w:rFonts w:ascii="仿宋" w:hAnsi="仿宋" w:eastAsia="仿宋"/>
      <w:b/>
      <w:bCs/>
      <w:kern w:val="0"/>
      <w:sz w:val="30"/>
      <w:szCs w:val="30"/>
    </w:rPr>
  </w:style>
  <w:style w:type="paragraph" w:styleId="8">
    <w:name w:val="heading 5"/>
    <w:basedOn w:val="1"/>
    <w:next w:val="1"/>
    <w:semiHidden/>
    <w:unhideWhenUsed/>
    <w:qFormat/>
    <w:uiPriority w:val="0"/>
    <w:pPr>
      <w:keepNext/>
      <w:keepLines/>
      <w:numPr>
        <w:ilvl w:val="4"/>
        <w:numId w:val="1"/>
      </w:numPr>
      <w:spacing w:before="280" w:beforeLines="0" w:beforeAutospacing="0" w:after="290" w:afterLines="0" w:afterAutospacing="0" w:line="372" w:lineRule="auto"/>
      <w:ind w:left="1008" w:hanging="1008"/>
      <w:outlineLvl w:val="4"/>
    </w:pPr>
    <w:rPr>
      <w:b/>
      <w:sz w:val="28"/>
    </w:rPr>
  </w:style>
  <w:style w:type="paragraph" w:styleId="9">
    <w:name w:val="heading 6"/>
    <w:basedOn w:val="1"/>
    <w:next w:val="1"/>
    <w:semiHidden/>
    <w:unhideWhenUsed/>
    <w:qFormat/>
    <w:uiPriority w:val="0"/>
    <w:pPr>
      <w:keepNext/>
      <w:keepLines/>
      <w:numPr>
        <w:ilvl w:val="5"/>
        <w:numId w:val="1"/>
      </w:numPr>
      <w:spacing w:before="240" w:beforeLines="0" w:beforeAutospacing="0" w:after="64" w:afterLines="0" w:afterAutospacing="0" w:line="317" w:lineRule="auto"/>
      <w:ind w:left="1151" w:hanging="1151"/>
      <w:outlineLvl w:val="5"/>
    </w:pPr>
    <w:rPr>
      <w:rFonts w:ascii="Arial" w:hAnsi="Arial" w:eastAsia="黑体"/>
      <w:b/>
      <w:sz w:val="24"/>
    </w:rPr>
  </w:style>
  <w:style w:type="paragraph" w:styleId="10">
    <w:name w:val="heading 7"/>
    <w:basedOn w:val="1"/>
    <w:next w:val="1"/>
    <w:semiHidden/>
    <w:unhideWhenUsed/>
    <w:qFormat/>
    <w:uiPriority w:val="0"/>
    <w:pPr>
      <w:keepNext/>
      <w:keepLines/>
      <w:numPr>
        <w:ilvl w:val="6"/>
        <w:numId w:val="1"/>
      </w:numPr>
      <w:spacing w:before="240" w:beforeLines="0" w:beforeAutospacing="0" w:after="64" w:afterLines="0" w:afterAutospacing="0" w:line="317" w:lineRule="auto"/>
      <w:ind w:left="1296" w:hanging="1296"/>
      <w:outlineLvl w:val="6"/>
    </w:pPr>
    <w:rPr>
      <w:b/>
      <w:sz w:val="24"/>
    </w:rPr>
  </w:style>
  <w:style w:type="paragraph" w:styleId="11">
    <w:name w:val="heading 8"/>
    <w:basedOn w:val="1"/>
    <w:next w:val="1"/>
    <w:semiHidden/>
    <w:unhideWhenUsed/>
    <w:qFormat/>
    <w:uiPriority w:val="0"/>
    <w:pPr>
      <w:keepNext/>
      <w:keepLines/>
      <w:numPr>
        <w:ilvl w:val="7"/>
        <w:numId w:val="1"/>
      </w:numPr>
      <w:spacing w:before="240" w:beforeLines="0" w:beforeAutospacing="0" w:after="64" w:afterLines="0" w:afterAutospacing="0" w:line="317" w:lineRule="auto"/>
      <w:ind w:left="1440" w:hanging="1440"/>
      <w:outlineLvl w:val="7"/>
    </w:pPr>
    <w:rPr>
      <w:rFonts w:ascii="Arial" w:hAnsi="Arial" w:eastAsia="黑体"/>
      <w:sz w:val="24"/>
    </w:rPr>
  </w:style>
  <w:style w:type="paragraph" w:styleId="12">
    <w:name w:val="heading 9"/>
    <w:basedOn w:val="1"/>
    <w:next w:val="1"/>
    <w:semiHidden/>
    <w:unhideWhenUsed/>
    <w:qFormat/>
    <w:uiPriority w:val="0"/>
    <w:pPr>
      <w:keepNext/>
      <w:keepLines/>
      <w:numPr>
        <w:ilvl w:val="8"/>
        <w:numId w:val="1"/>
      </w:numPr>
      <w:spacing w:before="240" w:beforeLines="0" w:beforeAutospacing="0" w:after="64" w:afterLines="0" w:afterAutospacing="0" w:line="317" w:lineRule="auto"/>
      <w:ind w:left="1583" w:hanging="1583"/>
      <w:outlineLvl w:val="8"/>
    </w:pPr>
    <w:rPr>
      <w:rFonts w:ascii="Arial" w:hAnsi="Arial" w:eastAsia="黑体"/>
      <w:sz w:val="21"/>
    </w:rPr>
  </w:style>
  <w:style w:type="character" w:default="1" w:styleId="21">
    <w:name w:val="Default Paragraph Font"/>
    <w:semiHidden/>
    <w:qFormat/>
    <w:uiPriority w:val="99"/>
  </w:style>
  <w:style w:type="table" w:default="1" w:styleId="19">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eastAsia="Times New Roman" w:cs="Times New Roman"/>
      <w:sz w:val="20"/>
      <w:szCs w:val="20"/>
    </w:rPr>
    <w:tblPr>
      <w:tblCellMar>
        <w:top w:w="0" w:type="dxa"/>
        <w:left w:w="108" w:type="dxa"/>
        <w:bottom w:w="0" w:type="dxa"/>
        <w:right w:w="108" w:type="dxa"/>
      </w:tblCellMar>
    </w:tblPr>
  </w:style>
  <w:style w:type="paragraph" w:styleId="2">
    <w:name w:val="toc 1"/>
    <w:basedOn w:val="1"/>
    <w:next w:val="1"/>
    <w:qFormat/>
    <w:uiPriority w:val="99"/>
    <w:pPr>
      <w:tabs>
        <w:tab w:val="right" w:leader="dot" w:pos="8296"/>
      </w:tabs>
      <w:spacing w:line="360" w:lineRule="auto"/>
    </w:pPr>
    <w:rPr>
      <w:rFonts w:eastAsia="仿宋_GB2312"/>
      <w:b/>
      <w:sz w:val="24"/>
    </w:rPr>
  </w:style>
  <w:style w:type="paragraph" w:customStyle="1" w:styleId="4">
    <w:name w:val="列表段落1"/>
    <w:basedOn w:val="1"/>
    <w:qFormat/>
    <w:uiPriority w:val="99"/>
    <w:pPr>
      <w:ind w:firstLine="420" w:firstLineChars="200"/>
    </w:pPr>
  </w:style>
  <w:style w:type="paragraph" w:styleId="13">
    <w:name w:val="annotation text"/>
    <w:basedOn w:val="1"/>
    <w:unhideWhenUsed/>
    <w:qFormat/>
    <w:locked/>
    <w:uiPriority w:val="99"/>
    <w:pPr>
      <w:jc w:val="left"/>
    </w:pPr>
  </w:style>
  <w:style w:type="paragraph" w:styleId="14">
    <w:name w:val="Plain Text"/>
    <w:basedOn w:val="1"/>
    <w:link w:val="28"/>
    <w:qFormat/>
    <w:uiPriority w:val="99"/>
    <w:rPr>
      <w:rFonts w:hAnsi="Courier New"/>
      <w:szCs w:val="22"/>
    </w:rPr>
  </w:style>
  <w:style w:type="paragraph" w:styleId="15">
    <w:name w:val="Date"/>
    <w:basedOn w:val="1"/>
    <w:next w:val="1"/>
    <w:link w:val="29"/>
    <w:qFormat/>
    <w:uiPriority w:val="99"/>
    <w:pPr>
      <w:ind w:left="100" w:leftChars="2500"/>
    </w:pPr>
  </w:style>
  <w:style w:type="paragraph" w:styleId="16">
    <w:name w:val="footer"/>
    <w:basedOn w:val="1"/>
    <w:link w:val="30"/>
    <w:qFormat/>
    <w:uiPriority w:val="99"/>
    <w:pPr>
      <w:tabs>
        <w:tab w:val="center" w:pos="4153"/>
        <w:tab w:val="right" w:pos="8306"/>
      </w:tabs>
      <w:snapToGrid w:val="0"/>
      <w:jc w:val="left"/>
    </w:pPr>
    <w:rPr>
      <w:sz w:val="18"/>
      <w:szCs w:val="18"/>
    </w:rPr>
  </w:style>
  <w:style w:type="paragraph" w:styleId="17">
    <w:name w:val="header"/>
    <w:basedOn w:val="1"/>
    <w:link w:val="31"/>
    <w:qFormat/>
    <w:uiPriority w:val="99"/>
    <w:pPr>
      <w:pBdr>
        <w:bottom w:val="single" w:color="auto" w:sz="6" w:space="1"/>
      </w:pBdr>
      <w:tabs>
        <w:tab w:val="center" w:pos="4153"/>
        <w:tab w:val="right" w:pos="8306"/>
      </w:tabs>
      <w:snapToGrid w:val="0"/>
      <w:jc w:val="center"/>
    </w:pPr>
    <w:rPr>
      <w:sz w:val="18"/>
      <w:szCs w:val="18"/>
    </w:rPr>
  </w:style>
  <w:style w:type="paragraph" w:styleId="18">
    <w:name w:val="toc 2"/>
    <w:basedOn w:val="1"/>
    <w:next w:val="1"/>
    <w:qFormat/>
    <w:uiPriority w:val="99"/>
    <w:pPr>
      <w:tabs>
        <w:tab w:val="right" w:leader="dot" w:pos="8296"/>
      </w:tabs>
      <w:spacing w:line="360" w:lineRule="auto"/>
      <w:ind w:firstLine="210" w:firstLineChars="100"/>
    </w:pPr>
    <w:rPr>
      <w:rFonts w:eastAsia="仿宋_GB2312"/>
    </w:rPr>
  </w:style>
  <w:style w:type="table" w:styleId="20">
    <w:name w:val="Table Grid"/>
    <w:basedOn w:val="19"/>
    <w:qFormat/>
    <w:uiPriority w:val="99"/>
    <w:pPr>
      <w:widowControl w:val="0"/>
      <w:jc w:val="both"/>
    </w:pPr>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2">
    <w:name w:val="page number"/>
    <w:basedOn w:val="21"/>
    <w:qFormat/>
    <w:uiPriority w:val="99"/>
    <w:rPr>
      <w:rFonts w:cs="Times New Roman"/>
    </w:rPr>
  </w:style>
  <w:style w:type="character" w:styleId="23">
    <w:name w:val="Hyperlink"/>
    <w:basedOn w:val="21"/>
    <w:qFormat/>
    <w:uiPriority w:val="99"/>
    <w:rPr>
      <w:rFonts w:cs="Times New Roman"/>
      <w:color w:val="136EC2"/>
      <w:u w:val="single"/>
    </w:rPr>
  </w:style>
  <w:style w:type="character" w:customStyle="1" w:styleId="24">
    <w:name w:val="Heading 1 Char"/>
    <w:basedOn w:val="21"/>
    <w:link w:val="3"/>
    <w:qFormat/>
    <w:locked/>
    <w:uiPriority w:val="99"/>
    <w:rPr>
      <w:rFonts w:ascii="Times New Roman" w:hAnsi="Times New Roman" w:eastAsia="黑体" w:cs="Times New Roman"/>
      <w:b/>
      <w:bCs/>
      <w:kern w:val="44"/>
      <w:sz w:val="36"/>
      <w:szCs w:val="44"/>
    </w:rPr>
  </w:style>
  <w:style w:type="character" w:customStyle="1" w:styleId="25">
    <w:name w:val="Heading 2 Char"/>
    <w:basedOn w:val="21"/>
    <w:link w:val="5"/>
    <w:semiHidden/>
    <w:qFormat/>
    <w:locked/>
    <w:uiPriority w:val="99"/>
    <w:rPr>
      <w:rFonts w:ascii="Cambria" w:hAnsi="Cambria" w:eastAsia="仿宋" w:cs="Times New Roman"/>
      <w:b/>
      <w:bCs/>
      <w:sz w:val="30"/>
      <w:szCs w:val="32"/>
    </w:rPr>
  </w:style>
  <w:style w:type="character" w:customStyle="1" w:styleId="26">
    <w:name w:val="Heading 3 Char"/>
    <w:basedOn w:val="21"/>
    <w:link w:val="6"/>
    <w:semiHidden/>
    <w:qFormat/>
    <w:locked/>
    <w:uiPriority w:val="99"/>
    <w:rPr>
      <w:rFonts w:eastAsia="仿宋" w:cs="Times New Roman"/>
      <w:bCs/>
      <w:sz w:val="32"/>
      <w:szCs w:val="32"/>
      <w:lang w:val="en-US" w:eastAsia="zh-CN" w:bidi="ar-SA"/>
    </w:rPr>
  </w:style>
  <w:style w:type="character" w:customStyle="1" w:styleId="27">
    <w:name w:val="Heading 4 Char"/>
    <w:basedOn w:val="21"/>
    <w:link w:val="7"/>
    <w:semiHidden/>
    <w:qFormat/>
    <w:locked/>
    <w:uiPriority w:val="99"/>
    <w:rPr>
      <w:rFonts w:ascii="Cambria" w:hAnsi="Cambria" w:eastAsia="宋体" w:cs="Times New Roman"/>
      <w:b/>
      <w:bCs/>
      <w:sz w:val="28"/>
      <w:szCs w:val="28"/>
    </w:rPr>
  </w:style>
  <w:style w:type="character" w:customStyle="1" w:styleId="28">
    <w:name w:val="Plain Text Char"/>
    <w:basedOn w:val="21"/>
    <w:link w:val="14"/>
    <w:semiHidden/>
    <w:qFormat/>
    <w:locked/>
    <w:uiPriority w:val="99"/>
    <w:rPr>
      <w:rFonts w:ascii="宋体" w:hAnsi="Courier New" w:cs="Courier New"/>
      <w:sz w:val="21"/>
      <w:szCs w:val="21"/>
    </w:rPr>
  </w:style>
  <w:style w:type="character" w:customStyle="1" w:styleId="29">
    <w:name w:val="Date Char"/>
    <w:basedOn w:val="21"/>
    <w:link w:val="15"/>
    <w:semiHidden/>
    <w:qFormat/>
    <w:locked/>
    <w:uiPriority w:val="99"/>
    <w:rPr>
      <w:rFonts w:cs="Times New Roman"/>
      <w:sz w:val="24"/>
      <w:szCs w:val="24"/>
    </w:rPr>
  </w:style>
  <w:style w:type="character" w:customStyle="1" w:styleId="30">
    <w:name w:val="Footer Char"/>
    <w:basedOn w:val="21"/>
    <w:link w:val="16"/>
    <w:semiHidden/>
    <w:qFormat/>
    <w:locked/>
    <w:uiPriority w:val="99"/>
    <w:rPr>
      <w:rFonts w:cs="Times New Roman"/>
      <w:sz w:val="18"/>
      <w:szCs w:val="18"/>
    </w:rPr>
  </w:style>
  <w:style w:type="character" w:customStyle="1" w:styleId="31">
    <w:name w:val="Header Char"/>
    <w:basedOn w:val="21"/>
    <w:link w:val="17"/>
    <w:semiHidden/>
    <w:qFormat/>
    <w:locked/>
    <w:uiPriority w:val="99"/>
    <w:rPr>
      <w:rFonts w:cs="Times New Roman"/>
      <w:sz w:val="18"/>
      <w:szCs w:val="18"/>
    </w:rPr>
  </w:style>
  <w:style w:type="character" w:customStyle="1" w:styleId="32">
    <w:name w:val="font01"/>
    <w:qFormat/>
    <w:uiPriority w:val="99"/>
    <w:rPr>
      <w:rFonts w:ascii="等线" w:hAnsi="等线" w:eastAsia="等线"/>
      <w:color w:val="000000"/>
      <w:sz w:val="22"/>
      <w:u w:val="none"/>
    </w:rPr>
  </w:style>
  <w:style w:type="character" w:customStyle="1" w:styleId="33">
    <w:name w:val="font151"/>
    <w:qFormat/>
    <w:uiPriority w:val="99"/>
    <w:rPr>
      <w:rFonts w:ascii="仿宋_GB2312" w:eastAsia="仿宋_GB2312"/>
      <w:color w:val="000000"/>
      <w:sz w:val="21"/>
      <w:u w:val="none"/>
    </w:rPr>
  </w:style>
  <w:style w:type="character" w:customStyle="1" w:styleId="34">
    <w:name w:val="font51"/>
    <w:qFormat/>
    <w:uiPriority w:val="99"/>
    <w:rPr>
      <w:rFonts w:ascii="Times New Roman" w:hAnsi="Times New Roman"/>
      <w:b/>
      <w:color w:val="000000"/>
      <w:sz w:val="32"/>
      <w:u w:val="none"/>
    </w:rPr>
  </w:style>
  <w:style w:type="character" w:customStyle="1" w:styleId="35">
    <w:name w:val="font111"/>
    <w:qFormat/>
    <w:uiPriority w:val="99"/>
    <w:rPr>
      <w:rFonts w:ascii="宋体" w:hAnsi="宋体" w:eastAsia="宋体"/>
      <w:color w:val="000000"/>
      <w:sz w:val="21"/>
      <w:u w:val="none"/>
    </w:rPr>
  </w:style>
  <w:style w:type="character" w:customStyle="1" w:styleId="36">
    <w:name w:val="font21"/>
    <w:basedOn w:val="21"/>
    <w:qFormat/>
    <w:uiPriority w:val="99"/>
    <w:rPr>
      <w:rFonts w:ascii="黑体" w:hAnsi="宋体" w:eastAsia="黑体"/>
      <w:color w:val="000000"/>
      <w:sz w:val="28"/>
      <w:u w:val="none"/>
    </w:rPr>
  </w:style>
  <w:style w:type="character" w:customStyle="1" w:styleId="37">
    <w:name w:val="font11"/>
    <w:qFormat/>
    <w:uiPriority w:val="99"/>
    <w:rPr>
      <w:rFonts w:ascii="等线" w:hAnsi="等线" w:eastAsia="等线"/>
      <w:color w:val="000000"/>
      <w:sz w:val="22"/>
      <w:u w:val="none"/>
      <w:vertAlign w:val="superscript"/>
    </w:rPr>
  </w:style>
  <w:style w:type="character" w:customStyle="1" w:styleId="38">
    <w:name w:val="font171"/>
    <w:qFormat/>
    <w:uiPriority w:val="99"/>
    <w:rPr>
      <w:rFonts w:ascii="Times New Roman" w:hAnsi="Times New Roman"/>
      <w:color w:val="000000"/>
      <w:sz w:val="21"/>
      <w:u w:val="none"/>
    </w:rPr>
  </w:style>
  <w:style w:type="character" w:customStyle="1" w:styleId="39">
    <w:name w:val="font251"/>
    <w:qFormat/>
    <w:uiPriority w:val="99"/>
    <w:rPr>
      <w:rFonts w:ascii="宋体" w:hAnsi="宋体" w:eastAsia="宋体"/>
      <w:color w:val="000000"/>
      <w:sz w:val="21"/>
      <w:u w:val="none"/>
      <w:vertAlign w:val="superscript"/>
    </w:rPr>
  </w:style>
  <w:style w:type="character" w:customStyle="1" w:styleId="40">
    <w:name w:val="正文1 Char"/>
    <w:link w:val="41"/>
    <w:qFormat/>
    <w:locked/>
    <w:uiPriority w:val="99"/>
    <w:rPr>
      <w:rFonts w:ascii="宋体"/>
      <w:sz w:val="24"/>
    </w:rPr>
  </w:style>
  <w:style w:type="paragraph" w:customStyle="1" w:styleId="41">
    <w:name w:val="正文1"/>
    <w:basedOn w:val="1"/>
    <w:link w:val="40"/>
    <w:qFormat/>
    <w:uiPriority w:val="99"/>
    <w:pPr>
      <w:adjustRightInd w:val="0"/>
      <w:snapToGrid w:val="0"/>
      <w:spacing w:line="410" w:lineRule="atLeast"/>
      <w:ind w:firstLine="200" w:firstLineChars="200"/>
      <w:jc w:val="left"/>
      <w:textAlignment w:val="baseline"/>
    </w:pPr>
    <w:rPr>
      <w:rFonts w:ascii="宋体"/>
      <w:kern w:val="0"/>
      <w:sz w:val="24"/>
      <w:szCs w:val="20"/>
    </w:rPr>
  </w:style>
  <w:style w:type="character" w:customStyle="1" w:styleId="42">
    <w:name w:val="font41"/>
    <w:qFormat/>
    <w:uiPriority w:val="99"/>
    <w:rPr>
      <w:rFonts w:ascii="仿宋_GB2312" w:eastAsia="仿宋_GB2312"/>
      <w:b/>
      <w:color w:val="000000"/>
      <w:sz w:val="32"/>
      <w:u w:val="none"/>
    </w:rPr>
  </w:style>
  <w:style w:type="paragraph" w:customStyle="1" w:styleId="43">
    <w:name w:val="表中"/>
    <w:basedOn w:val="14"/>
    <w:next w:val="1"/>
    <w:qFormat/>
    <w:uiPriority w:val="99"/>
    <w:pPr>
      <w:spacing w:line="240" w:lineRule="exact"/>
      <w:jc w:val="center"/>
    </w:pPr>
    <w:rPr>
      <w:rFonts w:hAnsi="Times New Roman"/>
      <w:kern w:val="0"/>
      <w:szCs w:val="20"/>
    </w:rPr>
  </w:style>
  <w:style w:type="paragraph" w:customStyle="1" w:styleId="44">
    <w:name w:val="Char Char Char Char"/>
    <w:basedOn w:val="1"/>
    <w:qFormat/>
    <w:uiPriority w:val="99"/>
    <w:pPr>
      <w:tabs>
        <w:tab w:val="left" w:pos="425"/>
      </w:tabs>
      <w:ind w:left="425" w:hanging="425"/>
    </w:pPr>
  </w:style>
  <w:style w:type="character" w:customStyle="1" w:styleId="45">
    <w:name w:val="font31"/>
    <w:qFormat/>
    <w:uiPriority w:val="99"/>
    <w:rPr>
      <w:rFonts w:ascii="仿宋" w:hAnsi="仿宋" w:eastAsia="仿宋"/>
      <w:color w:val="000000"/>
      <w:sz w:val="22"/>
      <w:u w:val="none"/>
      <w:vertAlign w:val="subscript"/>
    </w:rPr>
  </w:style>
  <w:style w:type="character" w:customStyle="1" w:styleId="46">
    <w:name w:val="font61"/>
    <w:qFormat/>
    <w:uiPriority w:val="99"/>
    <w:rPr>
      <w:rFonts w:ascii="仿宋" w:hAnsi="仿宋" w:eastAsia="仿宋"/>
      <w:color w:val="000000"/>
      <w:sz w:val="22"/>
      <w:u w:val="none"/>
    </w:rPr>
  </w:style>
  <w:style w:type="character" w:customStyle="1" w:styleId="47">
    <w:name w:val="font81"/>
    <w:qFormat/>
    <w:uiPriority w:val="99"/>
    <w:rPr>
      <w:rFonts w:ascii="仿宋" w:hAnsi="仿宋" w:eastAsia="仿宋"/>
      <w:color w:val="000000"/>
      <w:sz w:val="22"/>
      <w:u w:val="none"/>
      <w:vertAlign w:val="subscript"/>
    </w:rPr>
  </w:style>
  <w:style w:type="character" w:customStyle="1" w:styleId="48">
    <w:name w:val="font91"/>
    <w:qFormat/>
    <w:uiPriority w:val="99"/>
    <w:rPr>
      <w:rFonts w:ascii="等线" w:hAnsi="等线" w:eastAsia="等线"/>
      <w:color w:val="000000"/>
      <w:sz w:val="22"/>
      <w:u w:val="none"/>
      <w:vertAlign w:val="superscript"/>
    </w:rPr>
  </w:style>
  <w:style w:type="paragraph" w:customStyle="1" w:styleId="49">
    <w:name w:val="列表段落"/>
    <w:basedOn w:val="1"/>
    <w:qFormat/>
    <w:uiPriority w:val="99"/>
    <w:pPr>
      <w:ind w:firstLine="420" w:firstLineChars="200"/>
    </w:pPr>
    <w:rPr>
      <w:szCs w:val="22"/>
    </w:rPr>
  </w:style>
  <w:style w:type="character" w:customStyle="1" w:styleId="50">
    <w:name w:val="font71"/>
    <w:qFormat/>
    <w:uiPriority w:val="0"/>
    <w:rPr>
      <w:rFonts w:hint="eastAsia" w:ascii="仿宋" w:hAnsi="仿宋" w:eastAsia="仿宋" w:cs="仿宋"/>
      <w:color w:val="000000"/>
      <w:sz w:val="22"/>
      <w:szCs w:val="22"/>
      <w:u w:val="none"/>
      <w:vertAlign w:val="superscript"/>
    </w:rPr>
  </w:style>
  <w:style w:type="character" w:customStyle="1" w:styleId="51">
    <w:name w:val="font112"/>
    <w:basedOn w:val="21"/>
    <w:qFormat/>
    <w:uiPriority w:val="0"/>
    <w:rPr>
      <w:rFonts w:hint="default" w:ascii="Times New Roman" w:hAnsi="Times New Roman" w:cs="Times New Roman"/>
      <w:color w:val="000000"/>
      <w:sz w:val="21"/>
      <w:szCs w:val="21"/>
      <w:u w:val="none"/>
    </w:rPr>
  </w:style>
  <w:style w:type="character" w:customStyle="1" w:styleId="52">
    <w:name w:val="font101"/>
    <w:basedOn w:val="21"/>
    <w:qFormat/>
    <w:uiPriority w:val="0"/>
    <w:rPr>
      <w:rFonts w:hint="default" w:ascii="仿宋_GB2312" w:eastAsia="仿宋_GB2312" w:cs="仿宋_GB2312"/>
      <w:color w:val="000000"/>
      <w:sz w:val="21"/>
      <w:szCs w:val="21"/>
      <w:u w:val="none"/>
    </w:rPr>
  </w:style>
  <w:style w:type="character" w:customStyle="1" w:styleId="53">
    <w:name w:val="font121"/>
    <w:basedOn w:val="21"/>
    <w:qFormat/>
    <w:uiPriority w:val="0"/>
    <w:rPr>
      <w:rFonts w:hint="eastAsia" w:ascii="宋体" w:hAnsi="宋体" w:eastAsia="宋体" w:cs="宋体"/>
      <w:color w:val="000000"/>
      <w:sz w:val="21"/>
      <w:szCs w:val="21"/>
      <w:u w:val="none"/>
    </w:rPr>
  </w:style>
  <w:style w:type="character" w:customStyle="1" w:styleId="54">
    <w:name w:val="font181"/>
    <w:basedOn w:val="21"/>
    <w:qFormat/>
    <w:uiPriority w:val="0"/>
    <w:rPr>
      <w:rFonts w:hint="eastAsia" w:ascii="宋体" w:hAnsi="宋体" w:eastAsia="宋体" w:cs="宋体"/>
      <w:color w:val="000000"/>
      <w:sz w:val="21"/>
      <w:szCs w:val="21"/>
      <w:u w:val="none"/>
      <w:vertAlign w:val="superscript"/>
    </w:rPr>
  </w:style>
  <w:style w:type="paragraph" w:customStyle="1" w:styleId="55">
    <w:name w:val="样式1"/>
    <w:basedOn w:val="1"/>
    <w:next w:val="1"/>
    <w:qFormat/>
    <w:uiPriority w:val="0"/>
    <w:pPr>
      <w:keepNext/>
      <w:keepLines/>
      <w:numPr>
        <w:ilvl w:val="0"/>
        <w:numId w:val="2"/>
      </w:numPr>
      <w:spacing w:line="560" w:lineRule="exact"/>
      <w:outlineLvl w:val="0"/>
    </w:pPr>
    <w:rPr>
      <w:rFonts w:ascii="宋体" w:hAnsi="宋体" w:eastAsia="黑体"/>
      <w:kern w:val="44"/>
      <w:sz w:val="32"/>
      <w:szCs w:val="32"/>
    </w:rPr>
  </w:style>
  <w:style w:type="paragraph" w:customStyle="1" w:styleId="56">
    <w:name w:val="WPSOffice手动目录 1"/>
    <w:qFormat/>
    <w:uiPriority w:val="0"/>
    <w:pPr>
      <w:ind w:leftChars="0"/>
    </w:pPr>
    <w:rPr>
      <w:rFonts w:ascii="Times New Roman" w:hAnsi="Times New Roman" w:eastAsia="宋体" w:cs="Times New Roman"/>
      <w:sz w:val="20"/>
      <w:szCs w:val="20"/>
    </w:rPr>
  </w:style>
  <w:style w:type="paragraph" w:customStyle="1" w:styleId="57">
    <w:name w:val="WPSOffice手动目录 2"/>
    <w:qFormat/>
    <w:uiPriority w:val="0"/>
    <w:pPr>
      <w:ind w:leftChars="200"/>
    </w:pPr>
    <w:rPr>
      <w:rFonts w:ascii="Times New Roman" w:hAnsi="Times New Roman" w:eastAsia="宋体" w:cs="Times New Roman"/>
      <w:sz w:val="20"/>
      <w:szCs w:val="20"/>
    </w:rPr>
  </w:style>
  <w:style w:type="character" w:customStyle="1" w:styleId="58">
    <w:name w:val="font131"/>
    <w:basedOn w:val="21"/>
    <w:qFormat/>
    <w:uiPriority w:val="0"/>
    <w:rPr>
      <w:rFonts w:hint="eastAsia" w:ascii="宋体" w:hAnsi="宋体" w:eastAsia="宋体" w:cs="宋体"/>
      <w:color w:val="000000"/>
      <w:sz w:val="21"/>
      <w:szCs w:val="21"/>
      <w:u w:val="none"/>
      <w:vertAlign w:val="superscript"/>
    </w:rPr>
  </w:style>
  <w:style w:type="character" w:customStyle="1" w:styleId="59">
    <w:name w:val="font161"/>
    <w:basedOn w:val="21"/>
    <w:qFormat/>
    <w:uiPriority w:val="0"/>
    <w:rPr>
      <w:rFonts w:hint="default" w:ascii="Times New Roman" w:hAnsi="Times New Roman" w:cs="Times New Roman"/>
      <w:b/>
      <w:bCs/>
      <w:color w:val="000000"/>
      <w:sz w:val="32"/>
      <w:szCs w:val="32"/>
      <w:u w:val="none"/>
    </w:rPr>
  </w:style>
  <w:style w:type="character" w:customStyle="1" w:styleId="60">
    <w:name w:val="font12"/>
    <w:basedOn w:val="21"/>
    <w:qFormat/>
    <w:uiPriority w:val="0"/>
    <w:rPr>
      <w:rFonts w:hint="default" w:ascii="仿宋_GB2312" w:eastAsia="仿宋_GB2312" w:cs="仿宋_GB2312"/>
      <w:b/>
      <w:bCs/>
      <w:color w:val="000000"/>
      <w:sz w:val="32"/>
      <w:szCs w:val="32"/>
      <w:u w:val="none"/>
    </w:rPr>
  </w:style>
  <w:style w:type="character" w:customStyle="1" w:styleId="61">
    <w:name w:val="font14"/>
    <w:basedOn w:val="21"/>
    <w:qFormat/>
    <w:uiPriority w:val="0"/>
    <w:rPr>
      <w:rFonts w:hint="default" w:ascii="仿宋_GB2312" w:eastAsia="仿宋_GB2312" w:cs="仿宋_GB2312"/>
      <w:b/>
      <w:bCs/>
      <w:color w:val="000000"/>
      <w:sz w:val="32"/>
      <w:szCs w:val="32"/>
      <w:u w:val="none"/>
    </w:rPr>
  </w:style>
  <w:style w:type="character" w:customStyle="1" w:styleId="62">
    <w:name w:val="font13"/>
    <w:basedOn w:val="21"/>
    <w:qFormat/>
    <w:uiPriority w:val="0"/>
    <w:rPr>
      <w:rFonts w:hint="default" w:ascii="仿宋_GB2312" w:eastAsia="仿宋_GB2312" w:cs="仿宋_GB2312"/>
      <w:b/>
      <w:bCs/>
      <w:color w:val="000000"/>
      <w:sz w:val="32"/>
      <w:szCs w:val="32"/>
      <w:u w:val="none"/>
    </w:rPr>
  </w:style>
  <w:style w:type="character" w:customStyle="1" w:styleId="63">
    <w:name w:val="font212"/>
    <w:basedOn w:val="21"/>
    <w:qFormat/>
    <w:uiPriority w:val="0"/>
    <w:rPr>
      <w:rFonts w:hint="eastAsia" w:ascii="宋体" w:hAnsi="宋体" w:eastAsia="宋体" w:cs="宋体"/>
      <w:color w:val="000000"/>
      <w:sz w:val="21"/>
      <w:szCs w:val="21"/>
      <w:u w:val="none"/>
      <w:vertAlign w:val="superscript"/>
    </w:rPr>
  </w:style>
  <w:style w:type="character" w:customStyle="1" w:styleId="64">
    <w:name w:val="font122"/>
    <w:basedOn w:val="21"/>
    <w:qFormat/>
    <w:uiPriority w:val="0"/>
    <w:rPr>
      <w:rFonts w:hint="default" w:ascii="仿宋_GB2312" w:eastAsia="仿宋_GB2312" w:cs="仿宋_GB2312"/>
      <w:color w:val="000000"/>
      <w:sz w:val="21"/>
      <w:szCs w:val="21"/>
      <w:u w:val="none"/>
    </w:rPr>
  </w:style>
  <w:style w:type="character" w:customStyle="1" w:styleId="65">
    <w:name w:val="font141"/>
    <w:basedOn w:val="21"/>
    <w:qFormat/>
    <w:uiPriority w:val="0"/>
    <w:rPr>
      <w:rFonts w:hint="eastAsia" w:ascii="宋体" w:hAnsi="宋体" w:eastAsia="宋体" w:cs="宋体"/>
      <w:color w:val="000000"/>
      <w:sz w:val="21"/>
      <w:szCs w:val="21"/>
      <w:u w:val="none"/>
      <w:vertAlign w:val="superscript"/>
    </w:rPr>
  </w:style>
  <w:style w:type="character" w:customStyle="1" w:styleId="66">
    <w:name w:val="font201"/>
    <w:basedOn w:val="21"/>
    <w:qFormat/>
    <w:uiPriority w:val="0"/>
    <w:rPr>
      <w:rFonts w:hint="eastAsia" w:ascii="宋体" w:hAnsi="宋体" w:eastAsia="宋体" w:cs="宋体"/>
      <w:color w:val="000000"/>
      <w:sz w:val="21"/>
      <w:szCs w:val="21"/>
      <w:u w:val="none"/>
      <w:vertAlign w:val="superscript"/>
    </w:rPr>
  </w:style>
  <w:style w:type="character" w:customStyle="1" w:styleId="67">
    <w:name w:val="font191"/>
    <w:basedOn w:val="21"/>
    <w:qFormat/>
    <w:uiPriority w:val="0"/>
    <w:rPr>
      <w:rFonts w:hint="eastAsia" w:ascii="宋体" w:hAnsi="宋体" w:eastAsia="宋体" w:cs="宋体"/>
      <w:color w:val="000000"/>
      <w:sz w:val="21"/>
      <w:szCs w:val="21"/>
      <w:u w:val="none"/>
      <w:vertAlign w:val="superscript"/>
    </w:rPr>
  </w:style>
  <w:style w:type="character" w:customStyle="1" w:styleId="68">
    <w:name w:val="font221"/>
    <w:basedOn w:val="21"/>
    <w:qFormat/>
    <w:uiPriority w:val="0"/>
    <w:rPr>
      <w:rFonts w:hint="eastAsia" w:ascii="宋体" w:hAnsi="宋体" w:eastAsia="宋体" w:cs="宋体"/>
      <w:color w:val="000000"/>
      <w:sz w:val="21"/>
      <w:szCs w:val="21"/>
      <w:u w:val="none"/>
      <w:vertAlign w:val="superscript"/>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4.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MC SYSTEM</Company>
  <Pages>37</Pages>
  <Words>3234</Words>
  <Characters>3507</Characters>
  <Lines>0</Lines>
  <Paragraphs>0</Paragraphs>
  <TotalTime>16</TotalTime>
  <ScaleCrop>false</ScaleCrop>
  <LinksUpToDate>false</LinksUpToDate>
  <CharactersWithSpaces>3634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2021-12-21T06:30:00Z</dcterms:created>
  <dc:creator>MC SYSTEM</dc:creator>
  <cp:lastModifiedBy>HR</cp:lastModifiedBy>
  <cp:lastPrinted>2024-11-09T02:55:00Z</cp:lastPrinted>
  <dcterms:modified xsi:type="dcterms:W3CDTF">2025-12-26T06:17:14Z</dcterms:modified>
  <dc:title>B</dc:title>
  <cp:revision>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185562154F014EA1AD8FD4DA7BF894FB_13</vt:lpwstr>
  </property>
  <property fmtid="{D5CDD505-2E9C-101B-9397-08002B2CF9AE}" pid="4" name="KSOTemplateDocerSaveRecord">
    <vt:lpwstr>eyJoZGlkIjoiYTc2ZGZiNzZiNDVlOGViOWVmM2JhOTY0NGJkNjUyYzgiLCJ1c2VySWQiOiI2NTU0MDcxNzkifQ==</vt:lpwstr>
  </property>
</Properties>
</file>