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880" w:firstLineChars="20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威海市</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环翠区商务局</w:t>
      </w:r>
      <w:r>
        <w:rPr>
          <w:rFonts w:hint="default" w:ascii="Times New Roman" w:hAnsi="Times New Roman" w:eastAsia="方正小标宋简体" w:cs="Times New Roman"/>
          <w:b w:val="0"/>
          <w:bCs/>
          <w:i w:val="0"/>
          <w:caps w:val="0"/>
          <w:color w:val="333333"/>
          <w:spacing w:val="0"/>
          <w:sz w:val="44"/>
          <w:szCs w:val="44"/>
          <w:shd w:val="clear" w:color="auto" w:fill="FFFFFF"/>
          <w:lang w:val="en-US" w:eastAsia="zh-CN"/>
        </w:rPr>
        <w:t>2020</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年</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政府信息公开工作年度报告</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rPr>
      </w:pPr>
      <w:r>
        <w:rPr>
          <w:rFonts w:hint="eastAsia" w:ascii="仿宋_GB2312" w:hAnsi="仿宋_GB2312" w:eastAsia="仿宋_GB2312" w:cs="仿宋_GB2312"/>
          <w:b w:val="0"/>
          <w:bCs/>
          <w:i w:val="0"/>
          <w:caps w:val="0"/>
          <w:color w:val="333333"/>
          <w:spacing w:val="0"/>
          <w:sz w:val="32"/>
          <w:szCs w:val="32"/>
          <w:shd w:val="clear" w:color="auto" w:fill="FFFFFF"/>
        </w:rPr>
        <w:t>根据《中华人民共和国政府信息公开条例》（以下简称《条例》）和《山东省政府信息公开办法》（以下简称《办法》）规定的要求，结合贯彻落实《威海市环翠区人民政府办公室关于做好机构改革后政府网站调整工作和进一步加强改进政务公开工作的通知》，现公布环翠区</w:t>
      </w:r>
      <w:r>
        <w:rPr>
          <w:rFonts w:hint="eastAsia" w:ascii="仿宋_GB2312" w:hAnsi="仿宋_GB2312" w:eastAsia="仿宋_GB2312" w:cs="仿宋_GB2312"/>
          <w:b w:val="0"/>
          <w:bCs/>
          <w:i w:val="0"/>
          <w:caps w:val="0"/>
          <w:color w:val="333333"/>
          <w:spacing w:val="0"/>
          <w:sz w:val="32"/>
          <w:szCs w:val="32"/>
          <w:shd w:val="clear" w:color="auto" w:fill="FFFFFF"/>
          <w:lang w:eastAsia="zh-CN"/>
        </w:rPr>
        <w:t>商务</w:t>
      </w:r>
      <w:r>
        <w:rPr>
          <w:rFonts w:hint="eastAsia" w:ascii="仿宋_GB2312" w:hAnsi="仿宋_GB2312" w:eastAsia="仿宋_GB2312" w:cs="仿宋_GB2312"/>
          <w:b w:val="0"/>
          <w:bCs/>
          <w:i w:val="0"/>
          <w:caps w:val="0"/>
          <w:color w:val="333333"/>
          <w:spacing w:val="0"/>
          <w:sz w:val="32"/>
          <w:szCs w:val="32"/>
          <w:shd w:val="clear" w:color="auto" w:fill="FFFFFF"/>
        </w:rPr>
        <w:t>局</w:t>
      </w:r>
      <w:r>
        <w:rPr>
          <w:rFonts w:hint="default" w:ascii="Times New Roman" w:hAnsi="Times New Roman" w:eastAsia="仿宋_GB2312" w:cs="Times New Roman"/>
          <w:b w:val="0"/>
          <w:bCs/>
          <w:i w:val="0"/>
          <w:caps w:val="0"/>
          <w:color w:val="333333"/>
          <w:spacing w:val="0"/>
          <w:sz w:val="32"/>
          <w:szCs w:val="32"/>
          <w:shd w:val="clear" w:color="auto" w:fill="FFFFFF"/>
        </w:rPr>
        <w:t>20</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20</w:t>
      </w:r>
      <w:r>
        <w:rPr>
          <w:rFonts w:hint="eastAsia" w:ascii="仿宋_GB2312" w:hAnsi="仿宋_GB2312" w:eastAsia="仿宋_GB2312" w:cs="仿宋_GB2312"/>
          <w:b w:val="0"/>
          <w:bCs/>
          <w:i w:val="0"/>
          <w:caps w:val="0"/>
          <w:color w:val="333333"/>
          <w:spacing w:val="0"/>
          <w:sz w:val="32"/>
          <w:szCs w:val="32"/>
          <w:shd w:val="clear" w:color="auto" w:fill="FFFFFF"/>
        </w:rPr>
        <w:t>年度政府信息公开工作年度报告。</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仿宋_GB2312" w:hAnsi="仿宋_GB2312" w:eastAsia="仿宋_GB2312" w:cs="仿宋_GB2312"/>
          <w:b w:val="0"/>
          <w:bCs/>
          <w:i w:val="0"/>
          <w:caps w:val="0"/>
          <w:color w:val="333333"/>
          <w:spacing w:val="0"/>
          <w:sz w:val="32"/>
          <w:szCs w:val="32"/>
          <w:shd w:val="clear" w:color="auto" w:fill="FFFFFF"/>
        </w:rPr>
        <w:t>本报告中所列数据的统计时限自</w:t>
      </w:r>
      <w:r>
        <w:rPr>
          <w:rFonts w:hint="eastAsia" w:ascii="Times New Roman" w:hAnsi="Times New Roman" w:eastAsia="仿宋_GB2312" w:cs="Times New Roman"/>
          <w:b w:val="0"/>
          <w:bCs/>
          <w:i w:val="0"/>
          <w:caps w:val="0"/>
          <w:color w:val="333333"/>
          <w:spacing w:val="0"/>
          <w:sz w:val="32"/>
          <w:szCs w:val="32"/>
          <w:shd w:val="clear" w:color="auto" w:fill="FFFFFF"/>
        </w:rPr>
        <w:t>20</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20</w:t>
      </w:r>
      <w:r>
        <w:rPr>
          <w:rFonts w:hint="eastAsia" w:ascii="仿宋_GB2312" w:hAnsi="仿宋_GB2312" w:eastAsia="仿宋_GB2312" w:cs="仿宋_GB2312"/>
          <w:b w:val="0"/>
          <w:bCs/>
          <w:i w:val="0"/>
          <w:caps w:val="0"/>
          <w:color w:val="333333"/>
          <w:spacing w:val="0"/>
          <w:sz w:val="32"/>
          <w:szCs w:val="32"/>
          <w:shd w:val="clear" w:color="auto" w:fill="FFFFFF"/>
        </w:rPr>
        <w:t>年</w:t>
      </w:r>
      <w:r>
        <w:rPr>
          <w:rFonts w:hint="eastAsia" w:ascii="Times New Roman" w:hAnsi="Times New Roman" w:eastAsia="仿宋_GB2312" w:cs="Times New Roman"/>
          <w:b w:val="0"/>
          <w:bCs/>
          <w:i w:val="0"/>
          <w:caps w:val="0"/>
          <w:color w:val="333333"/>
          <w:spacing w:val="0"/>
          <w:sz w:val="32"/>
          <w:szCs w:val="32"/>
          <w:shd w:val="clear" w:color="auto" w:fill="FFFFFF"/>
        </w:rPr>
        <w:t>1</w:t>
      </w:r>
      <w:r>
        <w:rPr>
          <w:rFonts w:hint="eastAsia" w:ascii="仿宋_GB2312" w:hAnsi="仿宋_GB2312" w:eastAsia="仿宋_GB2312" w:cs="仿宋_GB2312"/>
          <w:b w:val="0"/>
          <w:bCs/>
          <w:i w:val="0"/>
          <w:caps w:val="0"/>
          <w:color w:val="333333"/>
          <w:spacing w:val="0"/>
          <w:sz w:val="32"/>
          <w:szCs w:val="32"/>
          <w:shd w:val="clear" w:color="auto" w:fill="FFFFFF"/>
        </w:rPr>
        <w:t>月</w:t>
      </w:r>
      <w:r>
        <w:rPr>
          <w:rFonts w:hint="eastAsia" w:ascii="Times New Roman" w:hAnsi="Times New Roman" w:eastAsia="仿宋_GB2312" w:cs="Times New Roman"/>
          <w:b w:val="0"/>
          <w:bCs/>
          <w:i w:val="0"/>
          <w:caps w:val="0"/>
          <w:color w:val="333333"/>
          <w:spacing w:val="0"/>
          <w:sz w:val="32"/>
          <w:szCs w:val="32"/>
          <w:shd w:val="clear" w:color="auto" w:fill="FFFFFF"/>
        </w:rPr>
        <w:t>1</w:t>
      </w:r>
      <w:r>
        <w:rPr>
          <w:rFonts w:hint="eastAsia" w:ascii="仿宋_GB2312" w:hAnsi="仿宋_GB2312" w:eastAsia="仿宋_GB2312" w:cs="仿宋_GB2312"/>
          <w:b w:val="0"/>
          <w:bCs/>
          <w:i w:val="0"/>
          <w:caps w:val="0"/>
          <w:color w:val="333333"/>
          <w:spacing w:val="0"/>
          <w:sz w:val="32"/>
          <w:szCs w:val="32"/>
          <w:shd w:val="clear" w:color="auto" w:fill="FFFFFF"/>
        </w:rPr>
        <w:t>日起至</w:t>
      </w:r>
      <w:r>
        <w:rPr>
          <w:rFonts w:hint="eastAsia" w:ascii="Times New Roman" w:hAnsi="Times New Roman" w:eastAsia="仿宋_GB2312" w:cs="Times New Roman"/>
          <w:b w:val="0"/>
          <w:bCs/>
          <w:i w:val="0"/>
          <w:caps w:val="0"/>
          <w:color w:val="333333"/>
          <w:spacing w:val="0"/>
          <w:sz w:val="32"/>
          <w:szCs w:val="32"/>
          <w:shd w:val="clear" w:color="auto" w:fill="FFFFFF"/>
        </w:rPr>
        <w:t>20</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20</w:t>
      </w:r>
      <w:r>
        <w:rPr>
          <w:rFonts w:hint="eastAsia" w:ascii="仿宋_GB2312" w:hAnsi="仿宋_GB2312" w:eastAsia="仿宋_GB2312" w:cs="仿宋_GB2312"/>
          <w:b w:val="0"/>
          <w:bCs/>
          <w:i w:val="0"/>
          <w:caps w:val="0"/>
          <w:color w:val="333333"/>
          <w:spacing w:val="0"/>
          <w:sz w:val="32"/>
          <w:szCs w:val="32"/>
          <w:shd w:val="clear" w:color="auto" w:fill="FFFFFF"/>
        </w:rPr>
        <w:t>年</w:t>
      </w:r>
      <w:r>
        <w:rPr>
          <w:rFonts w:hint="eastAsia" w:ascii="Times New Roman" w:hAnsi="Times New Roman" w:eastAsia="仿宋_GB2312" w:cs="Times New Roman"/>
          <w:b w:val="0"/>
          <w:bCs/>
          <w:i w:val="0"/>
          <w:caps w:val="0"/>
          <w:color w:val="333333"/>
          <w:spacing w:val="0"/>
          <w:sz w:val="32"/>
          <w:szCs w:val="32"/>
          <w:shd w:val="clear" w:color="auto" w:fill="FFFFFF"/>
        </w:rPr>
        <w:t>12</w:t>
      </w:r>
      <w:r>
        <w:rPr>
          <w:rFonts w:hint="eastAsia" w:ascii="仿宋_GB2312" w:hAnsi="仿宋_GB2312" w:eastAsia="仿宋_GB2312" w:cs="仿宋_GB2312"/>
          <w:b w:val="0"/>
          <w:bCs/>
          <w:i w:val="0"/>
          <w:caps w:val="0"/>
          <w:color w:val="333333"/>
          <w:spacing w:val="0"/>
          <w:sz w:val="32"/>
          <w:szCs w:val="32"/>
          <w:shd w:val="clear" w:color="auto" w:fill="FFFFFF"/>
        </w:rPr>
        <w:t>月</w:t>
      </w:r>
      <w:r>
        <w:rPr>
          <w:rFonts w:hint="eastAsia" w:ascii="Times New Roman" w:hAnsi="Times New Roman" w:eastAsia="仿宋_GB2312" w:cs="Times New Roman"/>
          <w:b w:val="0"/>
          <w:bCs/>
          <w:i w:val="0"/>
          <w:caps w:val="0"/>
          <w:color w:val="333333"/>
          <w:spacing w:val="0"/>
          <w:sz w:val="32"/>
          <w:szCs w:val="32"/>
          <w:shd w:val="clear" w:color="auto" w:fill="FFFFFF"/>
        </w:rPr>
        <w:t>31</w:t>
      </w:r>
      <w:r>
        <w:rPr>
          <w:rFonts w:hint="eastAsia" w:ascii="仿宋_GB2312" w:hAnsi="仿宋_GB2312" w:eastAsia="仿宋_GB2312" w:cs="仿宋_GB2312"/>
          <w:b w:val="0"/>
          <w:bCs/>
          <w:i w:val="0"/>
          <w:caps w:val="0"/>
          <w:color w:val="333333"/>
          <w:spacing w:val="0"/>
          <w:sz w:val="32"/>
          <w:szCs w:val="32"/>
          <w:shd w:val="clear" w:color="auto" w:fill="FFFFFF"/>
        </w:rPr>
        <w:t>日止。本报告的电子版可在威海市环翠区人民政府门户网站（</w:t>
      </w:r>
      <w:r>
        <w:rPr>
          <w:rFonts w:hint="default" w:ascii="Times New Roman" w:hAnsi="Times New Roman" w:eastAsia="仿宋_GB2312" w:cs="Times New Roman"/>
          <w:b w:val="0"/>
          <w:bCs/>
          <w:i w:val="0"/>
          <w:caps w:val="0"/>
          <w:color w:val="333333"/>
          <w:spacing w:val="0"/>
          <w:sz w:val="32"/>
          <w:szCs w:val="32"/>
          <w:shd w:val="clear" w:color="auto" w:fill="FFFFFF"/>
        </w:rPr>
        <w:t>http://www.huancui.gov.cn</w:t>
      </w:r>
      <w:r>
        <w:rPr>
          <w:rFonts w:hint="eastAsia" w:ascii="仿宋_GB2312" w:hAnsi="仿宋_GB2312" w:eastAsia="仿宋_GB2312" w:cs="仿宋_GB2312"/>
          <w:b w:val="0"/>
          <w:bCs/>
          <w:i w:val="0"/>
          <w:caps w:val="0"/>
          <w:color w:val="333333"/>
          <w:spacing w:val="0"/>
          <w:sz w:val="32"/>
          <w:szCs w:val="32"/>
          <w:shd w:val="clear" w:color="auto" w:fill="FFFFFF"/>
        </w:rPr>
        <w:t>）下载。如对本报告有疑问，请与环翠区</w:t>
      </w:r>
      <w:r>
        <w:rPr>
          <w:rFonts w:hint="eastAsia" w:ascii="仿宋_GB2312" w:hAnsi="仿宋_GB2312" w:eastAsia="仿宋_GB2312" w:cs="仿宋_GB2312"/>
          <w:b w:val="0"/>
          <w:bCs/>
          <w:i w:val="0"/>
          <w:caps w:val="0"/>
          <w:color w:val="333333"/>
          <w:spacing w:val="0"/>
          <w:sz w:val="32"/>
          <w:szCs w:val="32"/>
          <w:shd w:val="clear" w:color="auto" w:fill="FFFFFF"/>
          <w:lang w:eastAsia="zh-CN"/>
        </w:rPr>
        <w:t>商务</w:t>
      </w:r>
      <w:r>
        <w:rPr>
          <w:rFonts w:hint="eastAsia" w:ascii="仿宋_GB2312" w:hAnsi="仿宋_GB2312" w:eastAsia="仿宋_GB2312" w:cs="仿宋_GB2312"/>
          <w:b w:val="0"/>
          <w:bCs/>
          <w:i w:val="0"/>
          <w:caps w:val="0"/>
          <w:color w:val="333333"/>
          <w:spacing w:val="0"/>
          <w:sz w:val="32"/>
          <w:szCs w:val="32"/>
          <w:shd w:val="clear" w:color="auto" w:fill="FFFFFF"/>
        </w:rPr>
        <w:t>局联系（地址：威海市文化中路</w:t>
      </w:r>
      <w:r>
        <w:rPr>
          <w:rFonts w:hint="default" w:ascii="Times New Roman" w:hAnsi="Times New Roman" w:eastAsia="仿宋_GB2312" w:cs="Times New Roman"/>
          <w:b w:val="0"/>
          <w:bCs/>
          <w:i w:val="0"/>
          <w:caps w:val="0"/>
          <w:color w:val="333333"/>
          <w:spacing w:val="0"/>
          <w:sz w:val="32"/>
          <w:szCs w:val="32"/>
          <w:shd w:val="clear" w:color="auto" w:fill="FFFFFF"/>
        </w:rPr>
        <w:t>59</w:t>
      </w:r>
      <w:r>
        <w:rPr>
          <w:rFonts w:hint="eastAsia" w:ascii="仿宋_GB2312" w:hAnsi="仿宋_GB2312" w:eastAsia="仿宋_GB2312" w:cs="仿宋_GB2312"/>
          <w:b w:val="0"/>
          <w:bCs/>
          <w:i w:val="0"/>
          <w:caps w:val="0"/>
          <w:color w:val="333333"/>
          <w:spacing w:val="0"/>
          <w:sz w:val="32"/>
          <w:szCs w:val="32"/>
          <w:shd w:val="clear" w:color="auto" w:fill="FFFFFF"/>
        </w:rPr>
        <w:t>号，邮箱：</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hcqswj38500@</w:t>
      </w:r>
      <w:r>
        <w:rPr>
          <w:rFonts w:hint="default" w:ascii="Times New Roman" w:hAnsi="Times New Roman" w:eastAsia="仿宋_GB2312" w:cs="Times New Roman"/>
          <w:b w:val="0"/>
          <w:bCs/>
          <w:i w:val="0"/>
          <w:caps w:val="0"/>
          <w:color w:val="333333"/>
          <w:spacing w:val="0"/>
          <w:sz w:val="32"/>
          <w:szCs w:val="32"/>
          <w:shd w:val="clear" w:color="auto" w:fill="FFFFFF"/>
        </w:rPr>
        <w:t>wh.shandong.cn</w:t>
      </w:r>
      <w:r>
        <w:rPr>
          <w:rFonts w:hint="eastAsia" w:ascii="仿宋_GB2312" w:hAnsi="仿宋_GB2312" w:eastAsia="仿宋_GB2312" w:cs="仿宋_GB2312"/>
          <w:b w:val="0"/>
          <w:bCs/>
          <w:i w:val="0"/>
          <w:caps w:val="0"/>
          <w:color w:val="333333"/>
          <w:spacing w:val="0"/>
          <w:sz w:val="32"/>
          <w:szCs w:val="32"/>
          <w:shd w:val="clear" w:color="auto" w:fill="FFFFFF"/>
        </w:rPr>
        <w:t>，邮编：</w:t>
      </w:r>
      <w:r>
        <w:rPr>
          <w:rFonts w:hint="eastAsia" w:ascii="Times New Roman" w:hAnsi="Times New Roman" w:eastAsia="仿宋_GB2312" w:cs="Times New Roman"/>
          <w:b w:val="0"/>
          <w:bCs/>
          <w:i w:val="0"/>
          <w:caps w:val="0"/>
          <w:color w:val="333333"/>
          <w:spacing w:val="0"/>
          <w:sz w:val="32"/>
          <w:szCs w:val="32"/>
          <w:shd w:val="clear" w:color="auto" w:fill="FFFFFF"/>
        </w:rPr>
        <w:t>264200</w:t>
      </w:r>
      <w:r>
        <w:rPr>
          <w:rFonts w:hint="eastAsia" w:ascii="仿宋_GB2312" w:hAnsi="仿宋_GB2312" w:eastAsia="仿宋_GB2312" w:cs="仿宋_GB2312"/>
          <w:b w:val="0"/>
          <w:bCs/>
          <w:i w:val="0"/>
          <w:caps w:val="0"/>
          <w:color w:val="333333"/>
          <w:spacing w:val="0"/>
          <w:sz w:val="32"/>
          <w:szCs w:val="32"/>
          <w:shd w:val="clear" w:color="auto" w:fill="FFFFFF"/>
        </w:rPr>
        <w:t>，电话：</w:t>
      </w:r>
      <w:r>
        <w:rPr>
          <w:rFonts w:hint="eastAsia" w:ascii="Times New Roman" w:hAnsi="Times New Roman" w:eastAsia="仿宋_GB2312" w:cs="Times New Roman"/>
          <w:b w:val="0"/>
          <w:bCs/>
          <w:i w:val="0"/>
          <w:caps w:val="0"/>
          <w:color w:val="333333"/>
          <w:spacing w:val="0"/>
          <w:sz w:val="32"/>
          <w:szCs w:val="32"/>
          <w:shd w:val="clear" w:color="auto" w:fill="FFFFFF"/>
        </w:rPr>
        <w:t>0631—</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5273106</w:t>
      </w:r>
      <w:r>
        <w:rPr>
          <w:rFonts w:hint="eastAsia" w:ascii="仿宋_GB2312" w:hAnsi="仿宋_GB2312" w:eastAsia="仿宋_GB2312" w:cs="仿宋_GB2312"/>
          <w:b w:val="0"/>
          <w:bCs/>
          <w:i w:val="0"/>
          <w:caps w:val="0"/>
          <w:color w:val="333333"/>
          <w:spacing w:val="0"/>
          <w:sz w:val="32"/>
          <w:szCs w:val="32"/>
          <w:shd w:val="clear" w:color="auto" w:fill="FFFFFF"/>
        </w:rPr>
        <w:t>，传真：</w:t>
      </w:r>
      <w:r>
        <w:rPr>
          <w:rFonts w:hint="eastAsia" w:ascii="Times New Roman" w:hAnsi="Times New Roman" w:eastAsia="仿宋_GB2312" w:cs="Times New Roman"/>
          <w:b w:val="0"/>
          <w:bCs/>
          <w:i w:val="0"/>
          <w:caps w:val="0"/>
          <w:color w:val="333333"/>
          <w:spacing w:val="0"/>
          <w:sz w:val="32"/>
          <w:szCs w:val="32"/>
          <w:shd w:val="clear" w:color="auto" w:fill="FFFFFF"/>
        </w:rPr>
        <w:t>0631—</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5273104</w:t>
      </w:r>
      <w:r>
        <w:rPr>
          <w:rFonts w:hint="eastAsia" w:ascii="仿宋_GB2312" w:hAnsi="仿宋_GB2312" w:eastAsia="仿宋_GB2312" w:cs="仿宋_GB2312"/>
          <w:b w:val="0"/>
          <w:bCs/>
          <w:i w:val="0"/>
          <w:caps w:val="0"/>
          <w:color w:val="333333"/>
          <w:spacing w:val="0"/>
          <w:sz w:val="32"/>
          <w:szCs w:val="32"/>
          <w:shd w:val="clear" w:color="auto" w:fill="FFFFFF"/>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color="auto" w:fill="FFFFFF"/>
        </w:rPr>
        <w:t>一、总体情况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（一）概述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Times New Roman" w:hAnsi="Times New Roman" w:eastAsia="仿宋_GB2312" w:cs="Times New Roman"/>
          <w:b w:val="0"/>
          <w:bCs/>
          <w:i w:val="0"/>
          <w:caps w:val="0"/>
          <w:color w:val="333333"/>
          <w:spacing w:val="0"/>
          <w:sz w:val="32"/>
          <w:szCs w:val="32"/>
          <w:shd w:val="clear" w:color="auto" w:fill="FFFFFF"/>
          <w:lang w:eastAsia="zh-CN"/>
        </w:rPr>
        <w:t>2</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020</w:t>
      </w:r>
      <w:r>
        <w:rPr>
          <w:rFonts w:hint="eastAsia" w:ascii="仿宋_GB2312" w:hAnsi="仿宋_GB2312" w:eastAsia="仿宋_GB2312" w:cs="仿宋_GB2312"/>
          <w:i w:val="0"/>
          <w:caps w:val="0"/>
          <w:color w:val="333333"/>
          <w:spacing w:val="0"/>
          <w:sz w:val="32"/>
          <w:szCs w:val="32"/>
          <w:shd w:val="clear" w:color="auto" w:fill="FFFFFF"/>
          <w:lang w:eastAsia="zh-CN"/>
        </w:rPr>
        <w:t>年，环翠区商务局在区委、区政府的领导下，认真落实</w:t>
      </w:r>
      <w:r>
        <w:rPr>
          <w:rStyle w:val="17"/>
          <w:rFonts w:ascii="Times New Roman" w:hAnsi="Times New Roman"/>
          <w:color w:val="auto"/>
        </w:rPr>
        <w:t>《条例》</w:t>
      </w:r>
      <w:r>
        <w:rPr>
          <w:rStyle w:val="17"/>
          <w:rFonts w:hint="eastAsia" w:ascii="Times New Roman" w:hAnsi="Times New Roman" w:eastAsia="仿宋_GB2312"/>
          <w:color w:val="auto"/>
          <w:lang w:eastAsia="zh-CN"/>
        </w:rPr>
        <w:t>和《办法》</w:t>
      </w:r>
      <w:r>
        <w:rPr>
          <w:rFonts w:hint="eastAsia" w:ascii="仿宋_GB2312" w:hAnsi="仿宋_GB2312" w:eastAsia="仿宋_GB2312" w:cs="仿宋_GB2312"/>
          <w:i w:val="0"/>
          <w:caps w:val="0"/>
          <w:color w:val="333333"/>
          <w:spacing w:val="0"/>
          <w:sz w:val="32"/>
          <w:szCs w:val="32"/>
          <w:shd w:val="clear" w:color="auto" w:fill="FFFFFF"/>
          <w:lang w:eastAsia="zh-CN"/>
        </w:rPr>
        <w:t>精神，</w:t>
      </w:r>
      <w:r>
        <w:rPr>
          <w:rFonts w:hint="eastAsia" w:ascii="仿宋_GB2312" w:hAnsi="仿宋_GB2312" w:eastAsia="仿宋_GB2312" w:cs="仿宋_GB2312"/>
          <w:i w:val="0"/>
          <w:caps w:val="0"/>
          <w:color w:val="333333"/>
          <w:spacing w:val="0"/>
          <w:sz w:val="32"/>
          <w:szCs w:val="32"/>
          <w:shd w:val="clear" w:color="auto" w:fill="FFFFFF"/>
          <w:lang w:val="en-US" w:eastAsia="zh-CN"/>
        </w:rPr>
        <w:t>坚决贯彻执行</w:t>
      </w:r>
      <w:r>
        <w:rPr>
          <w:rFonts w:hint="eastAsia" w:ascii="仿宋_GB2312" w:hAnsi="仿宋_GB2312" w:eastAsia="仿宋_GB2312" w:cs="仿宋_GB2312"/>
          <w:i w:val="0"/>
          <w:caps w:val="0"/>
          <w:color w:val="333333"/>
          <w:spacing w:val="0"/>
          <w:sz w:val="32"/>
          <w:szCs w:val="32"/>
          <w:shd w:val="clear" w:color="auto" w:fill="FFFFFF"/>
          <w:lang w:eastAsia="zh-CN"/>
        </w:rPr>
        <w:t>《国务院办公厅关于印发</w:t>
      </w:r>
      <w:r>
        <w:rPr>
          <w:rFonts w:hint="eastAsia" w:ascii="Times New Roman" w:hAnsi="Times New Roman" w:eastAsia="仿宋_GB2312" w:cs="Times New Roman"/>
          <w:b w:val="0"/>
          <w:bCs/>
          <w:i w:val="0"/>
          <w:caps w:val="0"/>
          <w:color w:val="333333"/>
          <w:spacing w:val="0"/>
          <w:sz w:val="32"/>
          <w:szCs w:val="32"/>
          <w:shd w:val="clear" w:color="auto" w:fill="FFFFFF"/>
          <w:lang w:eastAsia="zh-CN"/>
        </w:rPr>
        <w:t>2020</w:t>
      </w:r>
      <w:r>
        <w:rPr>
          <w:rFonts w:hint="eastAsia" w:ascii="仿宋_GB2312" w:hAnsi="仿宋_GB2312" w:eastAsia="仿宋_GB2312" w:cs="仿宋_GB2312"/>
          <w:i w:val="0"/>
          <w:caps w:val="0"/>
          <w:color w:val="333333"/>
          <w:spacing w:val="0"/>
          <w:sz w:val="32"/>
          <w:szCs w:val="32"/>
          <w:shd w:val="clear" w:color="auto" w:fill="FFFFFF"/>
          <w:lang w:eastAsia="zh-CN"/>
        </w:rPr>
        <w:t>年政务公开工作要点的通知》</w:t>
      </w:r>
      <w:r>
        <w:rPr>
          <w:rFonts w:hint="eastAsia" w:ascii="仿宋_GB2312" w:hAnsi="仿宋_GB2312" w:eastAsia="仿宋_GB2312" w:cs="仿宋_GB2312"/>
          <w:i w:val="0"/>
          <w:caps w:val="0"/>
          <w:color w:val="333333"/>
          <w:spacing w:val="0"/>
          <w:sz w:val="32"/>
          <w:szCs w:val="32"/>
          <w:shd w:val="clear" w:color="auto" w:fill="FFFFFF"/>
          <w:lang w:val="en-US" w:eastAsia="zh-CN"/>
        </w:rPr>
        <w:t xml:space="preserve"> </w:t>
      </w:r>
      <w:r>
        <w:rPr>
          <w:rFonts w:hint="eastAsia" w:ascii="仿宋_GB2312" w:hAnsi="仿宋_GB2312" w:eastAsia="仿宋_GB2312" w:cs="仿宋_GB2312"/>
          <w:i w:val="0"/>
          <w:caps w:val="0"/>
          <w:color w:val="333333"/>
          <w:spacing w:val="0"/>
          <w:sz w:val="32"/>
          <w:szCs w:val="32"/>
          <w:shd w:val="clear" w:color="auto" w:fill="FFFFFF"/>
          <w:lang w:eastAsia="zh-CN"/>
        </w:rPr>
        <w:t>（国办发〔</w:t>
      </w:r>
      <w:r>
        <w:rPr>
          <w:rFonts w:hint="default" w:ascii="Times New Roman" w:hAnsi="Times New Roman" w:eastAsia="仿宋_GB2312" w:cs="Times New Roman"/>
          <w:i w:val="0"/>
          <w:caps w:val="0"/>
          <w:color w:val="333333"/>
          <w:spacing w:val="0"/>
          <w:sz w:val="32"/>
          <w:szCs w:val="32"/>
          <w:shd w:val="clear" w:color="auto" w:fill="FFFFFF"/>
          <w:lang w:eastAsia="zh-CN"/>
        </w:rPr>
        <w:t>2</w:t>
      </w:r>
      <w:r>
        <w:rPr>
          <w:rFonts w:hint="default" w:ascii="Times New Roman" w:hAnsi="Times New Roman" w:eastAsia="仿宋_GB2312" w:cs="Times New Roman"/>
          <w:b w:val="0"/>
          <w:bCs/>
          <w:i w:val="0"/>
          <w:caps w:val="0"/>
          <w:color w:val="333333"/>
          <w:spacing w:val="0"/>
          <w:sz w:val="32"/>
          <w:szCs w:val="32"/>
          <w:shd w:val="clear" w:color="auto" w:fill="FFFFFF"/>
          <w:lang w:eastAsia="zh-CN"/>
        </w:rPr>
        <w:t>020</w:t>
      </w:r>
      <w:r>
        <w:rPr>
          <w:rFonts w:hint="eastAsia" w:ascii="仿宋_GB2312" w:hAnsi="仿宋_GB2312" w:eastAsia="仿宋_GB2312" w:cs="仿宋_GB2312"/>
          <w:i w:val="0"/>
          <w:caps w:val="0"/>
          <w:color w:val="333333"/>
          <w:spacing w:val="0"/>
          <w:sz w:val="32"/>
          <w:szCs w:val="32"/>
          <w:shd w:val="clear" w:color="auto" w:fill="FFFFFF"/>
          <w:lang w:eastAsia="zh-CN"/>
        </w:rPr>
        <w:t>〕</w:t>
      </w:r>
      <w:r>
        <w:rPr>
          <w:rFonts w:hint="eastAsia" w:ascii="Times New Roman" w:hAnsi="Times New Roman" w:eastAsia="仿宋_GB2312" w:cs="Times New Roman"/>
          <w:b w:val="0"/>
          <w:bCs/>
          <w:i w:val="0"/>
          <w:caps w:val="0"/>
          <w:color w:val="333333"/>
          <w:spacing w:val="0"/>
          <w:sz w:val="32"/>
          <w:szCs w:val="32"/>
          <w:shd w:val="clear" w:color="auto" w:fill="FFFFFF"/>
          <w:lang w:eastAsia="zh-CN"/>
        </w:rPr>
        <w:t>17</w:t>
      </w:r>
      <w:r>
        <w:rPr>
          <w:rFonts w:hint="eastAsia" w:ascii="仿宋_GB2312" w:hAnsi="仿宋_GB2312" w:eastAsia="仿宋_GB2312" w:cs="仿宋_GB2312"/>
          <w:i w:val="0"/>
          <w:caps w:val="0"/>
          <w:color w:val="333333"/>
          <w:spacing w:val="0"/>
          <w:sz w:val="32"/>
          <w:szCs w:val="32"/>
          <w:shd w:val="clear" w:color="auto" w:fill="FFFFFF"/>
          <w:lang w:eastAsia="zh-CN"/>
        </w:rPr>
        <w:t>号）、《山东省人民政府办公厅关于印发</w:t>
      </w:r>
      <w:r>
        <w:rPr>
          <w:rFonts w:hint="eastAsia" w:ascii="Times New Roman" w:hAnsi="Times New Roman" w:eastAsia="仿宋_GB2312" w:cs="Times New Roman"/>
          <w:b w:val="0"/>
          <w:bCs/>
          <w:i w:val="0"/>
          <w:caps w:val="0"/>
          <w:color w:val="333333"/>
          <w:spacing w:val="0"/>
          <w:sz w:val="32"/>
          <w:szCs w:val="32"/>
          <w:shd w:val="clear" w:color="auto" w:fill="FFFFFF"/>
          <w:lang w:eastAsia="zh-CN"/>
        </w:rPr>
        <w:t>2020</w:t>
      </w:r>
      <w:r>
        <w:rPr>
          <w:rFonts w:hint="eastAsia" w:ascii="仿宋_GB2312" w:hAnsi="仿宋_GB2312" w:eastAsia="仿宋_GB2312" w:cs="仿宋_GB2312"/>
          <w:i w:val="0"/>
          <w:caps w:val="0"/>
          <w:color w:val="333333"/>
          <w:spacing w:val="0"/>
          <w:sz w:val="32"/>
          <w:szCs w:val="32"/>
          <w:shd w:val="clear" w:color="auto" w:fill="FFFFFF"/>
          <w:lang w:eastAsia="zh-CN"/>
        </w:rPr>
        <w:t>年山东省政务公开工作要点的通知》（鲁政办字〔</w:t>
      </w:r>
      <w:r>
        <w:rPr>
          <w:rFonts w:hint="eastAsia" w:ascii="Times New Roman" w:hAnsi="Times New Roman" w:eastAsia="仿宋_GB2312" w:cs="Times New Roman"/>
          <w:b w:val="0"/>
          <w:bCs/>
          <w:i w:val="0"/>
          <w:caps w:val="0"/>
          <w:color w:val="333333"/>
          <w:spacing w:val="0"/>
          <w:sz w:val="32"/>
          <w:szCs w:val="32"/>
          <w:shd w:val="clear" w:color="auto" w:fill="FFFFFF"/>
          <w:lang w:eastAsia="zh-CN"/>
        </w:rPr>
        <w:t>2020</w:t>
      </w:r>
      <w:r>
        <w:rPr>
          <w:rFonts w:hint="eastAsia" w:ascii="仿宋_GB2312" w:hAnsi="仿宋_GB2312" w:eastAsia="仿宋_GB2312" w:cs="仿宋_GB2312"/>
          <w:i w:val="0"/>
          <w:caps w:val="0"/>
          <w:color w:val="333333"/>
          <w:spacing w:val="0"/>
          <w:sz w:val="32"/>
          <w:szCs w:val="32"/>
          <w:shd w:val="clear" w:color="auto" w:fill="FFFFFF"/>
          <w:lang w:eastAsia="zh-CN"/>
        </w:rPr>
        <w:t>〕</w:t>
      </w:r>
      <w:r>
        <w:rPr>
          <w:rFonts w:hint="eastAsia" w:ascii="Times New Roman" w:hAnsi="Times New Roman" w:eastAsia="仿宋_GB2312" w:cs="Times New Roman"/>
          <w:b w:val="0"/>
          <w:bCs/>
          <w:i w:val="0"/>
          <w:caps w:val="0"/>
          <w:color w:val="333333"/>
          <w:spacing w:val="0"/>
          <w:sz w:val="32"/>
          <w:szCs w:val="32"/>
          <w:shd w:val="clear" w:color="auto" w:fill="FFFFFF"/>
          <w:lang w:eastAsia="zh-CN"/>
        </w:rPr>
        <w:t>78</w:t>
      </w:r>
      <w:r>
        <w:rPr>
          <w:rFonts w:hint="eastAsia" w:ascii="仿宋_GB2312" w:hAnsi="仿宋_GB2312" w:eastAsia="仿宋_GB2312" w:cs="仿宋_GB2312"/>
          <w:i w:val="0"/>
          <w:caps w:val="0"/>
          <w:color w:val="333333"/>
          <w:spacing w:val="0"/>
          <w:sz w:val="32"/>
          <w:szCs w:val="32"/>
          <w:shd w:val="clear" w:color="auto" w:fill="FFFFFF"/>
          <w:lang w:eastAsia="zh-CN"/>
        </w:rPr>
        <w:t>号）、《威海市人民政府办公室关于印发</w:t>
      </w:r>
      <w:r>
        <w:rPr>
          <w:rFonts w:hint="eastAsia" w:ascii="Times New Roman" w:hAnsi="Times New Roman" w:eastAsia="仿宋_GB2312" w:cs="Times New Roman"/>
          <w:b w:val="0"/>
          <w:bCs/>
          <w:i w:val="0"/>
          <w:caps w:val="0"/>
          <w:color w:val="333333"/>
          <w:spacing w:val="0"/>
          <w:sz w:val="32"/>
          <w:szCs w:val="32"/>
          <w:shd w:val="clear" w:color="auto" w:fill="FFFFFF"/>
          <w:lang w:eastAsia="zh-CN"/>
        </w:rPr>
        <w:t>2020</w:t>
      </w:r>
      <w:r>
        <w:rPr>
          <w:rFonts w:hint="eastAsia" w:ascii="仿宋_GB2312" w:hAnsi="仿宋_GB2312" w:eastAsia="仿宋_GB2312" w:cs="仿宋_GB2312"/>
          <w:i w:val="0"/>
          <w:caps w:val="0"/>
          <w:color w:val="333333"/>
          <w:spacing w:val="0"/>
          <w:sz w:val="32"/>
          <w:szCs w:val="32"/>
          <w:shd w:val="clear" w:color="auto" w:fill="FFFFFF"/>
          <w:lang w:eastAsia="zh-CN"/>
        </w:rPr>
        <w:t>年威海市政务公开重点工作及责任分工方案的通知》</w:t>
      </w:r>
      <w:r>
        <w:rPr>
          <w:rFonts w:hint="eastAsia" w:ascii="仿宋_GB2312" w:hAnsi="仿宋_GB2312" w:eastAsia="仿宋_GB2312" w:cs="仿宋_GB2312"/>
          <w:i w:val="0"/>
          <w:caps w:val="0"/>
          <w:color w:val="333333"/>
          <w:spacing w:val="0"/>
          <w:sz w:val="32"/>
          <w:szCs w:val="32"/>
          <w:shd w:val="clear" w:color="auto" w:fill="FFFFFF"/>
          <w:lang w:val="en-US" w:eastAsia="zh-CN"/>
        </w:rPr>
        <w:t>等文件的要求</w:t>
      </w:r>
      <w:r>
        <w:rPr>
          <w:rFonts w:hint="eastAsia" w:ascii="仿宋_GB2312" w:hAnsi="仿宋_GB2312" w:eastAsia="仿宋_GB2312" w:cs="仿宋_GB2312"/>
          <w:i w:val="0"/>
          <w:caps w:val="0"/>
          <w:color w:val="333333"/>
          <w:spacing w:val="0"/>
          <w:sz w:val="32"/>
          <w:szCs w:val="32"/>
          <w:shd w:val="clear" w:color="auto" w:fill="FFFFFF"/>
          <w:lang w:eastAsia="zh-CN"/>
        </w:rPr>
        <w:t>，建立健全工作运行机制，稳步推进政府信息公开工作，不断拓宽政府信息公开领域，为广大公众提供了更加优质、便捷的信息服务。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（二）主动公开政府信息情况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val="en-US" w:eastAsia="zh-CN"/>
        </w:rPr>
      </w:pPr>
      <w:r>
        <w:rPr>
          <w:rFonts w:hint="eastAsia" w:ascii="仿宋_GB2312" w:hAnsi="仿宋_GB2312" w:eastAsia="仿宋_GB2312" w:cs="仿宋_GB2312"/>
          <w:i w:val="0"/>
          <w:caps w:val="0"/>
          <w:color w:val="333333"/>
          <w:spacing w:val="0"/>
          <w:sz w:val="32"/>
          <w:szCs w:val="32"/>
          <w:shd w:val="clear" w:color="auto" w:fill="FFFFFF"/>
          <w:lang w:eastAsia="zh-CN"/>
        </w:rPr>
        <w:t>本年度，区商务局通过环翠区政府网站公开政务信息</w:t>
      </w:r>
      <w:r>
        <w:rPr>
          <w:rFonts w:hint="default" w:ascii="Times New Roman" w:hAnsi="Times New Roman" w:eastAsia="仿宋_GB2312" w:cs="Times New Roman"/>
          <w:i w:val="0"/>
          <w:caps w:val="0"/>
          <w:color w:val="333333"/>
          <w:spacing w:val="0"/>
          <w:sz w:val="32"/>
          <w:szCs w:val="32"/>
          <w:shd w:val="clear" w:color="auto" w:fill="FFFFFF"/>
          <w:lang w:val="en-US" w:eastAsia="zh-CN"/>
        </w:rPr>
        <w:t>72</w:t>
      </w:r>
      <w:r>
        <w:rPr>
          <w:rFonts w:hint="eastAsia" w:ascii="仿宋_GB2312" w:hAnsi="仿宋_GB2312" w:eastAsia="仿宋_GB2312" w:cs="仿宋_GB2312"/>
          <w:i w:val="0"/>
          <w:caps w:val="0"/>
          <w:color w:val="333333"/>
          <w:spacing w:val="0"/>
          <w:sz w:val="32"/>
          <w:szCs w:val="32"/>
          <w:shd w:val="clear" w:color="auto" w:fill="FFFFFF"/>
          <w:lang w:val="en-US" w:eastAsia="zh-CN"/>
        </w:rPr>
        <w:t>条。根据《威海市人民政府办公室关于印发</w:t>
      </w:r>
      <w:r>
        <w:rPr>
          <w:rFonts w:hint="eastAsia" w:ascii="Times New Roman" w:hAnsi="Times New Roman" w:eastAsia="仿宋_GB2312" w:cs="Times New Roman"/>
          <w:i w:val="0"/>
          <w:caps w:val="0"/>
          <w:color w:val="333333"/>
          <w:spacing w:val="0"/>
          <w:sz w:val="32"/>
          <w:szCs w:val="32"/>
          <w:shd w:val="clear" w:color="auto" w:fill="FFFFFF"/>
          <w:lang w:val="en-US" w:eastAsia="zh-CN"/>
        </w:rPr>
        <w:t>2020</w:t>
      </w:r>
      <w:r>
        <w:rPr>
          <w:rFonts w:hint="eastAsia" w:ascii="仿宋_GB2312" w:hAnsi="仿宋_GB2312" w:eastAsia="仿宋_GB2312" w:cs="仿宋_GB2312"/>
          <w:i w:val="0"/>
          <w:caps w:val="0"/>
          <w:color w:val="333333"/>
          <w:spacing w:val="0"/>
          <w:sz w:val="32"/>
          <w:szCs w:val="32"/>
          <w:shd w:val="clear" w:color="auto" w:fill="FFFFFF"/>
          <w:lang w:val="en-US" w:eastAsia="zh-CN"/>
        </w:rPr>
        <w:t>年威海市政务公开重点工作及责任分工方案的通知》要求和各级政务公开工作会议部署，本年度商务局对政策解读、行政权力运行公开、财政预决算公开、行政执法公示等重点领域政府信息在政府网站进行了公开。本年度通过政府网站公开重点任务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3</w:t>
      </w:r>
      <w:r>
        <w:rPr>
          <w:rFonts w:hint="eastAsia" w:ascii="仿宋_GB2312" w:hAnsi="仿宋_GB2312" w:eastAsia="仿宋_GB2312" w:cs="仿宋_GB2312"/>
          <w:i w:val="0"/>
          <w:caps w:val="0"/>
          <w:color w:val="333333"/>
          <w:spacing w:val="0"/>
          <w:sz w:val="32"/>
          <w:szCs w:val="32"/>
          <w:shd w:val="clear" w:color="auto" w:fill="FFFFFF"/>
          <w:lang w:val="en-US" w:eastAsia="zh-CN"/>
        </w:rPr>
        <w:t>条，公开政策解读信息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7</w:t>
      </w:r>
      <w:r>
        <w:rPr>
          <w:rFonts w:hint="eastAsia" w:ascii="仿宋_GB2312" w:hAnsi="仿宋_GB2312" w:eastAsia="仿宋_GB2312" w:cs="仿宋_GB2312"/>
          <w:i w:val="0"/>
          <w:caps w:val="0"/>
          <w:color w:val="333333"/>
          <w:spacing w:val="0"/>
          <w:sz w:val="32"/>
          <w:szCs w:val="32"/>
          <w:shd w:val="clear" w:color="auto" w:fill="FFFFFF"/>
          <w:lang w:val="en-US" w:eastAsia="zh-CN"/>
        </w:rPr>
        <w:t>条，公开行政执法公示信息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1</w:t>
      </w:r>
      <w:r>
        <w:rPr>
          <w:rFonts w:hint="eastAsia" w:ascii="仿宋_GB2312" w:hAnsi="仿宋_GB2312" w:eastAsia="仿宋_GB2312" w:cs="仿宋_GB2312"/>
          <w:i w:val="0"/>
          <w:caps w:val="0"/>
          <w:color w:val="333333"/>
          <w:spacing w:val="0"/>
          <w:sz w:val="32"/>
          <w:szCs w:val="32"/>
          <w:shd w:val="clear" w:color="auto" w:fill="FFFFFF"/>
          <w:lang w:val="en-US" w:eastAsia="zh-CN"/>
        </w:rPr>
        <w:t>条，公开“双随机、一公开”监管信息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5</w:t>
      </w:r>
      <w:r>
        <w:rPr>
          <w:rFonts w:hint="eastAsia" w:ascii="仿宋_GB2312" w:hAnsi="仿宋_GB2312" w:eastAsia="仿宋_GB2312" w:cs="仿宋_GB2312"/>
          <w:i w:val="0"/>
          <w:caps w:val="0"/>
          <w:color w:val="333333"/>
          <w:spacing w:val="0"/>
          <w:sz w:val="32"/>
          <w:szCs w:val="32"/>
          <w:shd w:val="clear" w:color="auto" w:fill="FFFFFF"/>
          <w:lang w:val="en-US" w:eastAsia="zh-CN"/>
        </w:rPr>
        <w:t>条，公开财政预决算信息</w:t>
      </w:r>
      <w:r>
        <w:rPr>
          <w:rFonts w:hint="eastAsia" w:ascii="Times New Roman" w:hAnsi="Times New Roman" w:eastAsia="仿宋_GB2312" w:cs="Times New Roman"/>
          <w:i w:val="0"/>
          <w:caps w:val="0"/>
          <w:color w:val="333333"/>
          <w:spacing w:val="0"/>
          <w:sz w:val="32"/>
          <w:szCs w:val="32"/>
          <w:shd w:val="clear" w:color="auto" w:fill="FFFFFF"/>
          <w:lang w:val="en-US" w:eastAsia="zh-CN"/>
        </w:rPr>
        <w:t>2</w:t>
      </w:r>
      <w:r>
        <w:rPr>
          <w:rFonts w:hint="eastAsia" w:ascii="仿宋_GB2312" w:hAnsi="仿宋_GB2312" w:eastAsia="仿宋_GB2312" w:cs="仿宋_GB2312"/>
          <w:i w:val="0"/>
          <w:caps w:val="0"/>
          <w:color w:val="333333"/>
          <w:spacing w:val="0"/>
          <w:sz w:val="32"/>
          <w:szCs w:val="32"/>
          <w:shd w:val="clear" w:color="auto" w:fill="FFFFFF"/>
          <w:lang w:val="en-US" w:eastAsia="zh-CN"/>
        </w:rPr>
        <w:t>条。本年度对机构设置与职责、部门领导、人事任免、规划计划、统计数据等栏目进行动态管理，实时更新。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（三）政府信息公开申请办理情况</w:t>
      </w:r>
    </w:p>
    <w:p>
      <w:pPr>
        <w:spacing w:line="580" w:lineRule="exact"/>
        <w:ind w:firstLine="640" w:firstLineChars="200"/>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Times New Roman" w:hAnsi="Times New Roman" w:eastAsia="仿宋_GB2312"/>
          <w:sz w:val="32"/>
          <w:szCs w:val="32"/>
          <w:lang w:val="en-US" w:eastAsia="zh-CN"/>
        </w:rPr>
        <w:t>2020</w:t>
      </w: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年区商务局未收到政府信息公开申请。</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（四）制度建设及政府信息管理情况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caps w:val="0"/>
          <w:color w:val="333333"/>
          <w:spacing w:val="0"/>
          <w:sz w:val="32"/>
          <w:szCs w:val="32"/>
          <w:shd w:val="clear" w:color="auto" w:fill="FFFFFF"/>
          <w:lang w:val="en-US" w:eastAsia="zh-CN"/>
        </w:rPr>
      </w:pPr>
      <w:r>
        <w:rPr>
          <w:rFonts w:hint="eastAsia" w:ascii="仿宋_GB2312" w:hAnsi="仿宋_GB2312" w:eastAsia="仿宋_GB2312" w:cs="仿宋_GB2312"/>
          <w:i w:val="0"/>
          <w:caps w:val="0"/>
          <w:color w:val="333333"/>
          <w:spacing w:val="0"/>
          <w:sz w:val="32"/>
          <w:szCs w:val="32"/>
          <w:shd w:val="clear" w:color="auto" w:fill="FFFFFF"/>
          <w:lang w:eastAsia="zh-CN"/>
        </w:rPr>
        <w:t>区商务局</w:t>
      </w:r>
      <w:r>
        <w:rPr>
          <w:rFonts w:hint="eastAsia" w:ascii="仿宋_GB2312" w:hAnsi="仿宋_GB2312" w:eastAsia="仿宋_GB2312" w:cs="仿宋_GB2312"/>
          <w:i w:val="0"/>
          <w:caps w:val="0"/>
          <w:color w:val="333333"/>
          <w:spacing w:val="0"/>
          <w:sz w:val="32"/>
          <w:szCs w:val="32"/>
          <w:shd w:val="clear" w:color="auto" w:fill="FFFFFF"/>
          <w:lang w:val="en-US" w:eastAsia="zh-CN"/>
        </w:rPr>
        <w:t>依据规定</w:t>
      </w:r>
      <w:r>
        <w:rPr>
          <w:rFonts w:hint="eastAsia" w:ascii="仿宋_GB2312" w:hAnsi="仿宋_GB2312" w:eastAsia="仿宋_GB2312" w:cs="仿宋_GB2312"/>
          <w:i w:val="0"/>
          <w:caps w:val="0"/>
          <w:color w:val="333333"/>
          <w:spacing w:val="0"/>
          <w:sz w:val="32"/>
          <w:szCs w:val="32"/>
          <w:shd w:val="clear" w:color="auto" w:fill="FFFFFF"/>
          <w:lang w:eastAsia="zh-CN"/>
        </w:rPr>
        <w:t>建立了政府信息公开制度，指定办公室为政务公开专门科室，负责全局政府信息公开的推进、协调、监督、管理工作；各业务科室负责本科室的政府信息公开工作。区商务局政务公开做到了信息公开有人收集整理、有人审查管理、有人上传信息。区商务局在做好政府信息公开工作的同时，严格执行政府信息保密审查机制和程序。规范性文件印发标注公开属性，将应公开文件第一时间在政府网站进行公开，并同时发布文件解读。</w:t>
      </w:r>
      <w:r>
        <w:rPr>
          <w:rFonts w:hint="eastAsia" w:ascii="Times New Roman" w:hAnsi="Times New Roman" w:eastAsia="仿宋_GB2312" w:cs="Times New Roman"/>
          <w:i w:val="0"/>
          <w:caps w:val="0"/>
          <w:color w:val="333333"/>
          <w:spacing w:val="0"/>
          <w:sz w:val="32"/>
          <w:szCs w:val="32"/>
          <w:shd w:val="clear" w:color="auto" w:fill="FFFFFF"/>
          <w:lang w:val="en-US" w:eastAsia="zh-CN"/>
        </w:rPr>
        <w:t>2020</w:t>
      </w:r>
      <w:r>
        <w:rPr>
          <w:rFonts w:hint="eastAsia" w:ascii="仿宋_GB2312" w:hAnsi="仿宋_GB2312" w:eastAsia="仿宋_GB2312" w:cs="仿宋_GB2312"/>
          <w:i w:val="0"/>
          <w:caps w:val="0"/>
          <w:color w:val="333333"/>
          <w:spacing w:val="0"/>
          <w:sz w:val="32"/>
          <w:szCs w:val="32"/>
          <w:shd w:val="clear" w:color="auto" w:fill="FFFFFF"/>
          <w:lang w:eastAsia="zh-CN"/>
        </w:rPr>
        <w:t>年，区商务局</w:t>
      </w:r>
      <w:r>
        <w:rPr>
          <w:rFonts w:hint="eastAsia" w:ascii="仿宋_GB2312" w:hAnsi="仿宋_GB2312" w:eastAsia="仿宋_GB2312" w:cs="仿宋_GB2312"/>
          <w:i w:val="0"/>
          <w:caps w:val="0"/>
          <w:color w:val="333333"/>
          <w:spacing w:val="0"/>
          <w:sz w:val="32"/>
          <w:szCs w:val="32"/>
          <w:shd w:val="clear" w:color="auto" w:fill="FFFFFF"/>
          <w:lang w:val="en-US" w:eastAsia="zh-CN"/>
        </w:rPr>
        <w:t>按照规定对部门规范性文件进行清理并公布了清理结果，新</w:t>
      </w:r>
      <w:r>
        <w:rPr>
          <w:rFonts w:hint="eastAsia" w:ascii="仿宋_GB2312" w:hAnsi="仿宋_GB2312" w:eastAsia="仿宋_GB2312" w:cs="仿宋_GB2312"/>
          <w:i w:val="0"/>
          <w:caps w:val="0"/>
          <w:color w:val="333333"/>
          <w:spacing w:val="0"/>
          <w:sz w:val="32"/>
          <w:szCs w:val="32"/>
          <w:shd w:val="clear" w:color="auto" w:fill="FFFFFF"/>
          <w:lang w:eastAsia="zh-CN"/>
        </w:rPr>
        <w:t>公开规范性文件</w:t>
      </w:r>
      <w:r>
        <w:rPr>
          <w:rFonts w:hint="eastAsia" w:ascii="Times New Roman" w:hAnsi="Times New Roman" w:eastAsia="仿宋_GB2312" w:cs="Times New Roman"/>
          <w:i w:val="0"/>
          <w:caps w:val="0"/>
          <w:color w:val="333333"/>
          <w:spacing w:val="0"/>
          <w:sz w:val="32"/>
          <w:szCs w:val="32"/>
          <w:shd w:val="clear" w:color="auto" w:fill="FFFFFF"/>
          <w:lang w:val="en-US" w:eastAsia="zh-CN"/>
        </w:rPr>
        <w:t>2</w:t>
      </w:r>
      <w:r>
        <w:rPr>
          <w:rFonts w:hint="eastAsia" w:ascii="仿宋_GB2312" w:hAnsi="仿宋_GB2312" w:eastAsia="仿宋_GB2312" w:cs="仿宋_GB2312"/>
          <w:i w:val="0"/>
          <w:caps w:val="0"/>
          <w:color w:val="333333"/>
          <w:spacing w:val="0"/>
          <w:sz w:val="32"/>
          <w:szCs w:val="32"/>
          <w:shd w:val="clear" w:color="auto" w:fill="FFFFFF"/>
          <w:lang w:eastAsia="zh-CN"/>
        </w:rPr>
        <w:t>件，配套文字解读、图文解读</w:t>
      </w:r>
      <w:r>
        <w:rPr>
          <w:rFonts w:hint="eastAsia" w:ascii="Times New Roman" w:hAnsi="Times New Roman" w:eastAsia="仿宋_GB2312" w:cs="Times New Roman"/>
          <w:i w:val="0"/>
          <w:caps w:val="0"/>
          <w:color w:val="333333"/>
          <w:spacing w:val="0"/>
          <w:sz w:val="32"/>
          <w:szCs w:val="32"/>
          <w:shd w:val="clear" w:color="auto" w:fill="FFFFFF"/>
          <w:lang w:val="en-US" w:eastAsia="zh-CN"/>
        </w:rPr>
        <w:t>7</w:t>
      </w:r>
      <w:r>
        <w:rPr>
          <w:rFonts w:hint="eastAsia" w:ascii="仿宋_GB2312" w:hAnsi="仿宋_GB2312" w:eastAsia="仿宋_GB2312" w:cs="仿宋_GB2312"/>
          <w:i w:val="0"/>
          <w:caps w:val="0"/>
          <w:color w:val="333333"/>
          <w:spacing w:val="0"/>
          <w:sz w:val="32"/>
          <w:szCs w:val="32"/>
          <w:shd w:val="clear" w:color="auto" w:fill="FFFFFF"/>
          <w:lang w:eastAsia="zh-CN"/>
        </w:rPr>
        <w:t>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（五）公开平台建设情况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为方便群众查询，区商务局公开了政府信息公开申请受理机构的名称、办公地址、办公时间、联系电话、传真号码等内容，设立了投诉电话。区商务局网站作为政府信息公开平台，利用平台发布文件解读</w:t>
      </w:r>
      <w:r>
        <w:rPr>
          <w:rFonts w:hint="eastAsia" w:ascii="Times New Roman" w:hAnsi="Times New Roman" w:eastAsia="仿宋_GB2312" w:cs="Times New Roman"/>
          <w:i w:val="0"/>
          <w:caps w:val="0"/>
          <w:color w:val="333333"/>
          <w:spacing w:val="0"/>
          <w:sz w:val="32"/>
          <w:szCs w:val="32"/>
          <w:shd w:val="clear" w:color="auto" w:fill="FFFFFF"/>
          <w:lang w:val="en-US" w:eastAsia="zh-CN"/>
        </w:rPr>
        <w:t>7</w:t>
      </w:r>
      <w:r>
        <w:rPr>
          <w:rFonts w:hint="eastAsia" w:ascii="仿宋_GB2312" w:hAnsi="仿宋_GB2312" w:eastAsia="仿宋_GB2312" w:cs="仿宋_GB2312"/>
          <w:i w:val="0"/>
          <w:caps w:val="0"/>
          <w:color w:val="333333"/>
          <w:spacing w:val="0"/>
          <w:sz w:val="32"/>
          <w:szCs w:val="32"/>
          <w:shd w:val="clear" w:color="auto" w:fill="FFFFFF"/>
          <w:lang w:eastAsia="zh-CN"/>
        </w:rPr>
        <w:t>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（六）监督保障情况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lang w:eastAsia="zh-CN"/>
        </w:rPr>
      </w:pPr>
      <w:r>
        <w:rPr>
          <w:rFonts w:hint="eastAsia" w:ascii="仿宋_GB2312" w:hAnsi="仿宋_GB2312" w:eastAsia="仿宋_GB2312" w:cs="仿宋_GB2312"/>
          <w:i w:val="0"/>
          <w:caps w:val="0"/>
          <w:color w:val="333333"/>
          <w:spacing w:val="0"/>
          <w:sz w:val="32"/>
          <w:szCs w:val="32"/>
          <w:shd w:val="clear" w:color="auto" w:fill="FFFFFF"/>
          <w:lang w:eastAsia="zh-CN"/>
        </w:rPr>
        <w:t>本单位严格按照《条例》要求开展政府信息公开工作，未收到政府信息公开有关的投诉、举报，也无其他责任追究的情形。</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color="auto" w:fill="FFFFFF"/>
        </w:rPr>
        <w:t>二、主动公开政府信息情况</w:t>
      </w:r>
    </w:p>
    <w:tbl>
      <w:tblPr>
        <w:tblStyle w:val="8"/>
        <w:tblW w:w="0" w:type="auto"/>
        <w:jc w:val="center"/>
        <w:tblLayout w:type="fixed"/>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lang w:val="en-US" w:eastAsia="zh-CN"/>
              </w:rPr>
            </w:pPr>
            <w:r>
              <w:rPr>
                <w:rFonts w:hint="default" w:ascii="Times New Roman" w:hAnsi="Times New Roman" w:eastAsia="宋体" w:cs="Times New Roman"/>
                <w:lang w:val="en-US" w:eastAsia="zh-CN"/>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0</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3</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1</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lang w:val="en-US" w:eastAsia="zh-CN"/>
              </w:rPr>
            </w:pPr>
            <w:r>
              <w:rPr>
                <w:rFonts w:hint="eastAsia" w:ascii="Times New Roman" w:hAnsi="Times New Roman" w:cs="Times New Roman"/>
                <w:lang w:val="en-US" w:eastAsia="zh-CN"/>
              </w:rPr>
              <w:t>+1</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tabs>
                <w:tab w:val="center" w:pos="832"/>
              </w:tabs>
              <w:spacing w:before="0" w:beforeAutospacing="0" w:after="144" w:afterAutospacing="0"/>
              <w:ind w:left="0" w:right="0"/>
              <w:jc w:val="left"/>
              <w:rPr>
                <w:rFonts w:hint="default" w:ascii="Times New Roman" w:hAnsi="Times New Roman" w:eastAsia="宋体" w:cs="Times New Roman"/>
                <w:lang w:val="en-US" w:eastAsia="zh-CN"/>
              </w:rPr>
            </w:pPr>
            <w:r>
              <w:rPr>
                <w:rFonts w:hint="eastAsia" w:ascii="Times New Roman" w:hAnsi="Times New Roman" w:cs="Times New Roman"/>
                <w:lang w:val="en-US" w:eastAsia="zh-CN"/>
              </w:rPr>
              <w:t>15</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lang w:val="en-US" w:eastAsia="zh-CN"/>
              </w:rPr>
            </w:pPr>
            <w:r>
              <w:rPr>
                <w:rFonts w:hint="eastAsia" w:ascii="Times New Roman" w:hAnsi="Times New Roman" w:cs="Times New Roman"/>
                <w:lang w:val="en-US" w:eastAsia="zh-CN"/>
              </w:rPr>
              <w:t>-2</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lang w:val="en-US" w:eastAsia="zh-CN"/>
              </w:rPr>
            </w:pPr>
            <w:r>
              <w:rPr>
                <w:rFonts w:hint="eastAsia" w:ascii="Times New Roman" w:hAnsi="Times New Roman" w:cs="Times New Roman"/>
                <w:lang w:val="en-US" w:eastAsia="zh-CN"/>
              </w:rPr>
              <w:t>3</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4"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3113" w:type="dxa"/>
            <w:tcBorders>
              <w:top w:val="single" w:color="auto" w:sz="4" w:space="0"/>
              <w:left w:val="single" w:color="auto" w:sz="4" w:space="0"/>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bookmarkStart w:id="0" w:name="_GoBack"/>
            <w:r>
              <w:rPr>
                <w:rFonts w:hint="eastAsia" w:ascii="宋体" w:hAnsi="宋体" w:eastAsia="宋体" w:cs="宋体"/>
                <w:color w:val="000000"/>
                <w:kern w:val="0"/>
                <w:sz w:val="20"/>
                <w:szCs w:val="20"/>
                <w:lang w:val="en-US" w:eastAsia="zh-CN" w:bidi="ar"/>
              </w:rPr>
              <w:t>行政处罚</w:t>
            </w:r>
          </w:p>
        </w:tc>
        <w:tc>
          <w:tcPr>
            <w:tcW w:w="1881" w:type="dxa"/>
            <w:gridSpan w:val="2"/>
            <w:tcBorders>
              <w:top w:val="single" w:color="auto" w:sz="4" w:space="0"/>
              <w:left w:val="nil"/>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sz w:val="18"/>
                <w:szCs w:val="18"/>
                <w:lang w:val="en-US" w:eastAsia="zh-CN"/>
              </w:rPr>
            </w:pPr>
            <w:r>
              <w:rPr>
                <w:rFonts w:hint="eastAsia" w:ascii="Times New Roman" w:hAnsi="Times New Roman" w:cs="Times New Roman"/>
                <w:sz w:val="18"/>
                <w:szCs w:val="18"/>
                <w:lang w:val="en-US" w:eastAsia="zh-CN"/>
              </w:rPr>
              <w:t>61</w:t>
            </w:r>
          </w:p>
        </w:tc>
        <w:tc>
          <w:tcPr>
            <w:tcW w:w="1265" w:type="dxa"/>
            <w:tcBorders>
              <w:top w:val="single" w:color="auto" w:sz="4" w:space="0"/>
              <w:left w:val="nil"/>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sz w:val="18"/>
                <w:szCs w:val="18"/>
                <w:lang w:val="en-US" w:eastAsia="zh-CN"/>
              </w:rPr>
            </w:pPr>
            <w:r>
              <w:rPr>
                <w:rFonts w:hint="eastAsia" w:ascii="Times New Roman" w:hAnsi="Times New Roman" w:cs="Times New Roman"/>
                <w:sz w:val="18"/>
                <w:szCs w:val="18"/>
                <w:lang w:val="en-US" w:eastAsia="zh-CN"/>
              </w:rPr>
              <w:t>-8</w:t>
            </w:r>
          </w:p>
        </w:tc>
        <w:tc>
          <w:tcPr>
            <w:tcW w:w="1881" w:type="dxa"/>
            <w:tcBorders>
              <w:top w:val="single" w:color="auto" w:sz="4" w:space="0"/>
              <w:left w:val="nil"/>
              <w:bottom w:val="single" w:color="auto" w:sz="4" w:space="0"/>
              <w:right w:val="single" w:color="auto" w:sz="4"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p>
        </w:tc>
      </w:tr>
      <w:bookmarkEnd w:id="0"/>
      <w:tr>
        <w:tblPrEx>
          <w:tblCellMar>
            <w:top w:w="0" w:type="dxa"/>
            <w:left w:w="0" w:type="dxa"/>
            <w:bottom w:w="0" w:type="dxa"/>
            <w:right w:w="0" w:type="dxa"/>
          </w:tblCellMar>
        </w:tblPrEx>
        <w:trPr>
          <w:trHeight w:val="409" w:hRule="atLeast"/>
          <w:jc w:val="center"/>
        </w:trPr>
        <w:tc>
          <w:tcPr>
            <w:tcW w:w="3113" w:type="dxa"/>
            <w:tcBorders>
              <w:top w:val="single" w:color="auto" w:sz="4" w:space="0"/>
              <w:left w:val="single" w:color="auto" w:sz="4" w:space="0"/>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1881" w:type="dxa"/>
            <w:gridSpan w:val="2"/>
            <w:tcBorders>
              <w:top w:val="single" w:color="auto" w:sz="4" w:space="0"/>
              <w:left w:val="nil"/>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p>
        </w:tc>
        <w:tc>
          <w:tcPr>
            <w:tcW w:w="1265" w:type="dxa"/>
            <w:tcBorders>
              <w:top w:val="single" w:color="auto" w:sz="4" w:space="0"/>
              <w:left w:val="nil"/>
              <w:bottom w:val="single" w:color="auto" w:sz="4"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p>
        </w:tc>
        <w:tc>
          <w:tcPr>
            <w:tcW w:w="1881" w:type="dxa"/>
            <w:tcBorders>
              <w:top w:val="single" w:color="auto" w:sz="4" w:space="0"/>
              <w:left w:val="nil"/>
              <w:bottom w:val="single" w:color="auto" w:sz="4" w:space="0"/>
              <w:right w:val="single" w:color="auto" w:sz="4"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p>
        </w:tc>
      </w:tr>
      <w:tr>
        <w:tblPrEx>
          <w:tblCellMar>
            <w:top w:w="0" w:type="dxa"/>
            <w:left w:w="0" w:type="dxa"/>
            <w:bottom w:w="0" w:type="dxa"/>
            <w:right w:w="0" w:type="dxa"/>
          </w:tblCellMar>
        </w:tblPrEx>
        <w:trPr>
          <w:trHeight w:val="474" w:hRule="atLeast"/>
          <w:jc w:val="center"/>
        </w:trPr>
        <w:tc>
          <w:tcPr>
            <w:tcW w:w="8140" w:type="dxa"/>
            <w:gridSpan w:val="5"/>
            <w:tcBorders>
              <w:top w:val="single" w:color="auto" w:sz="4"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0 </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ascii="Times New Roman" w:hAnsi="Times New Roman" w:eastAsia="宋体" w:cs="Times New Roman"/>
                <w:sz w:val="18"/>
                <w:szCs w:val="18"/>
                <w:lang w:val="en-US" w:eastAsia="zh-CN"/>
              </w:rPr>
            </w:pPr>
            <w:r>
              <w:rPr>
                <w:rFonts w:hint="eastAsia" w:ascii="Times New Roman" w:hAnsi="Times New Roman" w:eastAsia="宋体" w:cs="Times New Roman"/>
                <w:sz w:val="18"/>
                <w:szCs w:val="18"/>
                <w:lang w:val="en-US" w:eastAsia="zh-CN"/>
              </w:rPr>
              <w:t>0</w:t>
            </w:r>
          </w:p>
        </w:tc>
      </w:tr>
    </w:tbl>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rPr>
        <w:t>三、收到和处理政府信息公开申请情况</w:t>
      </w:r>
    </w:p>
    <w:tbl>
      <w:tblPr>
        <w:tblStyle w:val="8"/>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854"/>
        <w:gridCol w:w="2286"/>
        <w:gridCol w:w="6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3" w:hRule="atLeast"/>
          <w:jc w:val="center"/>
        </w:trPr>
        <w:tc>
          <w:tcPr>
            <w:tcW w:w="3756"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315"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36"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13"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33"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13"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r>
              <w:rPr>
                <w:rFonts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r>
              <w:rPr>
                <w:rFonts w:hint="default"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eastAsia="宋体"/>
                <w:lang w:val="en-US" w:eastAsia="zh-CN"/>
              </w:rPr>
            </w:pPr>
            <w:r>
              <w:rPr>
                <w:rFonts w:hint="eastAsia"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三、本年度办理结果</w:t>
            </w: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ascii="楷体" w:hAnsi="楷体" w:eastAsia="楷体" w:cs="楷体"/>
                <w:kern w:val="0"/>
                <w:sz w:val="20"/>
                <w:szCs w:val="20"/>
                <w:lang w:val="en-US" w:eastAsia="zh-CN" w:bidi="ar"/>
              </w:rPr>
              <w:t>（一）予以公开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（二）部分公开（区分处理的，只计这一情形，不计其他情形）</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（三）不予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pPr>
            <w:r>
              <w:rPr>
                <w:rFonts w:hint="eastAsia" w:ascii="楷体" w:hAnsi="楷体" w:eastAsia="楷体" w:cs="楷体"/>
                <w:kern w:val="0"/>
                <w:sz w:val="20"/>
                <w:szCs w:val="20"/>
                <w:lang w:val="en-US" w:eastAsia="zh-CN" w:bidi="ar"/>
              </w:rPr>
              <w:t>公开</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1.属于国家秘密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2.其他法律行政法规禁止公开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3.危及“三安全一稳定”</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4.保护第三方合法权益</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5.属于三类内部事务信息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6.属于四类过程性信息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7.属于行政执法案卷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8.属于行政查询事项</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2"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（四）无法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pPr>
            <w:r>
              <w:rPr>
                <w:rFonts w:hint="eastAsia" w:ascii="楷体" w:hAnsi="楷体" w:eastAsia="楷体" w:cs="楷体"/>
                <w:kern w:val="0"/>
                <w:sz w:val="20"/>
                <w:szCs w:val="20"/>
                <w:lang w:val="en-US" w:eastAsia="zh-CN" w:bidi="ar"/>
              </w:rPr>
              <w:t>提供</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1.本机关不掌握相关政府信息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95"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2.没有现成信息需要另行制作</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3.补正后申请内容仍不明确</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（五）不予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400" w:firstLineChars="200"/>
              <w:jc w:val="left"/>
            </w:pPr>
            <w:r>
              <w:rPr>
                <w:rFonts w:hint="eastAsia" w:ascii="楷体" w:hAnsi="楷体" w:eastAsia="楷体" w:cs="楷体"/>
                <w:kern w:val="0"/>
                <w:sz w:val="20"/>
                <w:szCs w:val="20"/>
                <w:lang w:val="en-US" w:eastAsia="zh-CN" w:bidi="ar"/>
              </w:rPr>
              <w:t>处理</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1.信访举报投诉类申请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3.要求提供公开出版物</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4.无正当理由大量反复申请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5.要求行政机关确认或重新出具已获取信息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（六）其他处理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（七）总计</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宋体" w:hAnsi="宋体" w:eastAsia="宋体" w:cs="宋体"/>
                <w:kern w:val="0"/>
                <w:sz w:val="20"/>
                <w:szCs w:val="20"/>
                <w:lang w:val="en-US" w:eastAsia="zh-CN" w:bidi="ar"/>
              </w:rPr>
              <w:t>四、结转下年度继续办理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default" w:ascii="微软雅黑" w:hAnsi="微软雅黑" w:eastAsia="微软雅黑" w:cs="微软雅黑"/>
                <w:b w:val="0"/>
                <w:bCs/>
                <w:i w:val="0"/>
                <w:caps w:val="0"/>
                <w:color w:val="333333"/>
                <w:spacing w:val="0"/>
                <w:sz w:val="19"/>
                <w:szCs w:val="19"/>
                <w:shd w:val="clear" w:color="auto" w:fill="FFFFFF"/>
                <w:lang w:val="en-US"/>
              </w:rPr>
            </w:pPr>
            <w:r>
              <w:rPr>
                <w:rFonts w:hint="default" w:ascii="微软雅黑" w:hAnsi="微软雅黑" w:eastAsia="微软雅黑" w:cs="微软雅黑"/>
                <w:b w:val="0"/>
                <w:bCs/>
                <w:i w:val="0"/>
                <w:caps w:val="0"/>
                <w:color w:val="333333"/>
                <w:spacing w:val="0"/>
                <w:sz w:val="19"/>
                <w:szCs w:val="19"/>
                <w:shd w:val="clear" w:color="auto" w:fill="FFFFFF"/>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val="0"/>
                <w:bCs/>
                <w:i w:val="0"/>
                <w:caps w:val="0"/>
                <w:color w:val="333333"/>
                <w:spacing w:val="0"/>
                <w:sz w:val="19"/>
                <w:szCs w:val="19"/>
                <w:shd w:val="clear" w:color="auto" w:fill="FFFFFF"/>
              </w:rPr>
            </w:pPr>
            <w:r>
              <w:rPr>
                <w:rFonts w:hint="default" w:ascii="微软雅黑" w:hAnsi="微软雅黑" w:eastAsia="微软雅黑" w:cs="微软雅黑"/>
                <w:b w:val="0"/>
                <w:bCs/>
                <w:i w:val="0"/>
                <w:caps w:val="0"/>
                <w:color w:val="333333"/>
                <w:spacing w:val="0"/>
                <w:sz w:val="19"/>
                <w:szCs w:val="19"/>
                <w:shd w:val="clear" w:color="auto" w:fill="FFFFFF"/>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val="0"/>
                <w:bCs/>
                <w:i w:val="0"/>
                <w:caps w:val="0"/>
                <w:color w:val="333333"/>
                <w:spacing w:val="0"/>
                <w:sz w:val="19"/>
                <w:szCs w:val="19"/>
                <w:shd w:val="clear" w:color="auto" w:fill="FFFFFF"/>
              </w:rPr>
            </w:pPr>
            <w:r>
              <w:rPr>
                <w:rFonts w:hint="default" w:ascii="微软雅黑" w:hAnsi="微软雅黑" w:eastAsia="微软雅黑" w:cs="微软雅黑"/>
                <w:b w:val="0"/>
                <w:bCs/>
                <w:i w:val="0"/>
                <w:caps w:val="0"/>
                <w:color w:val="333333"/>
                <w:spacing w:val="0"/>
                <w:sz w:val="19"/>
                <w:szCs w:val="19"/>
                <w:shd w:val="clear" w:color="auto" w:fill="FFFFFF"/>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val="0"/>
                <w:bCs/>
                <w:i w:val="0"/>
                <w:caps w:val="0"/>
                <w:color w:val="333333"/>
                <w:spacing w:val="0"/>
                <w:sz w:val="19"/>
                <w:szCs w:val="19"/>
                <w:shd w:val="clear" w:color="auto" w:fill="FFFFFF"/>
              </w:rPr>
            </w:pPr>
            <w:r>
              <w:rPr>
                <w:rFonts w:hint="default" w:ascii="微软雅黑" w:hAnsi="微软雅黑" w:eastAsia="微软雅黑" w:cs="微软雅黑"/>
                <w:b w:val="0"/>
                <w:bCs/>
                <w:i w:val="0"/>
                <w:caps w:val="0"/>
                <w:color w:val="333333"/>
                <w:spacing w:val="0"/>
                <w:sz w:val="19"/>
                <w:szCs w:val="19"/>
                <w:shd w:val="clear" w:color="auto" w:fill="FFFFFF"/>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val="0"/>
                <w:bCs/>
                <w:i w:val="0"/>
                <w:caps w:val="0"/>
                <w:color w:val="333333"/>
                <w:spacing w:val="0"/>
                <w:sz w:val="19"/>
                <w:szCs w:val="19"/>
                <w:shd w:val="clear" w:color="auto" w:fill="FFFFFF"/>
              </w:rPr>
            </w:pPr>
            <w:r>
              <w:rPr>
                <w:rFonts w:hint="default" w:ascii="微软雅黑" w:hAnsi="微软雅黑" w:eastAsia="微软雅黑" w:cs="微软雅黑"/>
                <w:b w:val="0"/>
                <w:bCs/>
                <w:i w:val="0"/>
                <w:caps w:val="0"/>
                <w:color w:val="333333"/>
                <w:spacing w:val="0"/>
                <w:sz w:val="19"/>
                <w:szCs w:val="19"/>
                <w:shd w:val="clear" w:color="auto" w:fill="FFFFFF"/>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val="0"/>
                <w:bCs/>
                <w:i w:val="0"/>
                <w:caps w:val="0"/>
                <w:color w:val="333333"/>
                <w:spacing w:val="0"/>
                <w:sz w:val="19"/>
                <w:szCs w:val="19"/>
                <w:shd w:val="clear" w:color="auto" w:fill="FFFFFF"/>
              </w:rPr>
            </w:pPr>
            <w:r>
              <w:rPr>
                <w:rFonts w:hint="default" w:ascii="微软雅黑" w:hAnsi="微软雅黑" w:eastAsia="微软雅黑" w:cs="微软雅黑"/>
                <w:b w:val="0"/>
                <w:bCs/>
                <w:i w:val="0"/>
                <w:caps w:val="0"/>
                <w:color w:val="333333"/>
                <w:spacing w:val="0"/>
                <w:sz w:val="19"/>
                <w:szCs w:val="19"/>
                <w:shd w:val="clear" w:color="auto" w:fill="FFFFFF"/>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0</w:t>
            </w:r>
          </w:p>
        </w:tc>
      </w:tr>
    </w:tbl>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四、政府信息公开行政复议、行政诉讼情况</w:t>
      </w:r>
    </w:p>
    <w:tbl>
      <w:tblPr>
        <w:tblStyle w:val="8"/>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0</w:t>
            </w:r>
            <w:r>
              <w:rPr>
                <w:rFonts w:hint="default" w:ascii="Times New Roman" w:hAnsi="Times New Roman" w:cs="Times New Roman"/>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eastAsia" w:ascii="Times New Roman" w:hAnsi="Times New Roman" w:cs="Times New Roman"/>
                <w:kern w:val="0"/>
                <w:sz w:val="20"/>
                <w:szCs w:val="20"/>
                <w:lang w:val="en-US" w:eastAsia="zh-CN" w:bidi="ar"/>
              </w:rPr>
            </w:pPr>
            <w:r>
              <w:rPr>
                <w:rFonts w:hint="eastAsia" w:ascii="Times New Roman" w:hAnsi="Times New Roman" w:cs="Times New Roman"/>
                <w:kern w:val="0"/>
                <w:sz w:val="20"/>
                <w:szCs w:val="20"/>
                <w:lang w:val="en-US" w:eastAsia="zh-CN" w:bidi="ar"/>
              </w:rPr>
              <w:t>0</w:t>
            </w:r>
          </w:p>
        </w:tc>
      </w:tr>
    </w:tbl>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五、存在的主要问题及改进情况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lang w:val="en-US" w:eastAsia="zh-CN"/>
        </w:rPr>
      </w:pPr>
      <w:r>
        <w:rPr>
          <w:rFonts w:hint="eastAsia" w:ascii="Times New Roman" w:hAnsi="Times New Roman" w:eastAsia="仿宋_GB2312" w:cs="Times New Roman"/>
          <w:i w:val="0"/>
          <w:caps w:val="0"/>
          <w:color w:val="333333"/>
          <w:spacing w:val="0"/>
          <w:sz w:val="32"/>
          <w:szCs w:val="32"/>
          <w:shd w:val="clear" w:color="auto" w:fill="FFFFFF"/>
          <w:lang w:val="en-US" w:eastAsia="zh-CN"/>
        </w:rPr>
        <w:t>2020</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年，区商务局在区委区政府的领导下，对政务公开工作加强了管理，取得了一定的成绩，但仍有一些问题需要整改，主要表现在依法主动公开意识不强，信息公开不深入、不全面，公开内容不贴近群众等方面。区商务局将从以下几个方面着手进行改正：</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lang w:val="en-US" w:eastAsia="zh-CN"/>
        </w:rPr>
      </w:pPr>
      <w:r>
        <w:rPr>
          <w:rFonts w:hint="eastAsia" w:ascii="仿宋_GB2312" w:hAnsi="仿宋_GB2312" w:eastAsia="仿宋_GB2312" w:cs="仿宋_GB2312"/>
          <w:b w:val="0"/>
          <w:bCs/>
          <w:i w:val="0"/>
          <w:caps w:val="0"/>
          <w:color w:val="333333"/>
          <w:spacing w:val="0"/>
          <w:sz w:val="32"/>
          <w:szCs w:val="32"/>
          <w:shd w:val="clear" w:color="auto" w:fill="FFFFFF"/>
          <w:lang w:val="en-US" w:eastAsia="zh-CN"/>
        </w:rPr>
        <w:t>1.加强理论学习和业务培训，更加规范地进行公开。进一步适应新常态、新思路，不断提升区商务局信息公开工作整体水平，重视干部职工理论知识学习和业务技能培训，促进政府信息公开规范化、常态化开展。</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lang w:val="en-US" w:eastAsia="zh-CN"/>
        </w:rPr>
      </w:pPr>
      <w:r>
        <w:rPr>
          <w:rFonts w:hint="eastAsia" w:ascii="仿宋_GB2312" w:hAnsi="仿宋_GB2312" w:eastAsia="仿宋_GB2312" w:cs="仿宋_GB2312"/>
          <w:b w:val="0"/>
          <w:bCs/>
          <w:i w:val="0"/>
          <w:caps w:val="0"/>
          <w:color w:val="333333"/>
          <w:spacing w:val="0"/>
          <w:sz w:val="32"/>
          <w:szCs w:val="32"/>
          <w:shd w:val="clear" w:color="auto" w:fill="FFFFFF"/>
          <w:lang w:val="en-US" w:eastAsia="zh-CN"/>
        </w:rPr>
        <w:t>2.加大内容审查和公开力度，更加有效地进行公开。围绕重要举措、重点项目等中心工作，扩大信息公开广度深度；加大对公开内容的审查，确保公开的信息领域多样、内容详实，切实提高公开信息的质量和水平。</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仿宋_GB2312" w:hAnsi="仿宋_GB2312" w:eastAsia="仿宋_GB2312" w:cs="仿宋_GB2312"/>
          <w:b w:val="0"/>
          <w:bCs/>
          <w:i w:val="0"/>
          <w:caps w:val="0"/>
          <w:color w:val="333333"/>
          <w:spacing w:val="0"/>
          <w:sz w:val="32"/>
          <w:szCs w:val="32"/>
          <w:shd w:val="clear" w:color="auto" w:fill="FFFFFF"/>
          <w:lang w:val="en-US" w:eastAsia="zh-CN"/>
        </w:rPr>
      </w:pPr>
      <w:r>
        <w:rPr>
          <w:rFonts w:hint="eastAsia" w:ascii="仿宋_GB2312" w:hAnsi="仿宋_GB2312" w:eastAsia="仿宋_GB2312" w:cs="仿宋_GB2312"/>
          <w:b w:val="0"/>
          <w:bCs/>
          <w:i w:val="0"/>
          <w:caps w:val="0"/>
          <w:color w:val="333333"/>
          <w:spacing w:val="0"/>
          <w:sz w:val="32"/>
          <w:szCs w:val="32"/>
          <w:shd w:val="clear" w:color="auto" w:fill="FFFFFF"/>
          <w:lang w:val="en-US" w:eastAsia="zh-CN"/>
        </w:rPr>
        <w:t>3.加深联系群众和贴近群众，更加便民地进行公开。创新信息公开的有效渠道，打造政府信息公开新亮点，密切商务局和人民群众的联系，加强政府信息公开服务和改善民生的作用。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六、其他需要报告的事项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lang w:eastAsia="zh-CN"/>
        </w:rPr>
      </w:pPr>
      <w:r>
        <w:rPr>
          <w:rFonts w:hint="eastAsia" w:ascii="仿宋_GB2312" w:hAnsi="仿宋_GB2312" w:eastAsia="仿宋_GB2312" w:cs="仿宋_GB2312"/>
          <w:b w:val="0"/>
          <w:bCs/>
          <w:i w:val="0"/>
          <w:caps w:val="0"/>
          <w:color w:val="333333"/>
          <w:spacing w:val="0"/>
          <w:sz w:val="32"/>
          <w:szCs w:val="32"/>
          <w:shd w:val="clear" w:color="auto" w:fill="FFFFFF"/>
        </w:rPr>
        <w:t>(</w:t>
      </w:r>
      <w:r>
        <w:rPr>
          <w:rFonts w:hint="eastAsia" w:ascii="仿宋_GB2312" w:hAnsi="仿宋_GB2312" w:eastAsia="仿宋_GB2312" w:cs="仿宋_GB2312"/>
          <w:b w:val="0"/>
          <w:bCs/>
          <w:i w:val="0"/>
          <w:caps w:val="0"/>
          <w:color w:val="333333"/>
          <w:spacing w:val="0"/>
          <w:sz w:val="32"/>
          <w:szCs w:val="32"/>
          <w:shd w:val="clear" w:color="auto" w:fill="FFFFFF"/>
          <w:lang w:eastAsia="zh-CN"/>
        </w:rPr>
        <w:t>一</w:t>
      </w:r>
      <w:r>
        <w:rPr>
          <w:rFonts w:hint="eastAsia" w:ascii="仿宋_GB2312" w:hAnsi="仿宋_GB2312" w:eastAsia="仿宋_GB2312" w:cs="仿宋_GB2312"/>
          <w:b w:val="0"/>
          <w:bCs/>
          <w:i w:val="0"/>
          <w:caps w:val="0"/>
          <w:color w:val="333333"/>
          <w:spacing w:val="0"/>
          <w:sz w:val="32"/>
          <w:szCs w:val="32"/>
          <w:shd w:val="clear" w:color="auto" w:fill="FFFFFF"/>
        </w:rPr>
        <w:t>)</w:t>
      </w:r>
      <w:r>
        <w:rPr>
          <w:rFonts w:hint="eastAsia" w:ascii="仿宋_GB2312" w:hAnsi="仿宋_GB2312" w:eastAsia="仿宋_GB2312" w:cs="仿宋_GB2312"/>
          <w:b w:val="0"/>
          <w:bCs/>
          <w:i w:val="0"/>
          <w:caps w:val="0"/>
          <w:color w:val="333333"/>
          <w:spacing w:val="0"/>
          <w:sz w:val="32"/>
          <w:szCs w:val="32"/>
          <w:shd w:val="clear" w:color="auto" w:fill="FFFFFF"/>
          <w:lang w:eastAsia="zh-CN"/>
        </w:rPr>
        <w:t>人大代表建议、政协委员提案办理结果公开情况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lang w:eastAsia="zh-CN"/>
        </w:rPr>
      </w:pPr>
      <w:r>
        <w:rPr>
          <w:rFonts w:hint="eastAsia" w:ascii="仿宋_GB2312" w:hAnsi="仿宋_GB2312" w:eastAsia="仿宋_GB2312" w:cs="仿宋_GB2312"/>
          <w:b w:val="0"/>
          <w:bCs/>
          <w:i w:val="0"/>
          <w:caps w:val="0"/>
          <w:color w:val="333333"/>
          <w:spacing w:val="0"/>
          <w:sz w:val="32"/>
          <w:szCs w:val="32"/>
          <w:shd w:val="clear" w:color="auto" w:fill="FFFFFF"/>
          <w:lang w:eastAsia="zh-CN"/>
        </w:rPr>
        <w:t>区商务局本年度共收到</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条人大代表建议，分别为区十八届人大四次会议第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004</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号代表建议和第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041</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号代表建议；共收到</w:t>
      </w:r>
      <w:r>
        <w:rPr>
          <w:rFonts w:hint="default" w:ascii="Times New Roman" w:hAnsi="Times New Roman" w:eastAsia="仿宋_GB2312" w:cs="Times New Roman"/>
          <w:b w:val="0"/>
          <w:bCs/>
          <w:i w:val="0"/>
          <w:caps w:val="0"/>
          <w:color w:val="333333"/>
          <w:spacing w:val="0"/>
          <w:sz w:val="32"/>
          <w:szCs w:val="32"/>
          <w:shd w:val="clear" w:color="auto" w:fill="FFFFFF"/>
          <w:lang w:val="en-US" w:eastAsia="zh-CN"/>
        </w:rPr>
        <w:t>3</w:t>
      </w:r>
      <w:r>
        <w:rPr>
          <w:rFonts w:hint="eastAsia" w:ascii="仿宋_GB2312" w:hAnsi="仿宋_GB2312" w:eastAsia="仿宋_GB2312" w:cs="仿宋_GB2312"/>
          <w:b w:val="0"/>
          <w:bCs/>
          <w:i w:val="0"/>
          <w:caps w:val="0"/>
          <w:color w:val="333333"/>
          <w:spacing w:val="0"/>
          <w:sz w:val="32"/>
          <w:szCs w:val="32"/>
          <w:shd w:val="clear" w:color="auto" w:fill="FFFFFF"/>
          <w:lang w:eastAsia="zh-CN"/>
        </w:rPr>
        <w:t>条政协提案，分别为区政协第十四届</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四</w:t>
      </w:r>
      <w:r>
        <w:rPr>
          <w:rFonts w:hint="eastAsia" w:ascii="仿宋_GB2312" w:hAnsi="仿宋_GB2312" w:eastAsia="仿宋_GB2312" w:cs="仿宋_GB2312"/>
          <w:b w:val="0"/>
          <w:bCs/>
          <w:i w:val="0"/>
          <w:caps w:val="0"/>
          <w:color w:val="333333"/>
          <w:spacing w:val="0"/>
          <w:sz w:val="32"/>
          <w:szCs w:val="32"/>
          <w:shd w:val="clear" w:color="auto" w:fill="FFFFFF"/>
          <w:lang w:eastAsia="zh-CN"/>
        </w:rPr>
        <w:t>次会议第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3</w:t>
      </w:r>
      <w:r>
        <w:rPr>
          <w:rFonts w:hint="eastAsia" w:ascii="仿宋_GB2312" w:hAnsi="仿宋_GB2312" w:eastAsia="仿宋_GB2312" w:cs="仿宋_GB2312"/>
          <w:b w:val="0"/>
          <w:bCs/>
          <w:i w:val="0"/>
          <w:caps w:val="0"/>
          <w:color w:val="333333"/>
          <w:spacing w:val="0"/>
          <w:sz w:val="32"/>
          <w:szCs w:val="32"/>
          <w:shd w:val="clear" w:color="auto" w:fill="FFFFFF"/>
          <w:lang w:eastAsia="zh-CN"/>
        </w:rPr>
        <w:t>号、第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4</w:t>
      </w:r>
      <w:r>
        <w:rPr>
          <w:rFonts w:hint="eastAsia" w:ascii="仿宋_GB2312" w:hAnsi="仿宋_GB2312" w:eastAsia="仿宋_GB2312" w:cs="仿宋_GB2312"/>
          <w:b w:val="0"/>
          <w:bCs/>
          <w:i w:val="0"/>
          <w:caps w:val="0"/>
          <w:color w:val="333333"/>
          <w:spacing w:val="0"/>
          <w:sz w:val="32"/>
          <w:szCs w:val="32"/>
          <w:shd w:val="clear" w:color="auto" w:fill="FFFFFF"/>
          <w:lang w:eastAsia="zh-CN"/>
        </w:rPr>
        <w:t>号、第</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37</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号</w:t>
      </w:r>
      <w:r>
        <w:rPr>
          <w:rFonts w:hint="eastAsia" w:ascii="仿宋_GB2312" w:hAnsi="仿宋_GB2312" w:eastAsia="仿宋_GB2312" w:cs="仿宋_GB2312"/>
          <w:b w:val="0"/>
          <w:bCs/>
          <w:i w:val="0"/>
          <w:caps w:val="0"/>
          <w:color w:val="333333"/>
          <w:spacing w:val="0"/>
          <w:sz w:val="32"/>
          <w:szCs w:val="32"/>
          <w:shd w:val="clear" w:color="auto" w:fill="FFFFFF"/>
          <w:lang w:eastAsia="zh-CN"/>
        </w:rPr>
        <w:t>提案。均已安排专人对</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建议和</w:t>
      </w:r>
      <w:r>
        <w:rPr>
          <w:rFonts w:hint="eastAsia" w:ascii="仿宋_GB2312" w:hAnsi="仿宋_GB2312" w:eastAsia="仿宋_GB2312" w:cs="仿宋_GB2312"/>
          <w:b w:val="0"/>
          <w:bCs/>
          <w:i w:val="0"/>
          <w:caps w:val="0"/>
          <w:color w:val="333333"/>
          <w:spacing w:val="0"/>
          <w:sz w:val="32"/>
          <w:szCs w:val="32"/>
          <w:shd w:val="clear" w:color="auto" w:fill="FFFFFF"/>
          <w:lang w:eastAsia="zh-CN"/>
        </w:rPr>
        <w:t>提案进行了认真研究并答复，并于</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2020</w:t>
      </w:r>
      <w:r>
        <w:rPr>
          <w:rFonts w:hint="eastAsia" w:ascii="仿宋_GB2312" w:hAnsi="仿宋_GB2312" w:eastAsia="仿宋_GB2312" w:cs="仿宋_GB2312"/>
          <w:b w:val="0"/>
          <w:bCs/>
          <w:i w:val="0"/>
          <w:caps w:val="0"/>
          <w:color w:val="333333"/>
          <w:spacing w:val="0"/>
          <w:sz w:val="32"/>
          <w:szCs w:val="32"/>
          <w:shd w:val="clear" w:color="auto" w:fill="FFFFFF"/>
          <w:lang w:eastAsia="zh-CN"/>
        </w:rPr>
        <w:t>年</w:t>
      </w:r>
      <w:r>
        <w:rPr>
          <w:rFonts w:hint="eastAsia" w:ascii="Times New Roman" w:hAnsi="Times New Roman" w:eastAsia="仿宋_GB2312" w:cs="Times New Roman"/>
          <w:b w:val="0"/>
          <w:bCs/>
          <w:i w:val="0"/>
          <w:caps w:val="0"/>
          <w:color w:val="333333"/>
          <w:spacing w:val="0"/>
          <w:sz w:val="32"/>
          <w:szCs w:val="32"/>
          <w:shd w:val="clear" w:color="auto" w:fill="FFFFFF"/>
          <w:lang w:val="en-US" w:eastAsia="zh-CN"/>
        </w:rPr>
        <w:t>8</w:t>
      </w:r>
      <w:r>
        <w:rPr>
          <w:rFonts w:hint="eastAsia" w:ascii="仿宋_GB2312" w:hAnsi="仿宋_GB2312" w:eastAsia="仿宋_GB2312" w:cs="仿宋_GB2312"/>
          <w:b w:val="0"/>
          <w:bCs/>
          <w:i w:val="0"/>
          <w:caps w:val="0"/>
          <w:color w:val="333333"/>
          <w:spacing w:val="0"/>
          <w:sz w:val="32"/>
          <w:szCs w:val="32"/>
          <w:shd w:val="clear" w:color="auto" w:fill="FFFFFF"/>
          <w:lang w:eastAsia="zh-CN"/>
        </w:rPr>
        <w:t>月在环翠区人民政府网站对办理结果进行了公开。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b w:val="0"/>
          <w:bCs/>
          <w:i w:val="0"/>
          <w:caps w:val="0"/>
          <w:color w:val="333333"/>
          <w:spacing w:val="0"/>
          <w:sz w:val="32"/>
          <w:szCs w:val="32"/>
          <w:shd w:val="clear" w:color="auto" w:fill="FFFFFF"/>
          <w:lang w:val="en-US" w:eastAsia="zh-CN"/>
        </w:rPr>
      </w:pPr>
      <w:r>
        <w:rPr>
          <w:rFonts w:hint="eastAsia" w:ascii="仿宋_GB2312" w:hAnsi="仿宋_GB2312" w:eastAsia="仿宋_GB2312" w:cs="仿宋_GB2312"/>
          <w:b w:val="0"/>
          <w:bCs/>
          <w:i w:val="0"/>
          <w:caps w:val="0"/>
          <w:color w:val="333333"/>
          <w:spacing w:val="0"/>
          <w:sz w:val="32"/>
          <w:szCs w:val="32"/>
          <w:shd w:val="clear" w:color="auto" w:fill="FFFFFF"/>
          <w:lang w:val="en-US" w:eastAsia="zh-CN"/>
        </w:rPr>
        <w:t>（二）所属事业单位信息公开工作推进措施和落实情况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仿宋_GB2312" w:hAnsi="仿宋_GB2312" w:eastAsia="仿宋_GB2312" w:cs="仿宋_GB2312"/>
          <w:b w:val="0"/>
          <w:bCs/>
          <w:i w:val="0"/>
          <w:caps w:val="0"/>
          <w:color w:val="333333"/>
          <w:spacing w:val="0"/>
          <w:sz w:val="32"/>
          <w:szCs w:val="32"/>
          <w:shd w:val="clear" w:color="auto" w:fill="FFFFFF"/>
          <w:lang w:val="en-US" w:eastAsia="zh-CN"/>
        </w:rPr>
      </w:pPr>
      <w:r>
        <w:rPr>
          <w:rFonts w:hint="default" w:ascii="仿宋_GB2312" w:hAnsi="仿宋_GB2312" w:eastAsia="仿宋_GB2312" w:cs="仿宋_GB2312"/>
          <w:b w:val="0"/>
          <w:bCs/>
          <w:i w:val="0"/>
          <w:caps w:val="0"/>
          <w:color w:val="333333"/>
          <w:spacing w:val="0"/>
          <w:sz w:val="32"/>
          <w:szCs w:val="32"/>
          <w:shd w:val="clear" w:color="auto" w:fill="FFFFFF"/>
          <w:lang w:val="en-US" w:eastAsia="zh-CN"/>
        </w:rPr>
        <w:t>本单位所属事业单位</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经济协作服务中心、经济合作</w:t>
      </w:r>
      <w:r>
        <w:rPr>
          <w:rFonts w:hint="default" w:ascii="仿宋_GB2312" w:hAnsi="仿宋_GB2312" w:eastAsia="仿宋_GB2312" w:cs="仿宋_GB2312"/>
          <w:b w:val="0"/>
          <w:bCs/>
          <w:i w:val="0"/>
          <w:caps w:val="0"/>
          <w:color w:val="333333"/>
          <w:spacing w:val="0"/>
          <w:sz w:val="32"/>
          <w:szCs w:val="32"/>
          <w:shd w:val="clear" w:color="auto" w:fill="FFFFFF"/>
          <w:lang w:val="en-US" w:eastAsia="zh-CN"/>
        </w:rPr>
        <w:t>服务中心、</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外商</w:t>
      </w:r>
      <w:r>
        <w:rPr>
          <w:rFonts w:hint="default" w:ascii="仿宋_GB2312" w:hAnsi="仿宋_GB2312" w:eastAsia="仿宋_GB2312" w:cs="仿宋_GB2312"/>
          <w:b w:val="0"/>
          <w:bCs/>
          <w:i w:val="0"/>
          <w:caps w:val="0"/>
          <w:color w:val="333333"/>
          <w:spacing w:val="0"/>
          <w:sz w:val="32"/>
          <w:szCs w:val="32"/>
          <w:shd w:val="clear" w:color="auto" w:fill="FFFFFF"/>
          <w:lang w:val="en-US" w:eastAsia="zh-CN"/>
        </w:rPr>
        <w:t>服务中心、</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电子商务发展促进</w:t>
      </w:r>
      <w:r>
        <w:rPr>
          <w:rFonts w:hint="default" w:ascii="仿宋_GB2312" w:hAnsi="仿宋_GB2312" w:eastAsia="仿宋_GB2312" w:cs="仿宋_GB2312"/>
          <w:b w:val="0"/>
          <w:bCs/>
          <w:i w:val="0"/>
          <w:caps w:val="0"/>
          <w:color w:val="333333"/>
          <w:spacing w:val="0"/>
          <w:sz w:val="32"/>
          <w:szCs w:val="32"/>
          <w:shd w:val="clear" w:color="auto" w:fill="FFFFFF"/>
          <w:lang w:val="en-US" w:eastAsia="zh-CN"/>
        </w:rPr>
        <w:t>中心、</w:t>
      </w:r>
      <w:r>
        <w:rPr>
          <w:rFonts w:hint="eastAsia" w:ascii="仿宋_GB2312" w:hAnsi="仿宋_GB2312" w:eastAsia="仿宋_GB2312" w:cs="仿宋_GB2312"/>
          <w:b w:val="0"/>
          <w:bCs/>
          <w:i w:val="0"/>
          <w:caps w:val="0"/>
          <w:color w:val="333333"/>
          <w:spacing w:val="0"/>
          <w:sz w:val="32"/>
          <w:szCs w:val="32"/>
          <w:shd w:val="clear" w:color="auto" w:fill="FFFFFF"/>
          <w:lang w:val="en-US" w:eastAsia="zh-CN"/>
        </w:rPr>
        <w:t>对外劳务合作服务</w:t>
      </w:r>
      <w:r>
        <w:rPr>
          <w:rFonts w:hint="default" w:ascii="仿宋_GB2312" w:hAnsi="仿宋_GB2312" w:eastAsia="仿宋_GB2312" w:cs="仿宋_GB2312"/>
          <w:b w:val="0"/>
          <w:bCs/>
          <w:i w:val="0"/>
          <w:caps w:val="0"/>
          <w:color w:val="333333"/>
          <w:spacing w:val="0"/>
          <w:sz w:val="32"/>
          <w:szCs w:val="32"/>
          <w:shd w:val="clear" w:color="auto" w:fill="FFFFFF"/>
          <w:lang w:val="en-US" w:eastAsia="zh-CN"/>
        </w:rPr>
        <w:t>中心，均按照统一要求进行了信息公开工作。</w:t>
      </w: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Batang">
    <w:panose1 w:val="02030600000101010101"/>
    <w:charset w:val="81"/>
    <w:family w:val="roman"/>
    <w:pitch w:val="default"/>
    <w:sig w:usb0="B00002AF" w:usb1="69D77CFB" w:usb2="00000030" w:usb3="00000000" w:csb0="4008009F" w:csb1="DFD7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C86841"/>
    <w:rsid w:val="04C93286"/>
    <w:rsid w:val="068E13AE"/>
    <w:rsid w:val="09CC0F30"/>
    <w:rsid w:val="0B4141ED"/>
    <w:rsid w:val="0C475343"/>
    <w:rsid w:val="0D7360BC"/>
    <w:rsid w:val="0FC66287"/>
    <w:rsid w:val="1232055F"/>
    <w:rsid w:val="1251301D"/>
    <w:rsid w:val="15C86841"/>
    <w:rsid w:val="1A53793F"/>
    <w:rsid w:val="2C1B5B21"/>
    <w:rsid w:val="2DC47483"/>
    <w:rsid w:val="2DF53DD5"/>
    <w:rsid w:val="3291735C"/>
    <w:rsid w:val="32C3176A"/>
    <w:rsid w:val="350C4810"/>
    <w:rsid w:val="38F95CAD"/>
    <w:rsid w:val="3CC075F3"/>
    <w:rsid w:val="3FF2785D"/>
    <w:rsid w:val="44495D0C"/>
    <w:rsid w:val="4983126F"/>
    <w:rsid w:val="4C1F249F"/>
    <w:rsid w:val="4D11438C"/>
    <w:rsid w:val="4E042ED7"/>
    <w:rsid w:val="4F0158CA"/>
    <w:rsid w:val="507F4D79"/>
    <w:rsid w:val="513475F2"/>
    <w:rsid w:val="526E467D"/>
    <w:rsid w:val="530B146F"/>
    <w:rsid w:val="55577A92"/>
    <w:rsid w:val="55D053BE"/>
    <w:rsid w:val="58916DC5"/>
    <w:rsid w:val="59BD2A04"/>
    <w:rsid w:val="5BF90BDC"/>
    <w:rsid w:val="5C151A5D"/>
    <w:rsid w:val="5C7E74FA"/>
    <w:rsid w:val="5E3C206A"/>
    <w:rsid w:val="5FB353EB"/>
    <w:rsid w:val="60522F60"/>
    <w:rsid w:val="64346115"/>
    <w:rsid w:val="649E5BC0"/>
    <w:rsid w:val="6A303637"/>
    <w:rsid w:val="6A6A5D80"/>
    <w:rsid w:val="6DC674DB"/>
    <w:rsid w:val="701B0ADD"/>
    <w:rsid w:val="731E7190"/>
    <w:rsid w:val="73AF6E86"/>
    <w:rsid w:val="73EC20CC"/>
    <w:rsid w:val="7447149D"/>
    <w:rsid w:val="7D166510"/>
    <w:rsid w:val="7FA233E5"/>
    <w:rsid w:val="7FC65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11"/>
    <w:qFormat/>
    <w:uiPriority w:val="0"/>
    <w:pPr>
      <w:keepNext/>
      <w:keepLines/>
      <w:spacing w:before="340" w:beforeLines="0" w:beforeAutospacing="0" w:after="330" w:afterLines="0" w:afterAutospacing="0" w:line="576" w:lineRule="auto"/>
      <w:jc w:val="center"/>
      <w:outlineLvl w:val="0"/>
    </w:pPr>
    <w:rPr>
      <w:rFonts w:ascii="Times New Roman" w:hAnsi="Times New Roman" w:eastAsia="方正小标宋简体"/>
      <w:b/>
      <w:kern w:val="44"/>
      <w:sz w:val="44"/>
      <w:szCs w:val="22"/>
    </w:rPr>
  </w:style>
  <w:style w:type="paragraph" w:styleId="3">
    <w:name w:val="heading 2"/>
    <w:basedOn w:val="1"/>
    <w:next w:val="1"/>
    <w:link w:val="14"/>
    <w:semiHidden/>
    <w:unhideWhenUsed/>
    <w:qFormat/>
    <w:uiPriority w:val="0"/>
    <w:pPr>
      <w:keepNext/>
      <w:keepLines/>
      <w:spacing w:before="260" w:after="260" w:line="413" w:lineRule="auto"/>
      <w:ind w:firstLine="562"/>
      <w:outlineLvl w:val="1"/>
    </w:pPr>
    <w:rPr>
      <w:rFonts w:ascii="Arial" w:hAnsi="Arial" w:eastAsia="黑体"/>
      <w:b/>
      <w:sz w:val="28"/>
      <w:lang w:eastAsia="ko-KR"/>
    </w:rPr>
  </w:style>
  <w:style w:type="paragraph" w:styleId="4">
    <w:name w:val="heading 3"/>
    <w:basedOn w:val="1"/>
    <w:next w:val="1"/>
    <w:semiHidden/>
    <w:unhideWhenUsed/>
    <w:qFormat/>
    <w:uiPriority w:val="0"/>
    <w:pPr>
      <w:keepNext/>
      <w:keepLines/>
      <w:spacing w:before="260" w:beforeLines="0" w:beforeAutospacing="0" w:after="260" w:afterLines="0" w:afterAutospacing="0" w:line="413" w:lineRule="auto"/>
      <w:outlineLvl w:val="2"/>
    </w:pPr>
    <w:rPr>
      <w:rFonts w:eastAsia="黑体"/>
      <w:b/>
      <w:sz w:val="24"/>
    </w:rPr>
  </w:style>
  <w:style w:type="paragraph" w:styleId="5">
    <w:name w:val="heading 4"/>
    <w:basedOn w:val="1"/>
    <w:next w:val="1"/>
    <w:semiHidden/>
    <w:unhideWhenUsed/>
    <w:qFormat/>
    <w:uiPriority w:val="0"/>
    <w:pPr>
      <w:keepNext/>
      <w:keepLines/>
      <w:spacing w:before="280" w:beforeLines="0" w:beforeAutospacing="0" w:after="290" w:afterLines="0" w:afterAutospacing="0" w:line="240" w:lineRule="auto"/>
      <w:outlineLvl w:val="3"/>
    </w:pPr>
    <w:rPr>
      <w:rFonts w:ascii="Arial" w:hAnsi="Arial"/>
    </w:rPr>
  </w:style>
  <w:style w:type="character" w:default="1" w:styleId="9">
    <w:name w:val="Default Paragraph Font"/>
    <w:semiHidden/>
    <w:unhideWhenUsed/>
    <w:qFormat/>
    <w:uiPriority w:val="1"/>
  </w:style>
  <w:style w:type="table" w:default="1" w:styleId="8">
    <w:name w:val="Normal Table"/>
    <w:semiHidden/>
    <w:qFormat/>
    <w:uiPriority w:val="0"/>
    <w:tblPr>
      <w:tblCellMar>
        <w:top w:w="0" w:type="dxa"/>
        <w:left w:w="108" w:type="dxa"/>
        <w:bottom w:w="0" w:type="dxa"/>
        <w:right w:w="108" w:type="dxa"/>
      </w:tblCellMar>
    </w:tblPr>
  </w:style>
  <w:style w:type="paragraph" w:styleId="6">
    <w:name w:val="Body Text"/>
    <w:basedOn w:val="1"/>
    <w:qFormat/>
    <w:uiPriority w:val="0"/>
    <w:pPr>
      <w:spacing w:after="120" w:afterLines="0" w:afterAutospacing="0"/>
    </w:pPr>
  </w:style>
  <w:style w:type="paragraph" w:styleId="7">
    <w:name w:val="Normal (Web)"/>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 w:type="character" w:styleId="10">
    <w:name w:val="footnote reference"/>
    <w:basedOn w:val="9"/>
    <w:qFormat/>
    <w:uiPriority w:val="0"/>
    <w:rPr>
      <w:rFonts w:ascii="Calibri" w:hAnsi="Calibri" w:eastAsia="宋体"/>
      <w:vertAlign w:val="superscript"/>
    </w:rPr>
  </w:style>
  <w:style w:type="character" w:customStyle="1" w:styleId="11">
    <w:name w:val="标题 1 Char"/>
    <w:link w:val="2"/>
    <w:qFormat/>
    <w:uiPriority w:val="9"/>
    <w:rPr>
      <w:rFonts w:ascii="Times New Roman" w:hAnsi="Times New Roman" w:eastAsia="方正小标宋简体" w:cs="Times New Roman"/>
      <w:b/>
      <w:bCs/>
      <w:kern w:val="44"/>
      <w:sz w:val="30"/>
      <w:szCs w:val="22"/>
    </w:rPr>
  </w:style>
  <w:style w:type="paragraph" w:customStyle="1" w:styleId="12">
    <w:name w:val="原文"/>
    <w:basedOn w:val="6"/>
    <w:next w:val="1"/>
    <w:qFormat/>
    <w:uiPriority w:val="0"/>
    <w:pPr>
      <w:spacing w:line="420" w:lineRule="exact"/>
      <w:ind w:firstLine="240" w:firstLineChars="100"/>
    </w:pPr>
    <w:rPr>
      <w:rFonts w:eastAsia="Batang"/>
    </w:rPr>
  </w:style>
  <w:style w:type="paragraph" w:customStyle="1" w:styleId="13">
    <w:name w:val="그림"/>
    <w:basedOn w:val="1"/>
    <w:qFormat/>
    <w:uiPriority w:val="0"/>
    <w:pPr>
      <w:spacing w:line="420" w:lineRule="exact"/>
    </w:pPr>
    <w:rPr>
      <w:rFonts w:eastAsia="Batang"/>
      <w:i/>
      <w:sz w:val="21"/>
    </w:rPr>
  </w:style>
  <w:style w:type="character" w:customStyle="1" w:styleId="14">
    <w:name w:val="标题 2 字符"/>
    <w:basedOn w:val="9"/>
    <w:link w:val="3"/>
    <w:qFormat/>
    <w:uiPriority w:val="0"/>
    <w:rPr>
      <w:rFonts w:ascii="Arial" w:hAnsi="Arial" w:eastAsia="黑体" w:cs="Times New Roman"/>
      <w:b/>
      <w:kern w:val="2"/>
      <w:sz w:val="28"/>
      <w:szCs w:val="24"/>
      <w:lang w:eastAsia="ko-KR"/>
    </w:rPr>
  </w:style>
  <w:style w:type="paragraph" w:customStyle="1" w:styleId="15">
    <w:name w:val="图1图2"/>
    <w:basedOn w:val="13"/>
    <w:next w:val="1"/>
    <w:qFormat/>
    <w:uiPriority w:val="0"/>
    <w:rPr>
      <w:rFonts w:eastAsia="宋体"/>
    </w:rPr>
  </w:style>
  <w:style w:type="paragraph" w:customStyle="1" w:styleId="16">
    <w:name w:val="中文对话"/>
    <w:basedOn w:val="1"/>
    <w:qFormat/>
    <w:uiPriority w:val="0"/>
    <w:pPr>
      <w:spacing w:line="420" w:lineRule="exact"/>
    </w:pPr>
    <w:rPr>
      <w:i/>
    </w:rPr>
  </w:style>
  <w:style w:type="character" w:customStyle="1" w:styleId="17">
    <w:name w:val="fontstyle31"/>
    <w:qFormat/>
    <w:uiPriority w:val="0"/>
    <w:rPr>
      <w:rFonts w:ascii="仿宋_GB2312" w:hAnsi="仿宋_GB2312" w:eastAsia="仿宋_GB2312" w:cs="仿宋_GB2312"/>
      <w:color w:val="00000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693</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2021-01-19T01:02:00Z</dcterms:created>
  <dc:creator>LIUKAI</dc:creator>
  <cp:lastModifiedBy>LIUKAI</cp:lastModifiedBy>
  <dcterms:modified xsi:type="dcterms:W3CDTF">2021-01-22T07:44:33Z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