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widowControl/>
        <w:shd w:val="clear" w:color="auto" w:fill="FFFFFF"/>
        <w:spacing w:beforeAutospacing="0" w:afterAutospacing="0" w:line="560" w:lineRule="exact"/>
        <w:jc w:val="both"/>
        <w:rPr>
          <w:rFonts w:ascii="方正小标宋简体" w:hAnsi="方正小标宋简体" w:eastAsia="方正小标宋简体" w:cs="方正小标宋简体"/>
          <w:bCs/>
          <w:color w:val="333333"/>
          <w:sz w:val="44"/>
          <w:szCs w:val="44"/>
          <w:shd w:val="clear" w:color="auto" w:fill="FFFFFF"/>
        </w:rPr>
      </w:pP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威海市环翠区自然资源局</w:t>
      </w:r>
    </w:p>
    <w:p>
      <w:pPr>
        <w:pStyle w:val="5"/>
        <w:widowControl/>
        <w:shd w:val="clear" w:color="auto" w:fill="FFFFFF"/>
        <w:spacing w:beforeAutospacing="0" w:afterAutospacing="0" w:line="560" w:lineRule="exact"/>
        <w:jc w:val="center"/>
        <w:rPr>
          <w:rFonts w:ascii="方正小标宋简体" w:hAnsi="方正小标宋简体" w:eastAsia="方正小标宋简体" w:cs="方正小标宋简体"/>
          <w:bCs/>
          <w:spacing w:val="-17"/>
          <w:sz w:val="44"/>
          <w:szCs w:val="44"/>
          <w:shd w:val="clear" w:color="auto" w:fill="FFFFFF"/>
        </w:rPr>
      </w:pPr>
      <w:r>
        <w:rPr>
          <w:rFonts w:hint="eastAsia" w:ascii="方正小标宋简体" w:hAnsi="方正小标宋简体" w:eastAsia="方正小标宋简体" w:cs="方正小标宋简体"/>
          <w:bCs/>
          <w:spacing w:val="-17"/>
          <w:sz w:val="44"/>
          <w:szCs w:val="44"/>
          <w:shd w:val="clear" w:color="auto" w:fill="FFFFFF"/>
        </w:rPr>
        <w:t>2024年政府信息公开工作年度报告</w:t>
      </w:r>
    </w:p>
    <w:p>
      <w:pPr>
        <w:pStyle w:val="5"/>
        <w:widowControl/>
        <w:autoSpaceDE w:val="0"/>
        <w:spacing w:beforeAutospacing="0" w:afterAutospacing="0" w:line="560" w:lineRule="exact"/>
        <w:jc w:val="both"/>
        <w:rPr>
          <w:rFonts w:ascii="Times New Roman" w:hAnsi="Times New Roman" w:eastAsia="仿宋_GB2312"/>
          <w:color w:val="000000"/>
          <w:sz w:val="32"/>
          <w:szCs w:val="32"/>
        </w:rPr>
      </w:pP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color w:val="000000"/>
          <w:sz w:val="32"/>
          <w:szCs w:val="32"/>
        </w:rPr>
        <w:t>根据《中华人民共和国政府信息公开条例》（国务院令第</w:t>
      </w:r>
      <w:r>
        <w:rPr>
          <w:rFonts w:ascii="Times New Roman" w:hAnsi="Times New Roman"/>
          <w:color w:val="000000"/>
          <w:sz w:val="32"/>
          <w:szCs w:val="32"/>
        </w:rPr>
        <w:t>711</w:t>
      </w:r>
      <w:r>
        <w:rPr>
          <w:rFonts w:ascii="Times New Roman" w:hAnsi="Times New Roman" w:eastAsia="仿宋_GB2312"/>
          <w:color w:val="000000"/>
          <w:sz w:val="32"/>
          <w:szCs w:val="32"/>
        </w:rPr>
        <w:t>号，以下简称《条例》）和《中华人民共和国政府信息公开工</w:t>
      </w:r>
      <w:r>
        <w:rPr>
          <w:rFonts w:ascii="Times New Roman" w:hAnsi="Times New Roman" w:eastAsia="仿宋_GB2312"/>
          <w:sz w:val="32"/>
          <w:szCs w:val="32"/>
        </w:rPr>
        <w:t>作年度报告格式》（国办公开办函〔</w:t>
      </w:r>
      <w:r>
        <w:rPr>
          <w:rFonts w:ascii="Times New Roman" w:hAnsi="Times New Roman"/>
          <w:sz w:val="32"/>
          <w:szCs w:val="32"/>
        </w:rPr>
        <w:t>2021</w:t>
      </w:r>
      <w:r>
        <w:rPr>
          <w:rFonts w:ascii="Times New Roman" w:hAnsi="Times New Roman" w:eastAsia="仿宋_GB2312"/>
          <w:sz w:val="32"/>
          <w:szCs w:val="32"/>
        </w:rPr>
        <w:t>〕30号）要求，结合</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年威海市环翠区</w:t>
      </w:r>
      <w:r>
        <w:rPr>
          <w:rFonts w:hint="eastAsia" w:ascii="Times New Roman" w:hAnsi="Times New Roman" w:eastAsia="仿宋_GB2312"/>
          <w:sz w:val="32"/>
          <w:szCs w:val="32"/>
        </w:rPr>
        <w:t>自然资源局</w:t>
      </w:r>
      <w:r>
        <w:rPr>
          <w:rFonts w:ascii="Times New Roman" w:hAnsi="Times New Roman" w:eastAsia="仿宋_GB2312"/>
          <w:sz w:val="32"/>
          <w:szCs w:val="32"/>
        </w:rPr>
        <w:t>政府信息公开工作实际，编制发布本报告。</w:t>
      </w:r>
    </w:p>
    <w:p>
      <w:pPr>
        <w:pStyle w:val="5"/>
        <w:widowControl/>
        <w:autoSpaceDE w:val="0"/>
        <w:spacing w:beforeAutospacing="0" w:afterAutospacing="0" w:line="560" w:lineRule="exact"/>
        <w:ind w:firstLine="645"/>
        <w:jc w:val="both"/>
        <w:rPr>
          <w:rFonts w:ascii="Times New Roman" w:hAnsi="Times New Roman"/>
          <w:sz w:val="32"/>
          <w:szCs w:val="32"/>
        </w:rPr>
      </w:pPr>
      <w:r>
        <w:rPr>
          <w:rFonts w:ascii="Times New Roman" w:hAnsi="Times New Roman" w:eastAsia="仿宋_GB2312"/>
          <w:sz w:val="32"/>
          <w:szCs w:val="32"/>
        </w:rPr>
        <w:t>本报告内容包括：总体情况、主动公开政府信息情况、收到和处理政府信息公开申请情况、政府信息公开行政复议</w:t>
      </w:r>
      <w:r>
        <w:rPr>
          <w:rFonts w:hint="eastAsia" w:ascii="Times New Roman" w:hAnsi="Times New Roman" w:eastAsia="仿宋_GB2312"/>
          <w:sz w:val="32"/>
          <w:szCs w:val="32"/>
        </w:rPr>
        <w:t>及</w:t>
      </w:r>
      <w:r>
        <w:rPr>
          <w:rFonts w:ascii="Times New Roman" w:hAnsi="Times New Roman" w:eastAsia="仿宋_GB2312"/>
          <w:sz w:val="32"/>
          <w:szCs w:val="32"/>
        </w:rPr>
        <w:t>行政诉讼情况、存在的主要问题及改进情况、其他事项，以及相关指标统计附表等。报告中所列数据统计期限从</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ascii="Times New Roman" w:hAnsi="Times New Roman"/>
          <w:sz w:val="32"/>
          <w:szCs w:val="32"/>
        </w:rPr>
        <w:t>1</w:t>
      </w:r>
      <w:r>
        <w:rPr>
          <w:rFonts w:ascii="Times New Roman" w:hAnsi="Times New Roman" w:eastAsia="仿宋_GB2312"/>
          <w:sz w:val="32"/>
          <w:szCs w:val="32"/>
        </w:rPr>
        <w:t>月</w:t>
      </w:r>
      <w:r>
        <w:rPr>
          <w:rFonts w:ascii="Times New Roman" w:hAnsi="Times New Roman"/>
          <w:sz w:val="32"/>
          <w:szCs w:val="32"/>
        </w:rPr>
        <w:t>1</w:t>
      </w:r>
      <w:r>
        <w:rPr>
          <w:rFonts w:ascii="Times New Roman" w:hAnsi="Times New Roman" w:eastAsia="仿宋_GB2312"/>
          <w:sz w:val="32"/>
          <w:szCs w:val="32"/>
        </w:rPr>
        <w:t>日到</w:t>
      </w:r>
      <w:r>
        <w:rPr>
          <w:rFonts w:ascii="Times New Roman" w:hAnsi="Times New Roman"/>
          <w:sz w:val="32"/>
          <w:szCs w:val="32"/>
        </w:rPr>
        <w:t>12</w:t>
      </w:r>
      <w:r>
        <w:rPr>
          <w:rFonts w:ascii="Times New Roman" w:hAnsi="Times New Roman" w:eastAsia="仿宋_GB2312"/>
          <w:sz w:val="32"/>
          <w:szCs w:val="32"/>
        </w:rPr>
        <w:t>月</w:t>
      </w:r>
      <w:r>
        <w:rPr>
          <w:rFonts w:ascii="Times New Roman" w:hAnsi="Times New Roman"/>
          <w:sz w:val="32"/>
          <w:szCs w:val="32"/>
        </w:rPr>
        <w:t>31</w:t>
      </w:r>
      <w:r>
        <w:rPr>
          <w:rFonts w:ascii="Times New Roman" w:hAnsi="Times New Roman" w:eastAsia="仿宋_GB2312"/>
          <w:sz w:val="32"/>
          <w:szCs w:val="32"/>
        </w:rPr>
        <w:t>日止。报告电子版可从</w:t>
      </w:r>
      <w:r>
        <w:rPr>
          <w:rFonts w:hint="eastAsia" w:ascii="Times New Roman" w:hAnsi="Times New Roman" w:eastAsia="仿宋_GB2312"/>
          <w:sz w:val="32"/>
          <w:szCs w:val="32"/>
        </w:rPr>
        <w:t>威海市环翠区人民政府网站（网址：</w:t>
      </w:r>
      <w:r>
        <w:rPr>
          <w:rFonts w:ascii="Times New Roman" w:hAnsi="Times New Roman" w:eastAsia="仿宋_GB2312"/>
          <w:sz w:val="32"/>
          <w:szCs w:val="32"/>
        </w:rPr>
        <w:t>http://www.huancui.gov.cn/col/col57860/index.html）查阅或下载。公众如需进一步咨询了解相关信息，请与</w:t>
      </w:r>
      <w:r>
        <w:rPr>
          <w:rFonts w:hint="eastAsia" w:ascii="Times New Roman" w:hAnsi="Times New Roman" w:eastAsia="仿宋_GB2312"/>
          <w:sz w:val="32"/>
          <w:szCs w:val="32"/>
        </w:rPr>
        <w:t>威海市环翠区自然资源局</w:t>
      </w:r>
      <w:r>
        <w:rPr>
          <w:rFonts w:ascii="Times New Roman" w:hAnsi="Times New Roman" w:eastAsia="仿宋_GB2312"/>
          <w:sz w:val="32"/>
          <w:szCs w:val="32"/>
        </w:rPr>
        <w:t>联系（地址：</w:t>
      </w:r>
      <w:r>
        <w:rPr>
          <w:rFonts w:hint="eastAsia" w:ascii="Times New Roman" w:hAnsi="Times New Roman" w:eastAsia="仿宋_GB2312"/>
          <w:sz w:val="32"/>
          <w:szCs w:val="32"/>
        </w:rPr>
        <w:t>威海市青岛北路132号</w:t>
      </w:r>
      <w:r>
        <w:rPr>
          <w:rFonts w:ascii="Times New Roman" w:hAnsi="Times New Roman" w:eastAsia="仿宋_GB2312"/>
          <w:sz w:val="32"/>
          <w:szCs w:val="32"/>
        </w:rPr>
        <w:t>，电话：</w:t>
      </w:r>
      <w:r>
        <w:rPr>
          <w:rFonts w:hint="eastAsia" w:ascii="Times New Roman" w:hAnsi="Times New Roman" w:eastAsia="仿宋_GB2312"/>
          <w:sz w:val="32"/>
          <w:szCs w:val="32"/>
        </w:rPr>
        <w:t>0631－5273031</w:t>
      </w:r>
      <w:r>
        <w:rPr>
          <w:rFonts w:ascii="Times New Roman" w:hAnsi="Times New Roman" w:eastAsia="仿宋_GB2312"/>
          <w:sz w:val="32"/>
          <w:szCs w:val="32"/>
        </w:rPr>
        <w:t>）。</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rPr>
      </w:pPr>
      <w:r>
        <w:rPr>
          <w:rFonts w:hint="eastAsia" w:ascii="黑体" w:hAnsi="黑体" w:eastAsia="黑体" w:cs="黑体"/>
          <w:bCs/>
          <w:color w:val="333333"/>
          <w:sz w:val="32"/>
          <w:szCs w:val="32"/>
          <w:shd w:val="clear" w:color="auto" w:fill="FFFFFF"/>
        </w:rPr>
        <w:t>一、总体情况</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2024年，威海市环翠区自然资源局以习近平新时代中国特色社会主义思想为指引，围绕自然资源领域，响应群众需求，加大信息主动公开力度，持续加强信息公开平台建设，做好政务信息主动公开工作。</w:t>
      </w:r>
    </w:p>
    <w:p>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1.</w:t>
      </w:r>
      <w:r>
        <w:rPr>
          <w:rFonts w:hint="eastAsia" w:ascii="楷体_GB2312" w:hAnsi="楷体_GB2312" w:eastAsia="楷体_GB2312" w:cs="楷体_GB2312"/>
          <w:bCs/>
          <w:sz w:val="32"/>
          <w:szCs w:val="32"/>
        </w:rPr>
        <w:t>主动公开方面。</w:t>
      </w:r>
    </w:p>
    <w:p>
      <w:pPr>
        <w:spacing w:line="580" w:lineRule="exact"/>
        <w:ind w:firstLine="640" w:firstLineChars="200"/>
        <w:rPr>
          <w:rFonts w:ascii="Times New Roman" w:hAnsi="Times New Roman" w:eastAsia="仿宋_GB2312" w:cs="Times New Roman"/>
          <w:color w:val="FF0000"/>
          <w:sz w:val="32"/>
          <w:szCs w:val="32"/>
        </w:rPr>
      </w:pPr>
      <w:r>
        <w:rPr>
          <w:rFonts w:hint="eastAsia" w:ascii="Times New Roman" w:hAnsi="Times New Roman" w:eastAsia="仿宋_GB2312" w:cs="Times New Roman"/>
          <w:sz w:val="32"/>
          <w:szCs w:val="32"/>
        </w:rPr>
        <w:t>今年以来，我局共主动公开信息94条。一是做好业务动态公开。2024年，主动公开部门工作30条。二是做好政府会议公开。主动公开政府会议信息8条。三是做好规划计划发布工作。今年以来发布规划计划信息3条，其中国土空间规划1条、年度计划2条。四是做好重点领域公开，其中优化营商环境20条、行政执法公示7条、“双随机一公开”监管7条。</w:t>
      </w:r>
    </w:p>
    <w:p>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2.</w:t>
      </w:r>
      <w:r>
        <w:rPr>
          <w:rFonts w:ascii="楷体_GB2312" w:hAnsi="楷体_GB2312" w:eastAsia="楷体_GB2312" w:cs="楷体_GB2312"/>
          <w:bCs/>
          <w:sz w:val="32"/>
          <w:szCs w:val="32"/>
        </w:rPr>
        <w:t>依申请公开工作方面。</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2024年度，威海市环翠区自然资源局共收到政府信息公开申请35件，上年结转1件，规定时间内办理33件，结转下一年办理3件。</w:t>
      </w:r>
      <w:r>
        <w:rPr>
          <w:rFonts w:ascii="Times New Roman" w:hAnsi="Times New Roman" w:eastAsia="仿宋_GB2312" w:cs="Times New Roman"/>
          <w:sz w:val="32"/>
          <w:szCs w:val="32"/>
        </w:rPr>
        <w:t>其中，主动公开</w:t>
      </w:r>
      <w:r>
        <w:rPr>
          <w:rFonts w:hint="eastAsia" w:ascii="Times New Roman" w:hAnsi="Times New Roman" w:eastAsia="仿宋_GB2312" w:cs="Times New Roman"/>
          <w:sz w:val="32"/>
          <w:szCs w:val="32"/>
        </w:rPr>
        <w:t>10</w:t>
      </w:r>
      <w:r>
        <w:rPr>
          <w:rFonts w:ascii="Times New Roman" w:hAnsi="Times New Roman" w:eastAsia="仿宋_GB2312" w:cs="Times New Roman"/>
          <w:sz w:val="32"/>
          <w:szCs w:val="32"/>
        </w:rPr>
        <w:t>件（含部分公开），无法提供</w:t>
      </w:r>
      <w:r>
        <w:rPr>
          <w:rFonts w:hint="eastAsia" w:ascii="Times New Roman" w:hAnsi="Times New Roman" w:eastAsia="仿宋_GB2312" w:cs="Times New Roman"/>
          <w:sz w:val="32"/>
          <w:szCs w:val="32"/>
        </w:rPr>
        <w:t>20</w:t>
      </w:r>
      <w:r>
        <w:rPr>
          <w:rFonts w:ascii="Times New Roman" w:hAnsi="Times New Roman" w:eastAsia="仿宋_GB2312" w:cs="Times New Roman"/>
          <w:sz w:val="32"/>
          <w:szCs w:val="32"/>
        </w:rPr>
        <w:t>件，不予公开</w:t>
      </w:r>
      <w:r>
        <w:rPr>
          <w:rFonts w:hint="eastAsia" w:ascii="Times New Roman" w:hAnsi="Times New Roman" w:eastAsia="仿宋_GB2312" w:cs="Times New Roman"/>
          <w:sz w:val="32"/>
          <w:szCs w:val="32"/>
        </w:rPr>
        <w:t>2件，不予处理1件</w:t>
      </w:r>
      <w:r>
        <w:rPr>
          <w:rFonts w:ascii="Times New Roman" w:hAnsi="Times New Roman" w:eastAsia="仿宋_GB2312" w:cs="Times New Roman"/>
          <w:sz w:val="32"/>
          <w:szCs w:val="32"/>
        </w:rPr>
        <w:t>。</w:t>
      </w:r>
    </w:p>
    <w:p>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3.</w:t>
      </w:r>
      <w:r>
        <w:rPr>
          <w:rFonts w:ascii="楷体_GB2312" w:hAnsi="楷体_GB2312" w:eastAsia="楷体_GB2312" w:cs="楷体_GB2312"/>
          <w:bCs/>
          <w:sz w:val="32"/>
          <w:szCs w:val="32"/>
        </w:rPr>
        <w:t>政府信息管理方面。</w:t>
      </w:r>
    </w:p>
    <w:p>
      <w:pPr>
        <w:spacing w:line="580" w:lineRule="exact"/>
        <w:ind w:firstLine="640" w:firstLineChars="200"/>
        <w:jc w:val="left"/>
        <w:rPr>
          <w:rFonts w:ascii="Times New Roman" w:hAnsi="Times New Roman" w:eastAsia="仿宋_GB2312" w:cs="Times New Roman"/>
          <w:bCs/>
          <w:sz w:val="32"/>
          <w:szCs w:val="32"/>
        </w:rPr>
      </w:pPr>
      <w:r>
        <w:rPr>
          <w:rFonts w:hint="eastAsia" w:ascii="Times New Roman" w:hAnsi="Times New Roman" w:eastAsia="仿宋_GB2312" w:cs="Times New Roman"/>
          <w:sz w:val="32"/>
          <w:szCs w:val="32"/>
        </w:rPr>
        <w:t>根据省、市2024年政务公开工作要点，制发《威海市环翠区自然资源局2024年政府信息主动公开基本目录》，突出政府信息主动公开基本目录的标准化管理。积极完善信息公开管理流程，建立政府信息公开工作全流程管理机制，指导各部门、科室加强政府信息主动公开力度。按照“先审查、后公开”的原则，依照有关法律法规和政策规定对信息的保密性、真实性、准确性进行审查，全年未发生在政府信息公开过程中公布涉密文件和泄密的情况。</w:t>
      </w:r>
    </w:p>
    <w:p>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4.</w:t>
      </w:r>
      <w:r>
        <w:rPr>
          <w:rFonts w:ascii="楷体_GB2312" w:hAnsi="楷体_GB2312" w:eastAsia="楷体_GB2312" w:cs="楷体_GB2312"/>
          <w:bCs/>
          <w:sz w:val="32"/>
          <w:szCs w:val="32"/>
        </w:rPr>
        <w:t>平台建设方面。</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威海市环翠区自然资源局开展多样化的政务公开服务，着重利用环翠政务网站进行信息公开，同时积极通过“最威海是环翠”APP等网络媒体向社会广泛公开自然资源领域信息，进一步巩固完善我局信息公开网上渠道，确保信息公开的时效性。组织开展“政府开放日”活动，邀请市民、企业代表参加开放日活动，提升公众对自然资源工作的认同感和支持率。</w:t>
      </w:r>
    </w:p>
    <w:p>
      <w:pPr>
        <w:spacing w:line="560" w:lineRule="exact"/>
        <w:ind w:firstLine="640" w:firstLineChars="200"/>
        <w:rPr>
          <w:rFonts w:ascii="楷体_GB2312" w:hAnsi="楷体_GB2312" w:eastAsia="楷体_GB2312" w:cs="楷体_GB2312"/>
          <w:bCs/>
          <w:sz w:val="32"/>
          <w:szCs w:val="32"/>
        </w:rPr>
      </w:pPr>
      <w:r>
        <w:rPr>
          <w:rFonts w:ascii="Times New Roman" w:hAnsi="Times New Roman" w:eastAsia="仿宋_GB2312" w:cs="Times New Roman"/>
          <w:bCs/>
          <w:sz w:val="32"/>
          <w:szCs w:val="32"/>
        </w:rPr>
        <w:t>5.</w:t>
      </w:r>
      <w:r>
        <w:rPr>
          <w:rFonts w:ascii="楷体_GB2312" w:hAnsi="楷体_GB2312" w:eastAsia="楷体_GB2312" w:cs="楷体_GB2312"/>
          <w:bCs/>
          <w:sz w:val="32"/>
          <w:szCs w:val="32"/>
        </w:rPr>
        <w:t>监督保障方面。</w:t>
      </w:r>
    </w:p>
    <w:p>
      <w:pPr>
        <w:spacing w:line="560" w:lineRule="exact"/>
        <w:ind w:firstLine="640" w:firstLineChars="200"/>
        <w:rPr>
          <w:rFonts w:ascii="Times New Roman" w:hAnsi="Times New Roman" w:eastAsia="仿宋_GB2312" w:cs="Times New Roman"/>
          <w:bCs/>
          <w:sz w:val="32"/>
          <w:szCs w:val="32"/>
        </w:rPr>
      </w:pPr>
      <w:r>
        <w:rPr>
          <w:rFonts w:hint="eastAsia" w:ascii="Times New Roman" w:hAnsi="Times New Roman" w:eastAsia="仿宋_GB2312" w:cs="Times New Roman"/>
          <w:bCs/>
          <w:sz w:val="32"/>
          <w:szCs w:val="32"/>
        </w:rPr>
        <w:t>威海市环翠区自然资源局严格按照《条例》要求开展政府信息公开工作，明确地理信息科是本单位政府信息公开的工作机构，负责本单位政府信息公开日常管理，指定专人负责信息更新工作，及时发布自然资源领域等方面信息，主动接受区政府政务公开科考核监督。本年度没有因政府信息公开工作不力被追究责任的情况。</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二、主动公开政府信息情况</w:t>
      </w:r>
    </w:p>
    <w:p>
      <w:pPr>
        <w:pStyle w:val="5"/>
        <w:widowControl/>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p>
    <w:tbl>
      <w:tblPr>
        <w:tblStyle w:val="6"/>
        <w:tblW w:w="8824" w:type="dxa"/>
        <w:tblInd w:w="0" w:type="dxa"/>
        <w:tblLayout w:type="fixed"/>
        <w:tblCellMar>
          <w:top w:w="0" w:type="dxa"/>
          <w:left w:w="108" w:type="dxa"/>
          <w:bottom w:w="0" w:type="dxa"/>
          <w:right w:w="108" w:type="dxa"/>
        </w:tblCellMar>
      </w:tblPr>
      <w:tblGrid>
        <w:gridCol w:w="2206"/>
        <w:gridCol w:w="2206"/>
        <w:gridCol w:w="2206"/>
        <w:gridCol w:w="2206"/>
      </w:tblGrid>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第二十条第（一）项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本年制发件数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本年废止件数</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现行有效件数</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规章</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行政规范性文件</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c>
          <w:tcPr>
            <w:tcW w:w="2206" w:type="dxa"/>
            <w:tcBorders>
              <w:top w:val="nil"/>
              <w:left w:val="nil"/>
              <w:bottom w:val="single" w:color="auto" w:sz="8" w:space="0"/>
              <w:right w:val="single" w:color="auto" w:sz="8" w:space="0"/>
            </w:tcBorders>
            <w:shd w:val="clear" w:color="auto" w:fill="auto"/>
            <w:vAlign w:val="center"/>
          </w:tcPr>
          <w:p>
            <w:pPr>
              <w:widowControl/>
              <w:jc w:val="center"/>
              <w:rPr>
                <w:rFonts w:ascii="仿宋_GB2312" w:hAnsi="宋体" w:eastAsia="仿宋_GB2312" w:cs="宋体"/>
                <w:kern w:val="0"/>
                <w:szCs w:val="21"/>
              </w:rPr>
            </w:pPr>
            <w:r>
              <w:rPr>
                <w:rFonts w:hint="eastAsia" w:ascii="仿宋_GB2312" w:hAnsi="宋体" w:eastAsia="仿宋_GB2312" w:cs="宋体"/>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第二十条第（五）项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行政许可</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第二十条第（六）项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本年处理决定数量</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color w:val="000000"/>
                <w:kern w:val="0"/>
                <w:szCs w:val="21"/>
              </w:rPr>
            </w:pPr>
            <w:r>
              <w:rPr>
                <w:rFonts w:hint="eastAsia" w:ascii="仿宋_GB2312" w:hAnsi="宋体" w:eastAsia="仿宋_GB2312" w:cs="宋体"/>
                <w:color w:val="000000"/>
                <w:kern w:val="0"/>
                <w:szCs w:val="21"/>
              </w:rPr>
              <w:t>行政处罚</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仿宋_GB2312" w:hAnsi="Calibri" w:eastAsia="仿宋_GB2312" w:cs="Calibri"/>
                <w:kern w:val="0"/>
                <w:szCs w:val="21"/>
              </w:rPr>
            </w:pPr>
            <w:r>
              <w:rPr>
                <w:rFonts w:hint="eastAsia" w:ascii="仿宋_GB2312" w:hAnsi="Calibri" w:eastAsia="仿宋_GB2312" w:cs="Calibri"/>
                <w:kern w:val="0"/>
                <w:szCs w:val="21"/>
              </w:rPr>
              <w:t>3</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行政强制</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仿宋_GB2312" w:hAnsi="Calibri" w:eastAsia="仿宋_GB2312" w:cs="Calibri"/>
                <w:kern w:val="0"/>
                <w:szCs w:val="21"/>
              </w:rPr>
            </w:pPr>
            <w:r>
              <w:rPr>
                <w:rFonts w:hint="eastAsia" w:ascii="仿宋_GB2312" w:hAnsi="Calibri" w:eastAsia="仿宋_GB2312" w:cs="Calibri"/>
                <w:kern w:val="0"/>
                <w:szCs w:val="21"/>
              </w:rPr>
              <w:t>0</w:t>
            </w:r>
          </w:p>
        </w:tc>
      </w:tr>
      <w:tr>
        <w:tblPrEx>
          <w:tblCellMar>
            <w:top w:w="0" w:type="dxa"/>
            <w:left w:w="108" w:type="dxa"/>
            <w:bottom w:w="0" w:type="dxa"/>
            <w:right w:w="108" w:type="dxa"/>
          </w:tblCellMar>
        </w:tblPrEx>
        <w:trPr>
          <w:trHeight w:val="567" w:hRule="atLeast"/>
        </w:trPr>
        <w:tc>
          <w:tcPr>
            <w:tcW w:w="8824" w:type="dxa"/>
            <w:gridSpan w:val="4"/>
            <w:tcBorders>
              <w:top w:val="single" w:color="auto" w:sz="8" w:space="0"/>
              <w:left w:val="single" w:color="auto" w:sz="8" w:space="0"/>
              <w:bottom w:val="single" w:color="auto" w:sz="8" w:space="0"/>
              <w:right w:val="single" w:color="000000" w:sz="8" w:space="0"/>
            </w:tcBorders>
            <w:shd w:val="clear" w:color="000000" w:fill="C6D9F1"/>
            <w:vAlign w:val="center"/>
          </w:tcPr>
          <w:p>
            <w:pPr>
              <w:widowControl/>
              <w:jc w:val="center"/>
              <w:rPr>
                <w:rFonts w:ascii="黑体" w:hAnsi="黑体" w:eastAsia="黑体" w:cs="宋体"/>
                <w:color w:val="000000"/>
                <w:kern w:val="0"/>
                <w:szCs w:val="21"/>
              </w:rPr>
            </w:pPr>
            <w:r>
              <w:rPr>
                <w:rFonts w:hint="eastAsia" w:ascii="黑体" w:hAnsi="黑体" w:eastAsia="黑体" w:cs="宋体"/>
                <w:color w:val="000000"/>
                <w:kern w:val="0"/>
                <w:szCs w:val="21"/>
              </w:rPr>
              <w:t>第二十条第（八）项</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信息内容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center"/>
              <w:rPr>
                <w:rFonts w:ascii="仿宋_GB2312" w:hAnsi="宋体" w:eastAsia="仿宋_GB2312" w:cs="宋体"/>
                <w:color w:val="000000"/>
                <w:kern w:val="0"/>
                <w:szCs w:val="21"/>
              </w:rPr>
            </w:pPr>
            <w:r>
              <w:rPr>
                <w:rFonts w:hint="eastAsia" w:ascii="仿宋_GB2312" w:hAnsi="宋体" w:eastAsia="仿宋_GB2312" w:cs="宋体"/>
                <w:color w:val="000000"/>
                <w:kern w:val="0"/>
                <w:szCs w:val="21"/>
              </w:rPr>
              <w:t>本年收费金额（单位：万元）</w:t>
            </w:r>
          </w:p>
        </w:tc>
      </w:tr>
      <w:tr>
        <w:tblPrEx>
          <w:tblCellMar>
            <w:top w:w="0" w:type="dxa"/>
            <w:left w:w="108" w:type="dxa"/>
            <w:bottom w:w="0" w:type="dxa"/>
            <w:right w:w="108" w:type="dxa"/>
          </w:tblCellMar>
        </w:tblPrEx>
        <w:trPr>
          <w:trHeight w:val="567" w:hRule="atLeast"/>
        </w:trPr>
        <w:tc>
          <w:tcPr>
            <w:tcW w:w="2206" w:type="dxa"/>
            <w:tcBorders>
              <w:top w:val="nil"/>
              <w:left w:val="single" w:color="auto" w:sz="8" w:space="0"/>
              <w:bottom w:val="single" w:color="auto" w:sz="8" w:space="0"/>
              <w:right w:val="single" w:color="auto" w:sz="8" w:space="0"/>
            </w:tcBorders>
            <w:shd w:val="clear" w:color="auto" w:fill="auto"/>
            <w:vAlign w:val="center"/>
          </w:tcPr>
          <w:p>
            <w:pPr>
              <w:widowControl/>
              <w:jc w:val="left"/>
              <w:rPr>
                <w:rFonts w:ascii="仿宋_GB2312" w:hAnsi="宋体" w:eastAsia="仿宋_GB2312" w:cs="宋体"/>
                <w:kern w:val="0"/>
                <w:szCs w:val="21"/>
              </w:rPr>
            </w:pPr>
            <w:r>
              <w:rPr>
                <w:rFonts w:hint="eastAsia" w:ascii="仿宋_GB2312" w:hAnsi="宋体" w:eastAsia="仿宋_GB2312" w:cs="宋体"/>
                <w:kern w:val="0"/>
                <w:szCs w:val="21"/>
              </w:rPr>
              <w:t>行政事业性收费</w:t>
            </w:r>
          </w:p>
        </w:tc>
        <w:tc>
          <w:tcPr>
            <w:tcW w:w="6618" w:type="dxa"/>
            <w:gridSpan w:val="3"/>
            <w:tcBorders>
              <w:top w:val="single" w:color="auto" w:sz="8" w:space="0"/>
              <w:left w:val="nil"/>
              <w:bottom w:val="single" w:color="auto" w:sz="8" w:space="0"/>
              <w:right w:val="single" w:color="000000" w:sz="8" w:space="0"/>
            </w:tcBorders>
            <w:shd w:val="clear" w:color="auto" w:fill="auto"/>
            <w:vAlign w:val="center"/>
          </w:tcPr>
          <w:p>
            <w:pPr>
              <w:widowControl/>
              <w:jc w:val="left"/>
              <w:rPr>
                <w:rFonts w:ascii="仿宋_GB2312" w:hAnsi="Calibri" w:eastAsia="仿宋_GB2312" w:cs="Calibri"/>
                <w:kern w:val="0"/>
                <w:szCs w:val="21"/>
              </w:rPr>
            </w:pPr>
            <w:r>
              <w:rPr>
                <w:rFonts w:hint="eastAsia" w:ascii="仿宋_GB2312" w:hAnsi="Calibri" w:eastAsia="仿宋_GB2312" w:cs="Calibri"/>
                <w:kern w:val="0"/>
                <w:szCs w:val="21"/>
              </w:rPr>
              <w:t>　0</w:t>
            </w:r>
          </w:p>
        </w:tc>
      </w:tr>
    </w:tbl>
    <w:p>
      <w:pPr>
        <w:spacing w:line="560" w:lineRule="exact"/>
        <w:ind w:firstLine="640" w:firstLineChars="200"/>
        <w:rPr>
          <w:rFonts w:ascii="黑体" w:hAnsi="黑体" w:eastAsia="黑体" w:cs="黑体"/>
          <w:color w:val="FF0000"/>
          <w:sz w:val="32"/>
          <w:szCs w:val="32"/>
        </w:rPr>
      </w:pPr>
      <w:r>
        <w:rPr>
          <w:rFonts w:hint="eastAsia" w:ascii="黑体" w:hAnsi="黑体" w:eastAsia="黑体" w:cs="黑体"/>
          <w:bCs/>
          <w:kern w:val="0"/>
          <w:sz w:val="32"/>
          <w:szCs w:val="32"/>
          <w:shd w:val="clear" w:color="auto" w:fill="FFFFFF"/>
        </w:rPr>
        <w:t>三、收</w:t>
      </w:r>
      <w:r>
        <w:rPr>
          <w:rFonts w:hint="eastAsia" w:ascii="黑体" w:hAnsi="黑体" w:eastAsia="黑体" w:cs="黑体"/>
          <w:bCs/>
          <w:color w:val="333333"/>
          <w:kern w:val="0"/>
          <w:sz w:val="32"/>
          <w:szCs w:val="32"/>
          <w:shd w:val="clear" w:color="auto" w:fill="FFFFFF"/>
        </w:rPr>
        <w:t>到和处理政府信息公开申请情况</w:t>
      </w:r>
    </w:p>
    <w:p>
      <w:pPr>
        <w:spacing w:line="560" w:lineRule="exact"/>
        <w:ind w:firstLine="640" w:firstLineChars="200"/>
        <w:rPr>
          <w:rFonts w:ascii="仿宋_GB2312" w:hAnsi="仿宋_GB2312" w:eastAsia="仿宋_GB2312" w:cs="仿宋_GB2312"/>
          <w:color w:val="FF0000"/>
          <w:sz w:val="32"/>
          <w:szCs w:val="32"/>
        </w:rPr>
      </w:pPr>
    </w:p>
    <w:tbl>
      <w:tblPr>
        <w:tblStyle w:val="6"/>
        <w:tblW w:w="9541" w:type="dxa"/>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0" w:type="dxa"/>
          <w:bottom w:w="0" w:type="dxa"/>
          <w:right w:w="0" w:type="dxa"/>
        </w:tblCellMar>
      </w:tblPr>
      <w:tblGrid>
        <w:gridCol w:w="416"/>
        <w:gridCol w:w="1699"/>
        <w:gridCol w:w="2972"/>
        <w:gridCol w:w="751"/>
        <w:gridCol w:w="9"/>
        <w:gridCol w:w="10"/>
        <w:gridCol w:w="521"/>
        <w:gridCol w:w="8"/>
        <w:gridCol w:w="9"/>
        <w:gridCol w:w="527"/>
        <w:gridCol w:w="719"/>
        <w:gridCol w:w="674"/>
        <w:gridCol w:w="526"/>
        <w:gridCol w:w="700"/>
      </w:tblGrid>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13" w:hRule="atLeast"/>
          <w:jc w:val="center"/>
        </w:trPr>
        <w:tc>
          <w:tcPr>
            <w:tcW w:w="5087" w:type="dxa"/>
            <w:gridSpan w:val="3"/>
            <w:vMerge w:val="restart"/>
            <w:shd w:val="clear" w:color="auto" w:fill="auto"/>
            <w:tcMar>
              <w:left w:w="108" w:type="dxa"/>
              <w:right w:w="108" w:type="dxa"/>
            </w:tcMar>
            <w:vAlign w:val="center"/>
          </w:tcPr>
          <w:p>
            <w:pPr>
              <w:widowControl/>
              <w:jc w:val="center"/>
              <w:rPr>
                <w:rFonts w:ascii="楷体_GB2312" w:hAnsi="黑体" w:eastAsia="楷体_GB2312"/>
                <w:kern w:val="0"/>
                <w:szCs w:val="21"/>
              </w:rPr>
            </w:pPr>
            <w:r>
              <w:rPr>
                <w:rFonts w:hint="eastAsia" w:ascii="楷体_GB2312" w:hAnsi="黑体" w:eastAsia="楷体_GB2312"/>
                <w:kern w:val="0"/>
                <w:szCs w:val="21"/>
              </w:rPr>
              <w:t>（本列数据的勾稽关系为：第一项加第二项之和，</w:t>
            </w:r>
          </w:p>
          <w:p>
            <w:pPr>
              <w:widowControl/>
              <w:jc w:val="center"/>
              <w:rPr>
                <w:rFonts w:ascii="仿宋_GB2312" w:hAnsi="Times New Roman" w:eastAsia="仿宋_GB2312"/>
                <w:szCs w:val="21"/>
              </w:rPr>
            </w:pPr>
            <w:r>
              <w:rPr>
                <w:rFonts w:hint="eastAsia" w:ascii="楷体_GB2312" w:hAnsi="黑体" w:eastAsia="楷体_GB2312"/>
                <w:kern w:val="0"/>
                <w:szCs w:val="21"/>
              </w:rPr>
              <w:t>等于第三项加第四项之和）</w:t>
            </w:r>
          </w:p>
        </w:tc>
        <w:tc>
          <w:tcPr>
            <w:tcW w:w="4454" w:type="dxa"/>
            <w:gridSpan w:val="11"/>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申请人情况</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25" w:hRule="atLeast"/>
          <w:jc w:val="center"/>
        </w:trPr>
        <w:tc>
          <w:tcPr>
            <w:tcW w:w="5087"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51"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自然人</w:t>
            </w:r>
          </w:p>
        </w:tc>
        <w:tc>
          <w:tcPr>
            <w:tcW w:w="3003" w:type="dxa"/>
            <w:gridSpan w:val="9"/>
            <w:shd w:val="clear" w:color="auto" w:fill="auto"/>
            <w:tcMar>
              <w:left w:w="108" w:type="dxa"/>
              <w:right w:w="108" w:type="dxa"/>
            </w:tcMar>
            <w:vAlign w:val="center"/>
          </w:tcPr>
          <w:p>
            <w:pPr>
              <w:widowControl/>
              <w:spacing w:line="320" w:lineRule="exact"/>
              <w:jc w:val="center"/>
              <w:rPr>
                <w:rFonts w:ascii="黑体" w:hAnsi="黑体" w:eastAsia="黑体"/>
                <w:szCs w:val="21"/>
              </w:rPr>
            </w:pPr>
            <w:r>
              <w:rPr>
                <w:rFonts w:hint="eastAsia" w:ascii="黑体" w:hAnsi="黑体" w:eastAsia="黑体"/>
                <w:kern w:val="0"/>
                <w:szCs w:val="21"/>
              </w:rPr>
              <w:t>法人或其他组织</w:t>
            </w:r>
          </w:p>
        </w:tc>
        <w:tc>
          <w:tcPr>
            <w:tcW w:w="700" w:type="dxa"/>
            <w:vMerge w:val="restart"/>
            <w:shd w:val="clear" w:color="auto" w:fill="auto"/>
            <w:tcMar>
              <w:left w:w="108" w:type="dxa"/>
              <w:right w:w="108" w:type="dxa"/>
            </w:tcMar>
            <w:vAlign w:val="center"/>
          </w:tcPr>
          <w:p>
            <w:pPr>
              <w:widowControl/>
              <w:jc w:val="center"/>
              <w:rPr>
                <w:rFonts w:ascii="黑体" w:hAnsi="黑体" w:eastAsia="黑体"/>
                <w:szCs w:val="21"/>
              </w:rPr>
            </w:pPr>
            <w:r>
              <w:rPr>
                <w:rFonts w:hint="eastAsia" w:ascii="黑体" w:hAnsi="黑体" w:eastAsia="黑体"/>
                <w:kern w:val="0"/>
                <w:szCs w:val="21"/>
              </w:rPr>
              <w:t>总计</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22" w:hRule="atLeast"/>
          <w:jc w:val="center"/>
        </w:trPr>
        <w:tc>
          <w:tcPr>
            <w:tcW w:w="5087" w:type="dxa"/>
            <w:gridSpan w:val="3"/>
            <w:vMerge w:val="continue"/>
            <w:shd w:val="clear" w:color="auto" w:fill="auto"/>
            <w:tcMar>
              <w:left w:w="108" w:type="dxa"/>
              <w:right w:w="108" w:type="dxa"/>
            </w:tcMar>
            <w:vAlign w:val="center"/>
          </w:tcPr>
          <w:p>
            <w:pPr>
              <w:jc w:val="center"/>
              <w:rPr>
                <w:rFonts w:ascii="仿宋_GB2312" w:hAnsi="Times New Roman" w:eastAsia="仿宋_GB2312"/>
                <w:szCs w:val="21"/>
              </w:rPr>
            </w:pPr>
          </w:p>
        </w:tc>
        <w:tc>
          <w:tcPr>
            <w:tcW w:w="751" w:type="dxa"/>
            <w:vMerge w:val="continue"/>
            <w:shd w:val="clear" w:color="auto" w:fill="auto"/>
            <w:tcMar>
              <w:left w:w="108" w:type="dxa"/>
              <w:right w:w="108" w:type="dxa"/>
            </w:tcMar>
            <w:vAlign w:val="center"/>
          </w:tcPr>
          <w:p>
            <w:pPr>
              <w:jc w:val="center"/>
              <w:rPr>
                <w:rFonts w:ascii="黑体" w:hAnsi="黑体" w:eastAsia="黑体"/>
                <w:szCs w:val="21"/>
              </w:rPr>
            </w:pPr>
          </w:p>
        </w:tc>
        <w:tc>
          <w:tcPr>
            <w:tcW w:w="540" w:type="dxa"/>
            <w:gridSpan w:val="3"/>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商业企业</w:t>
            </w:r>
          </w:p>
        </w:tc>
        <w:tc>
          <w:tcPr>
            <w:tcW w:w="544" w:type="dxa"/>
            <w:gridSpan w:val="3"/>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科研机构</w:t>
            </w:r>
          </w:p>
        </w:tc>
        <w:tc>
          <w:tcPr>
            <w:tcW w:w="719" w:type="dxa"/>
            <w:shd w:val="clear" w:color="auto" w:fill="auto"/>
            <w:tcMar>
              <w:left w:w="108" w:type="dxa"/>
              <w:right w:w="108" w:type="dxa"/>
            </w:tcMar>
            <w:vAlign w:val="center"/>
          </w:tcPr>
          <w:p>
            <w:pPr>
              <w:widowControl/>
              <w:spacing w:line="320" w:lineRule="exact"/>
              <w:ind w:left="-107" w:leftChars="-51" w:right="-107" w:rightChars="-51"/>
              <w:jc w:val="center"/>
              <w:rPr>
                <w:rFonts w:ascii="黑体" w:hAnsi="黑体" w:eastAsia="黑体"/>
                <w:szCs w:val="21"/>
              </w:rPr>
            </w:pPr>
            <w:r>
              <w:rPr>
                <w:rFonts w:hint="eastAsia" w:ascii="黑体" w:hAnsi="黑体" w:eastAsia="黑体"/>
                <w:kern w:val="0"/>
                <w:szCs w:val="21"/>
              </w:rPr>
              <w:t>社会公益组织</w:t>
            </w:r>
          </w:p>
        </w:tc>
        <w:tc>
          <w:tcPr>
            <w:tcW w:w="674" w:type="dxa"/>
            <w:shd w:val="clear" w:color="auto" w:fill="auto"/>
            <w:tcMar>
              <w:left w:w="108" w:type="dxa"/>
              <w:right w:w="108" w:type="dxa"/>
            </w:tcMar>
            <w:vAlign w:val="center"/>
          </w:tcPr>
          <w:p>
            <w:pPr>
              <w:widowControl/>
              <w:spacing w:line="320" w:lineRule="exact"/>
              <w:ind w:left="-106" w:leftChars="-51" w:right="-107" w:rightChars="-51" w:hanging="1"/>
              <w:jc w:val="center"/>
              <w:rPr>
                <w:rFonts w:ascii="黑体" w:hAnsi="黑体" w:eastAsia="黑体"/>
                <w:szCs w:val="21"/>
              </w:rPr>
            </w:pPr>
            <w:r>
              <w:rPr>
                <w:rFonts w:hint="eastAsia" w:ascii="黑体" w:hAnsi="黑体" w:eastAsia="黑体"/>
                <w:kern w:val="0"/>
                <w:szCs w:val="21"/>
              </w:rPr>
              <w:t>法律服务机构</w:t>
            </w:r>
          </w:p>
        </w:tc>
        <w:tc>
          <w:tcPr>
            <w:tcW w:w="526" w:type="dxa"/>
            <w:shd w:val="clear" w:color="auto" w:fill="auto"/>
            <w:tcMar>
              <w:left w:w="108" w:type="dxa"/>
              <w:right w:w="108" w:type="dxa"/>
            </w:tcMar>
            <w:vAlign w:val="center"/>
          </w:tcPr>
          <w:p>
            <w:pPr>
              <w:widowControl/>
              <w:spacing w:line="360" w:lineRule="exact"/>
              <w:ind w:left="-63" w:leftChars="-30" w:right="-134" w:rightChars="-64"/>
              <w:jc w:val="center"/>
              <w:rPr>
                <w:rFonts w:ascii="黑体" w:hAnsi="黑体" w:eastAsia="黑体"/>
                <w:szCs w:val="21"/>
              </w:rPr>
            </w:pPr>
            <w:r>
              <w:rPr>
                <w:rFonts w:hint="eastAsia" w:ascii="黑体" w:hAnsi="黑体" w:eastAsia="黑体"/>
                <w:kern w:val="0"/>
                <w:szCs w:val="21"/>
              </w:rPr>
              <w:t>其他</w:t>
            </w:r>
          </w:p>
        </w:tc>
        <w:tc>
          <w:tcPr>
            <w:tcW w:w="700" w:type="dxa"/>
            <w:vMerge w:val="continue"/>
            <w:shd w:val="clear" w:color="auto" w:fill="auto"/>
            <w:tcMar>
              <w:left w:w="108" w:type="dxa"/>
              <w:right w:w="108" w:type="dxa"/>
            </w:tcMar>
            <w:vAlign w:val="center"/>
          </w:tcPr>
          <w:p>
            <w:pPr>
              <w:jc w:val="center"/>
              <w:rPr>
                <w:rFonts w:ascii="仿宋_GB2312" w:hAnsi="Times New Roman" w:eastAsia="仿宋_GB2312"/>
                <w:szCs w:val="21"/>
              </w:rPr>
            </w:pP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87"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w:t>
            </w:r>
            <w:bookmarkStart w:id="0" w:name="_Hlk66973412"/>
            <w:r>
              <w:rPr>
                <w:rFonts w:hint="eastAsia" w:ascii="黑体" w:hAnsi="黑体" w:eastAsia="黑体"/>
                <w:kern w:val="0"/>
                <w:szCs w:val="21"/>
              </w:rPr>
              <w:t>本年新收政府信息公开申请数量</w:t>
            </w:r>
            <w:bookmarkEnd w:id="0"/>
          </w:p>
        </w:tc>
        <w:tc>
          <w:tcPr>
            <w:tcW w:w="75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32</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4"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35</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20" w:hRule="atLeast"/>
          <w:jc w:val="center"/>
        </w:trPr>
        <w:tc>
          <w:tcPr>
            <w:tcW w:w="5087" w:type="dxa"/>
            <w:gridSpan w:val="3"/>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二、上年结转政府信息公开申请数量</w:t>
            </w:r>
          </w:p>
        </w:tc>
        <w:tc>
          <w:tcPr>
            <w:tcW w:w="75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4"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restart"/>
            <w:shd w:val="clear" w:color="auto" w:fill="auto"/>
            <w:tcMar>
              <w:left w:w="108" w:type="dxa"/>
              <w:right w:w="108" w:type="dxa"/>
            </w:tcMar>
            <w:vAlign w:val="center"/>
          </w:tcPr>
          <w:p>
            <w:pPr>
              <w:widowControl/>
              <w:spacing w:after="180"/>
              <w:rPr>
                <w:rFonts w:ascii="黑体" w:hAnsi="黑体" w:eastAsia="黑体"/>
                <w:szCs w:val="21"/>
              </w:rPr>
            </w:pPr>
            <w:r>
              <w:rPr>
                <w:rFonts w:hint="eastAsia" w:ascii="黑体" w:hAnsi="黑体" w:eastAsia="黑体"/>
                <w:kern w:val="0"/>
                <w:szCs w:val="21"/>
              </w:rPr>
              <w:t>三、本年度办理结果</w:t>
            </w:r>
          </w:p>
        </w:tc>
        <w:tc>
          <w:tcPr>
            <w:tcW w:w="4671"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（一）予以公开</w:t>
            </w:r>
          </w:p>
        </w:tc>
        <w:tc>
          <w:tcPr>
            <w:tcW w:w="75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1" w:type="dxa"/>
            <w:gridSpan w:val="2"/>
            <w:shd w:val="clear" w:color="auto" w:fill="auto"/>
            <w:tcMar>
              <w:left w:w="108" w:type="dxa"/>
              <w:right w:w="108" w:type="dxa"/>
            </w:tcMar>
            <w:vAlign w:val="center"/>
          </w:tcPr>
          <w:p>
            <w:pPr>
              <w:widowControl/>
              <w:rPr>
                <w:rFonts w:ascii="黑体" w:hAnsi="黑体" w:eastAsia="黑体"/>
                <w:szCs w:val="21"/>
              </w:rPr>
            </w:pPr>
            <w:r>
              <w:rPr>
                <w:rFonts w:hint="eastAsia" w:ascii="黑体" w:hAnsi="黑体" w:eastAsia="黑体"/>
                <w:kern w:val="0"/>
                <w:szCs w:val="21"/>
              </w:rPr>
              <w:t>（二）部分公开（</w:t>
            </w:r>
            <w:bookmarkStart w:id="1" w:name="_Hlk66973981"/>
            <w:r>
              <w:rPr>
                <w:rFonts w:hint="eastAsia" w:ascii="黑体" w:hAnsi="黑体" w:eastAsia="黑体"/>
                <w:kern w:val="0"/>
                <w:szCs w:val="21"/>
              </w:rPr>
              <w:t>区分处理的，只计这一情形，不计其他情形</w:t>
            </w:r>
            <w:bookmarkEnd w:id="1"/>
            <w:r>
              <w:rPr>
                <w:rFonts w:hint="eastAsia" w:ascii="黑体" w:hAnsi="黑体" w:eastAsia="黑体"/>
                <w:kern w:val="0"/>
                <w:szCs w:val="21"/>
              </w:rPr>
              <w:t>）</w:t>
            </w:r>
          </w:p>
        </w:tc>
        <w:tc>
          <w:tcPr>
            <w:tcW w:w="75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6</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7</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（三）不予公开</w:t>
            </w: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1.属于国家秘密</w:t>
            </w:r>
          </w:p>
        </w:tc>
        <w:tc>
          <w:tcPr>
            <w:tcW w:w="751"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2" w:name="_Hlk66974104"/>
            <w:r>
              <w:rPr>
                <w:rFonts w:hint="eastAsia" w:ascii="仿宋_GB2312" w:hAnsi="黑体" w:eastAsia="仿宋_GB2312"/>
                <w:kern w:val="0"/>
                <w:szCs w:val="21"/>
              </w:rPr>
              <w:t>其他法律行政法规禁止公开</w:t>
            </w:r>
            <w:bookmarkEnd w:id="2"/>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3.危及“三安全一稳定”</w:t>
            </w:r>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4.</w:t>
            </w:r>
            <w:bookmarkStart w:id="3" w:name="_Hlk66974290"/>
            <w:r>
              <w:rPr>
                <w:rFonts w:hint="eastAsia" w:ascii="仿宋_GB2312" w:hAnsi="黑体" w:eastAsia="仿宋_GB2312"/>
                <w:kern w:val="0"/>
                <w:szCs w:val="21"/>
              </w:rPr>
              <w:t>保护第三方合法权益</w:t>
            </w:r>
            <w:bookmarkEnd w:id="3"/>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9"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6"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5.属于三类内部事务信息</w:t>
            </w:r>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6.</w:t>
            </w:r>
            <w:bookmarkStart w:id="4" w:name="_Hlk66974555"/>
            <w:r>
              <w:rPr>
                <w:rFonts w:hint="eastAsia" w:ascii="仿宋_GB2312" w:hAnsi="黑体" w:eastAsia="仿宋_GB2312"/>
                <w:kern w:val="0"/>
                <w:szCs w:val="21"/>
              </w:rPr>
              <w:t>属于四类过程性信息</w:t>
            </w:r>
            <w:bookmarkEnd w:id="4"/>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7.属于行政执法案卷</w:t>
            </w:r>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2</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8.</w:t>
            </w:r>
            <w:bookmarkStart w:id="5" w:name="_Hlk66975211"/>
            <w:r>
              <w:rPr>
                <w:rFonts w:hint="eastAsia" w:ascii="仿宋_GB2312" w:hAnsi="黑体" w:eastAsia="仿宋_GB2312"/>
                <w:kern w:val="0"/>
                <w:szCs w:val="21"/>
              </w:rPr>
              <w:t>属于行政查询事项</w:t>
            </w:r>
            <w:bookmarkEnd w:id="5"/>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（四）无法提供</w:t>
            </w: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1.本机关不掌握相关政府信息</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19</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20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w:t>
            </w:r>
            <w:bookmarkStart w:id="6" w:name="_Hlk66975392"/>
            <w:r>
              <w:rPr>
                <w:rFonts w:hint="eastAsia" w:ascii="仿宋_GB2312" w:hAnsi="黑体" w:eastAsia="仿宋_GB2312"/>
                <w:kern w:val="0"/>
                <w:szCs w:val="21"/>
              </w:rPr>
              <w:t>没有现成信息需要另行制作</w:t>
            </w:r>
            <w:bookmarkEnd w:id="6"/>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ind w:left="-107" w:leftChars="-51"/>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3.</w:t>
            </w:r>
            <w:bookmarkStart w:id="7" w:name="_Hlk66975466"/>
            <w:r>
              <w:rPr>
                <w:rFonts w:hint="eastAsia" w:ascii="仿宋_GB2312" w:hAnsi="黑体" w:eastAsia="仿宋_GB2312"/>
                <w:kern w:val="0"/>
                <w:szCs w:val="21"/>
              </w:rPr>
              <w:t>补正后申请内容仍不明确</w:t>
            </w:r>
            <w:bookmarkEnd w:id="7"/>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restart"/>
            <w:shd w:val="clear" w:color="auto" w:fill="auto"/>
            <w:tcMar>
              <w:left w:w="108" w:type="dxa"/>
              <w:right w:w="108" w:type="dxa"/>
            </w:tcMar>
            <w:vAlign w:val="center"/>
          </w:tcPr>
          <w:p>
            <w:pPr>
              <w:widowControl/>
              <w:spacing w:line="200" w:lineRule="exact"/>
              <w:ind w:left="-107" w:leftChars="-51"/>
              <w:rPr>
                <w:rFonts w:ascii="黑体" w:hAnsi="黑体" w:eastAsia="黑体"/>
                <w:szCs w:val="21"/>
              </w:rPr>
            </w:pPr>
            <w:r>
              <w:rPr>
                <w:rFonts w:hint="eastAsia" w:ascii="黑体" w:hAnsi="黑体" w:eastAsia="黑体"/>
                <w:kern w:val="0"/>
                <w:szCs w:val="21"/>
              </w:rPr>
              <w:t>（五）不予处理</w:t>
            </w: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1.</w:t>
            </w:r>
            <w:bookmarkStart w:id="8" w:name="_Hlk66975537"/>
            <w:r>
              <w:rPr>
                <w:rFonts w:hint="eastAsia" w:ascii="仿宋_GB2312" w:hAnsi="黑体" w:eastAsia="仿宋_GB2312"/>
                <w:kern w:val="0"/>
                <w:szCs w:val="21"/>
              </w:rPr>
              <w:t>信访举报投诉类申请</w:t>
            </w:r>
            <w:bookmarkEnd w:id="8"/>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kern w:val="0"/>
                <w:szCs w:val="21"/>
              </w:rPr>
            </w:pPr>
            <w:r>
              <w:rPr>
                <w:rFonts w:hint="eastAsia" w:ascii="仿宋_GB2312" w:hAnsi="黑体" w:eastAsia="仿宋_GB2312"/>
                <w:kern w:val="0"/>
                <w:szCs w:val="21"/>
              </w:rPr>
              <w:t>2.重复申请</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1</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454"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3.要求提供公开出版物</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trHeight w:val="397" w:hRule="exact"/>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200" w:lineRule="exact"/>
              <w:rPr>
                <w:rFonts w:ascii="仿宋_GB2312" w:hAnsi="黑体" w:eastAsia="仿宋_GB2312"/>
                <w:szCs w:val="21"/>
              </w:rPr>
            </w:pPr>
            <w:r>
              <w:rPr>
                <w:rFonts w:hint="eastAsia" w:ascii="仿宋_GB2312" w:hAnsi="黑体" w:eastAsia="仿宋_GB2312"/>
                <w:kern w:val="0"/>
                <w:szCs w:val="21"/>
              </w:rPr>
              <w:t>4.无正当理由大量反复申请</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spacing w:line="200" w:lineRule="exact"/>
              <w:rPr>
                <w:rFonts w:ascii="黑体" w:hAnsi="黑体" w:eastAsia="黑体"/>
                <w:szCs w:val="21"/>
              </w:rPr>
            </w:pPr>
          </w:p>
        </w:tc>
        <w:tc>
          <w:tcPr>
            <w:tcW w:w="2972"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黑体" w:eastAsia="仿宋_GB2312"/>
                <w:kern w:val="0"/>
                <w:szCs w:val="21"/>
              </w:rPr>
              <w:t>5.要求行政机关确认或重新</w:t>
            </w:r>
          </w:p>
          <w:p>
            <w:pPr>
              <w:widowControl/>
              <w:spacing w:line="300" w:lineRule="exact"/>
              <w:ind w:firstLine="210" w:firstLineChars="100"/>
              <w:rPr>
                <w:rFonts w:ascii="仿宋_GB2312" w:hAnsi="黑体" w:eastAsia="仿宋_GB2312"/>
                <w:szCs w:val="21"/>
              </w:rPr>
            </w:pPr>
            <w:r>
              <w:rPr>
                <w:rFonts w:hint="eastAsia" w:ascii="仿宋_GB2312" w:hAnsi="黑体" w:eastAsia="仿宋_GB2312"/>
                <w:kern w:val="0"/>
                <w:szCs w:val="21"/>
              </w:rPr>
              <w:t>出具已获取信息</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restart"/>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（六）其他处理</w:t>
            </w:r>
          </w:p>
        </w:tc>
        <w:tc>
          <w:tcPr>
            <w:tcW w:w="2972" w:type="dxa"/>
            <w:shd w:val="clear" w:color="auto" w:fill="auto"/>
            <w:tcMar>
              <w:left w:w="108" w:type="dxa"/>
              <w:right w:w="108" w:type="dxa"/>
            </w:tcMar>
            <w:vAlign w:val="center"/>
          </w:tcPr>
          <w:p>
            <w:pPr>
              <w:widowControl/>
              <w:spacing w:line="300" w:lineRule="exact"/>
              <w:rPr>
                <w:rFonts w:ascii="仿宋_GB2312" w:hAnsi="楷体" w:eastAsia="仿宋_GB2312"/>
              </w:rPr>
            </w:pPr>
            <w:r>
              <w:rPr>
                <w:rFonts w:hint="eastAsia" w:ascii="仿宋_GB2312" w:hAnsi="楷体" w:eastAsia="仿宋_GB2312"/>
              </w:rPr>
              <w:t>1.申请人无正当理由逾期不补正、行政机关不再处理其政府信息公开申请</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bookmarkStart w:id="10" w:name="_GoBack"/>
            <w:bookmarkEnd w:id="10"/>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2"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楷体" w:eastAsia="仿宋_GB2312"/>
              </w:rPr>
              <w:t>2.申请人逾期未按收费通知要求缴纳费用、行政机关不再处理其政府信息公开申请</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1699" w:type="dxa"/>
            <w:vMerge w:val="continue"/>
            <w:shd w:val="clear" w:color="auto" w:fill="auto"/>
            <w:tcMar>
              <w:left w:w="108" w:type="dxa"/>
              <w:right w:w="108" w:type="dxa"/>
            </w:tcMar>
            <w:vAlign w:val="center"/>
          </w:tcPr>
          <w:p>
            <w:pPr>
              <w:widowControl/>
              <w:spacing w:line="300" w:lineRule="exact"/>
              <w:rPr>
                <w:rFonts w:ascii="黑体" w:hAnsi="黑体" w:eastAsia="黑体"/>
                <w:kern w:val="0"/>
                <w:szCs w:val="21"/>
              </w:rPr>
            </w:pPr>
          </w:p>
        </w:tc>
        <w:tc>
          <w:tcPr>
            <w:tcW w:w="2972" w:type="dxa"/>
            <w:shd w:val="clear" w:color="auto" w:fill="auto"/>
            <w:tcMar>
              <w:left w:w="108" w:type="dxa"/>
              <w:right w:w="108" w:type="dxa"/>
            </w:tcMar>
            <w:vAlign w:val="center"/>
          </w:tcPr>
          <w:p>
            <w:pPr>
              <w:widowControl/>
              <w:spacing w:line="300" w:lineRule="exact"/>
              <w:rPr>
                <w:rFonts w:ascii="仿宋_GB2312" w:hAnsi="黑体" w:eastAsia="仿宋_GB2312"/>
                <w:kern w:val="0"/>
                <w:szCs w:val="21"/>
              </w:rPr>
            </w:pPr>
            <w:r>
              <w:rPr>
                <w:rFonts w:hint="eastAsia" w:ascii="仿宋_GB2312" w:hAnsi="楷体" w:eastAsia="仿宋_GB2312"/>
              </w:rPr>
              <w:t>3.其他</w:t>
            </w:r>
          </w:p>
        </w:tc>
        <w:tc>
          <w:tcPr>
            <w:tcW w:w="770"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38" w:type="dxa"/>
            <w:gridSpan w:val="3"/>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416" w:type="dxa"/>
            <w:vMerge w:val="continue"/>
            <w:shd w:val="clear" w:color="auto" w:fill="auto"/>
            <w:tcMar>
              <w:left w:w="108" w:type="dxa"/>
              <w:right w:w="108" w:type="dxa"/>
            </w:tcMar>
            <w:vAlign w:val="center"/>
          </w:tcPr>
          <w:p>
            <w:pPr>
              <w:rPr>
                <w:rFonts w:ascii="黑体" w:hAnsi="黑体" w:eastAsia="黑体"/>
                <w:szCs w:val="21"/>
              </w:rPr>
            </w:pPr>
          </w:p>
        </w:tc>
        <w:tc>
          <w:tcPr>
            <w:tcW w:w="4671" w:type="dxa"/>
            <w:gridSpan w:val="2"/>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（七）总计</w:t>
            </w:r>
          </w:p>
        </w:tc>
        <w:tc>
          <w:tcPr>
            <w:tcW w:w="760" w:type="dxa"/>
            <w:gridSpan w:val="2"/>
            <w:shd w:val="clear" w:color="auto" w:fill="auto"/>
            <w:tcMar>
              <w:left w:w="108" w:type="dxa"/>
              <w:right w:w="108" w:type="dxa"/>
            </w:tcMar>
            <w:vAlign w:val="center"/>
          </w:tcPr>
          <w:p>
            <w:pPr>
              <w:widowControl/>
              <w:spacing w:line="240" w:lineRule="exact"/>
              <w:jc w:val="center"/>
              <w:rPr>
                <w:rFonts w:hint="default" w:ascii="仿宋_GB2312" w:hAnsi="Times New Roman" w:eastAsia="仿宋_GB2312"/>
                <w:szCs w:val="21"/>
                <w:lang w:val="en-US" w:eastAsia="zh-CN"/>
              </w:rPr>
            </w:pPr>
            <w:r>
              <w:rPr>
                <w:rFonts w:hint="eastAsia" w:ascii="仿宋_GB2312" w:hAnsi="Times New Roman" w:eastAsia="仿宋_GB2312"/>
                <w:szCs w:val="21"/>
                <w:lang w:val="en-US" w:eastAsia="zh-CN"/>
              </w:rPr>
              <w:t>30</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33</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0" w:type="dxa"/>
            <w:bottom w:w="0" w:type="dxa"/>
            <w:right w:w="0" w:type="dxa"/>
          </w:tblCellMar>
        </w:tblPrEx>
        <w:trPr>
          <w:jc w:val="center"/>
        </w:trPr>
        <w:tc>
          <w:tcPr>
            <w:tcW w:w="5087" w:type="dxa"/>
            <w:gridSpan w:val="3"/>
            <w:shd w:val="clear" w:color="auto" w:fill="auto"/>
            <w:tcMar>
              <w:left w:w="108" w:type="dxa"/>
              <w:right w:w="108" w:type="dxa"/>
            </w:tcMar>
            <w:vAlign w:val="center"/>
          </w:tcPr>
          <w:p>
            <w:pPr>
              <w:widowControl/>
              <w:spacing w:line="300" w:lineRule="exact"/>
              <w:rPr>
                <w:rFonts w:ascii="黑体" w:hAnsi="黑体" w:eastAsia="黑体"/>
                <w:kern w:val="0"/>
                <w:szCs w:val="21"/>
              </w:rPr>
            </w:pPr>
            <w:r>
              <w:rPr>
                <w:rFonts w:hint="eastAsia" w:ascii="黑体" w:hAnsi="黑体" w:eastAsia="黑体"/>
                <w:kern w:val="0"/>
                <w:szCs w:val="21"/>
              </w:rPr>
              <w:t>四、结转下年度继续办理</w:t>
            </w:r>
          </w:p>
        </w:tc>
        <w:tc>
          <w:tcPr>
            <w:tcW w:w="760" w:type="dxa"/>
            <w:gridSpan w:val="2"/>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c>
          <w:tcPr>
            <w:tcW w:w="548" w:type="dxa"/>
            <w:gridSpan w:val="4"/>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7"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19"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674"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526"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0</w:t>
            </w:r>
          </w:p>
        </w:tc>
        <w:tc>
          <w:tcPr>
            <w:tcW w:w="700" w:type="dxa"/>
            <w:shd w:val="clear" w:color="auto" w:fill="auto"/>
            <w:tcMar>
              <w:left w:w="108" w:type="dxa"/>
              <w:right w:w="108" w:type="dxa"/>
            </w:tcMar>
            <w:vAlign w:val="center"/>
          </w:tcPr>
          <w:p>
            <w:pPr>
              <w:widowControl/>
              <w:spacing w:line="240" w:lineRule="exact"/>
              <w:jc w:val="center"/>
              <w:rPr>
                <w:rFonts w:ascii="仿宋_GB2312" w:hAnsi="Times New Roman" w:eastAsia="仿宋_GB2312"/>
                <w:szCs w:val="21"/>
              </w:rPr>
            </w:pPr>
            <w:r>
              <w:rPr>
                <w:rFonts w:hint="eastAsia" w:ascii="仿宋_GB2312" w:hAnsi="Times New Roman" w:eastAsia="仿宋_GB2312"/>
                <w:szCs w:val="21"/>
              </w:rPr>
              <w:t>3</w:t>
            </w:r>
          </w:p>
        </w:tc>
      </w:tr>
    </w:tbl>
    <w:p>
      <w:pPr>
        <w:spacing w:line="560" w:lineRule="exact"/>
        <w:ind w:firstLine="640" w:firstLineChars="200"/>
        <w:rPr>
          <w:rFonts w:ascii="黑体" w:hAnsi="黑体" w:eastAsia="黑体" w:cs="黑体"/>
          <w:bCs/>
          <w:color w:val="333333"/>
          <w:kern w:val="0"/>
          <w:sz w:val="32"/>
          <w:szCs w:val="32"/>
          <w:shd w:val="clear" w:color="auto" w:fill="FFFFFF"/>
        </w:rPr>
      </w:pPr>
      <w:r>
        <w:rPr>
          <w:rFonts w:hint="eastAsia" w:ascii="黑体" w:hAnsi="黑体" w:eastAsia="黑体" w:cs="黑体"/>
          <w:bCs/>
          <w:color w:val="333333"/>
          <w:kern w:val="0"/>
          <w:sz w:val="32"/>
          <w:szCs w:val="32"/>
          <w:shd w:val="clear" w:color="auto" w:fill="FFFFFF"/>
        </w:rPr>
        <w:t>四、政府信息公开行政复议、行政诉讼情况</w:t>
      </w:r>
    </w:p>
    <w:p>
      <w:pPr>
        <w:pStyle w:val="2"/>
      </w:pP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fixed"/>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97" w:hRule="atLeast"/>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行政复议</w:t>
            </w:r>
          </w:p>
        </w:tc>
        <w:tc>
          <w:tcPr>
            <w:tcW w:w="5997" w:type="dxa"/>
            <w:gridSpan w:val="10"/>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47" w:hRule="atLeast"/>
          <w:jc w:val="center"/>
        </w:trPr>
        <w:tc>
          <w:tcPr>
            <w:tcW w:w="604"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ind w:left="-149" w:leftChars="-71" w:right="-170" w:rightChars="-81"/>
              <w:jc w:val="center"/>
              <w:rPr>
                <w:rFonts w:ascii="黑体" w:hAnsi="黑体" w:eastAsia="黑体"/>
                <w:kern w:val="0"/>
                <w:sz w:val="20"/>
                <w:szCs w:val="20"/>
              </w:rPr>
            </w:pPr>
            <w:r>
              <w:rPr>
                <w:rFonts w:ascii="黑体" w:hAnsi="黑体" w:eastAsia="黑体"/>
                <w:kern w:val="0"/>
                <w:sz w:val="20"/>
                <w:szCs w:val="20"/>
              </w:rPr>
              <w:t>结果</w:t>
            </w:r>
          </w:p>
          <w:p>
            <w:pPr>
              <w:widowControl/>
              <w:ind w:left="-149" w:leftChars="-71" w:right="-170" w:rightChars="-81"/>
              <w:jc w:val="center"/>
              <w:rPr>
                <w:rFonts w:ascii="黑体" w:hAnsi="黑体" w:eastAsia="黑体"/>
              </w:rPr>
            </w:pPr>
            <w:r>
              <w:rPr>
                <w:rFonts w:ascii="黑体" w:hAnsi="黑体" w:eastAsia="黑体"/>
                <w:kern w:val="0"/>
                <w:sz w:val="20"/>
                <w:szCs w:val="20"/>
              </w:rPr>
              <w:t>维持</w:t>
            </w:r>
          </w:p>
        </w:tc>
        <w:tc>
          <w:tcPr>
            <w:tcW w:w="604" w:type="dxa"/>
            <w:vMerge w:val="restart"/>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43" w:leftChars="-21" w:right="-132" w:rightChars="-63" w:hanging="1"/>
              <w:jc w:val="center"/>
              <w:rPr>
                <w:rFonts w:ascii="黑体" w:hAnsi="黑体" w:eastAsia="黑体"/>
              </w:rPr>
            </w:pPr>
            <w:r>
              <w:rPr>
                <w:rFonts w:ascii="黑体" w:hAnsi="黑体" w:eastAsia="黑体"/>
                <w:kern w:val="0"/>
                <w:sz w:val="20"/>
                <w:szCs w:val="20"/>
              </w:rPr>
              <w:t>结果纠正</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82" w:leftChars="-39" w:right="-97" w:rightChars="-46"/>
              <w:jc w:val="center"/>
              <w:rPr>
                <w:rFonts w:ascii="黑体" w:hAnsi="黑体" w:eastAsia="黑体"/>
              </w:rPr>
            </w:pPr>
            <w:r>
              <w:rPr>
                <w:rFonts w:ascii="黑体" w:hAnsi="黑体" w:eastAsia="黑体"/>
                <w:kern w:val="0"/>
                <w:sz w:val="20"/>
                <w:szCs w:val="20"/>
              </w:rPr>
              <w:t>其他结果</w:t>
            </w:r>
          </w:p>
        </w:tc>
        <w:tc>
          <w:tcPr>
            <w:tcW w:w="604"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18" w:leftChars="-56" w:right="-118" w:rightChars="-56"/>
              <w:jc w:val="center"/>
              <w:rPr>
                <w:rFonts w:ascii="黑体" w:hAnsi="黑体" w:eastAsia="黑体"/>
                <w:kern w:val="0"/>
                <w:sz w:val="20"/>
                <w:szCs w:val="20"/>
              </w:rPr>
            </w:pPr>
            <w:r>
              <w:rPr>
                <w:rFonts w:ascii="黑体" w:hAnsi="黑体" w:eastAsia="黑体"/>
                <w:kern w:val="0"/>
                <w:sz w:val="20"/>
                <w:szCs w:val="20"/>
              </w:rPr>
              <w:t>尚未</w:t>
            </w:r>
          </w:p>
          <w:p>
            <w:pPr>
              <w:widowControl/>
              <w:ind w:left="-118" w:leftChars="-56" w:right="-118" w:rightChars="-56"/>
              <w:jc w:val="center"/>
              <w:rPr>
                <w:rFonts w:ascii="黑体" w:hAnsi="黑体" w:eastAsia="黑体"/>
              </w:rPr>
            </w:pPr>
            <w:r>
              <w:rPr>
                <w:rFonts w:ascii="黑体" w:hAnsi="黑体" w:eastAsia="黑体"/>
                <w:kern w:val="0"/>
                <w:sz w:val="20"/>
                <w:szCs w:val="20"/>
              </w:rPr>
              <w:t>审结</w:t>
            </w:r>
          </w:p>
        </w:tc>
        <w:tc>
          <w:tcPr>
            <w:tcW w:w="658" w:type="dxa"/>
            <w:vMerge w:val="restart"/>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spacing w:line="320" w:lineRule="exact"/>
              <w:jc w:val="center"/>
              <w:rPr>
                <w:rFonts w:ascii="黑体" w:hAnsi="黑体" w:eastAsia="黑体"/>
                <w:kern w:val="0"/>
                <w:sz w:val="20"/>
                <w:szCs w:val="20"/>
              </w:rPr>
            </w:pPr>
            <w:r>
              <w:rPr>
                <w:rFonts w:ascii="黑体" w:hAnsi="黑体" w:eastAsia="黑体"/>
                <w:kern w:val="0"/>
                <w:sz w:val="20"/>
                <w:szCs w:val="20"/>
              </w:rPr>
              <w:t>总</w:t>
            </w:r>
          </w:p>
          <w:p>
            <w:pPr>
              <w:widowControl/>
              <w:spacing w:line="320" w:lineRule="exact"/>
              <w:jc w:val="center"/>
              <w:rPr>
                <w:rFonts w:ascii="黑体" w:hAnsi="黑体" w:eastAsia="黑体"/>
              </w:rPr>
            </w:pPr>
            <w:r>
              <w:rPr>
                <w:rFonts w:ascii="黑体" w:hAnsi="黑体" w:eastAsia="黑体"/>
                <w:kern w:val="0"/>
                <w:sz w:val="20"/>
                <w:szCs w:val="20"/>
              </w:rPr>
              <w:t>计</w:t>
            </w:r>
          </w:p>
        </w:tc>
        <w:tc>
          <w:tcPr>
            <w:tcW w:w="2970"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bookmarkStart w:id="9" w:name="_Hlk67039688"/>
            <w:r>
              <w:rPr>
                <w:rFonts w:ascii="黑体" w:hAnsi="黑体" w:eastAsia="黑体"/>
                <w:kern w:val="0"/>
                <w:sz w:val="20"/>
                <w:szCs w:val="20"/>
              </w:rPr>
              <w:t>复议后起诉</w:t>
            </w:r>
            <w:bookmarkEnd w:id="9"/>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06" w:hRule="atLeast"/>
          <w:jc w:val="center"/>
        </w:trPr>
        <w:tc>
          <w:tcPr>
            <w:tcW w:w="604"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nil"/>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04"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658" w:type="dxa"/>
            <w:vMerge w:val="continue"/>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rPr>
                <w:rFonts w:ascii="黑体" w:hAnsi="黑体" w:eastAsia="黑体"/>
                <w:sz w:val="24"/>
              </w:rPr>
            </w:pP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105" w:leftChars="-50" w:right="-126" w:rightChars="-60"/>
              <w:jc w:val="center"/>
              <w:rPr>
                <w:rFonts w:ascii="黑体" w:hAnsi="黑体" w:eastAsia="黑体"/>
              </w:rPr>
            </w:pPr>
            <w:r>
              <w:rPr>
                <w:rFonts w:ascii="黑体" w:hAnsi="黑体" w:eastAsia="黑体"/>
                <w:kern w:val="0"/>
                <w:sz w:val="20"/>
                <w:szCs w:val="20"/>
              </w:rPr>
              <w:t>结果维持</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ind w:left="-86" w:leftChars="-41" w:right="-88" w:rightChars="-42"/>
              <w:jc w:val="center"/>
              <w:rPr>
                <w:rFonts w:ascii="黑体" w:hAnsi="黑体" w:eastAsia="黑体"/>
              </w:rPr>
            </w:pPr>
            <w:r>
              <w:rPr>
                <w:rFonts w:ascii="黑体" w:hAnsi="黑体" w:eastAsia="黑体"/>
                <w:kern w:val="0"/>
                <w:sz w:val="20"/>
                <w:szCs w:val="20"/>
              </w:rPr>
              <w:t>结果纠正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26" w:leftChars="-60" w:right="-136" w:rightChars="-65"/>
              <w:jc w:val="center"/>
              <w:rPr>
                <w:rFonts w:ascii="黑体" w:hAnsi="黑体" w:eastAsia="黑体"/>
                <w:kern w:val="0"/>
                <w:sz w:val="20"/>
                <w:szCs w:val="20"/>
              </w:rPr>
            </w:pPr>
            <w:r>
              <w:rPr>
                <w:rFonts w:ascii="黑体" w:hAnsi="黑体" w:eastAsia="黑体"/>
                <w:kern w:val="0"/>
                <w:sz w:val="20"/>
                <w:szCs w:val="20"/>
              </w:rPr>
              <w:t>其他</w:t>
            </w:r>
          </w:p>
          <w:p>
            <w:pPr>
              <w:widowControl/>
              <w:ind w:left="-126" w:leftChars="-60" w:right="-136" w:rightChars="-65"/>
              <w:jc w:val="center"/>
              <w:rPr>
                <w:rFonts w:ascii="黑体" w:hAnsi="黑体" w:eastAsia="黑体"/>
              </w:rPr>
            </w:pPr>
            <w:r>
              <w:rPr>
                <w:rFonts w:ascii="黑体" w:hAnsi="黑体" w:eastAsia="黑体"/>
                <w:kern w:val="0"/>
                <w:sz w:val="20"/>
                <w:szCs w:val="20"/>
              </w:rPr>
              <w:t>结果</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64" w:leftChars="-78" w:right="-153" w:rightChars="-73"/>
              <w:jc w:val="center"/>
              <w:rPr>
                <w:rFonts w:ascii="黑体" w:hAnsi="黑体" w:eastAsia="黑体"/>
                <w:kern w:val="0"/>
                <w:sz w:val="20"/>
                <w:szCs w:val="20"/>
              </w:rPr>
            </w:pPr>
            <w:r>
              <w:rPr>
                <w:rFonts w:ascii="黑体" w:hAnsi="黑体" w:eastAsia="黑体"/>
                <w:kern w:val="0"/>
                <w:sz w:val="20"/>
                <w:szCs w:val="20"/>
              </w:rPr>
              <w:t>尚未</w:t>
            </w:r>
          </w:p>
          <w:p>
            <w:pPr>
              <w:widowControl/>
              <w:ind w:left="-164" w:leftChars="-78" w:right="-153" w:rightChars="-73"/>
              <w:jc w:val="center"/>
              <w:rPr>
                <w:rFonts w:ascii="黑体" w:hAnsi="黑体" w:eastAsia="黑体"/>
              </w:rPr>
            </w:pPr>
            <w:r>
              <w:rPr>
                <w:rFonts w:ascii="黑体" w:hAnsi="黑体" w:eastAsia="黑体"/>
                <w:kern w:val="0"/>
                <w:sz w:val="20"/>
                <w:szCs w:val="20"/>
              </w:rPr>
              <w:t>审结</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99" w:leftChars="-47" w:right="-78" w:rightChars="-37"/>
              <w:jc w:val="center"/>
              <w:rPr>
                <w:rFonts w:ascii="黑体" w:hAnsi="黑体" w:eastAsia="黑体"/>
              </w:rPr>
            </w:pPr>
            <w:r>
              <w:rPr>
                <w:rFonts w:ascii="黑体" w:hAnsi="黑体" w:eastAsia="黑体"/>
                <w:kern w:val="0"/>
                <w:sz w:val="20"/>
                <w:szCs w:val="20"/>
              </w:rPr>
              <w:t>结果维持</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36" w:leftChars="-65" w:right="-124" w:rightChars="-59"/>
              <w:jc w:val="center"/>
              <w:rPr>
                <w:rFonts w:ascii="黑体" w:hAnsi="黑体" w:eastAsia="黑体"/>
                <w:kern w:val="0"/>
                <w:sz w:val="20"/>
                <w:szCs w:val="20"/>
              </w:rPr>
            </w:pPr>
            <w:r>
              <w:rPr>
                <w:rFonts w:ascii="黑体" w:hAnsi="黑体" w:eastAsia="黑体"/>
                <w:kern w:val="0"/>
                <w:sz w:val="20"/>
                <w:szCs w:val="20"/>
              </w:rPr>
              <w:t>结果</w:t>
            </w:r>
          </w:p>
          <w:p>
            <w:pPr>
              <w:widowControl/>
              <w:ind w:left="-136" w:leftChars="-65" w:right="-124" w:rightChars="-59"/>
              <w:jc w:val="center"/>
              <w:rPr>
                <w:rFonts w:ascii="黑体" w:hAnsi="黑体" w:eastAsia="黑体"/>
              </w:rPr>
            </w:pPr>
            <w:r>
              <w:rPr>
                <w:rFonts w:ascii="黑体" w:hAnsi="黑体" w:eastAsia="黑体"/>
                <w:kern w:val="0"/>
                <w:sz w:val="20"/>
                <w:szCs w:val="20"/>
              </w:rPr>
              <w:t>纠正</w:t>
            </w:r>
          </w:p>
        </w:tc>
        <w:tc>
          <w:tcPr>
            <w:tcW w:w="605"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173" w:leftChars="-83" w:right="-134" w:rightChars="-64" w:hanging="1"/>
              <w:jc w:val="center"/>
              <w:rPr>
                <w:rFonts w:ascii="黑体" w:hAnsi="黑体" w:eastAsia="黑体"/>
                <w:kern w:val="0"/>
                <w:sz w:val="20"/>
                <w:szCs w:val="20"/>
              </w:rPr>
            </w:pPr>
            <w:r>
              <w:rPr>
                <w:rFonts w:ascii="黑体" w:hAnsi="黑体" w:eastAsia="黑体"/>
                <w:kern w:val="0"/>
                <w:sz w:val="20"/>
                <w:szCs w:val="20"/>
              </w:rPr>
              <w:t>其他</w:t>
            </w:r>
          </w:p>
          <w:p>
            <w:pPr>
              <w:widowControl/>
              <w:ind w:left="-173" w:leftChars="-83" w:right="-134" w:rightChars="-64" w:hanging="1"/>
              <w:jc w:val="center"/>
              <w:rPr>
                <w:rFonts w:ascii="黑体" w:hAnsi="黑体" w:eastAsia="黑体"/>
              </w:rPr>
            </w:pPr>
            <w:r>
              <w:rPr>
                <w:rFonts w:ascii="黑体" w:hAnsi="黑体" w:eastAsia="黑体"/>
                <w:kern w:val="0"/>
                <w:sz w:val="20"/>
                <w:szCs w:val="20"/>
              </w:rPr>
              <w:t>结果</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ind w:left="-67" w:leftChars="-33" w:right="-105" w:rightChars="-50" w:hanging="2" w:hangingChars="1"/>
              <w:jc w:val="center"/>
              <w:rPr>
                <w:rFonts w:ascii="黑体" w:hAnsi="黑体" w:eastAsia="黑体"/>
              </w:rPr>
            </w:pPr>
            <w:r>
              <w:rPr>
                <w:rFonts w:ascii="黑体" w:hAnsi="黑体" w:eastAsia="黑体"/>
                <w:kern w:val="0"/>
                <w:sz w:val="20"/>
                <w:szCs w:val="20"/>
              </w:rPr>
              <w:t>尚未审结</w:t>
            </w:r>
          </w:p>
        </w:tc>
        <w:tc>
          <w:tcPr>
            <w:tcW w:w="606" w:type="dxa"/>
            <w:tcBorders>
              <w:top w:val="single" w:color="auto" w:sz="8" w:space="0"/>
              <w:left w:val="nil"/>
              <w:bottom w:val="single" w:color="auto" w:sz="8" w:space="0"/>
              <w:right w:val="single" w:color="auto" w:sz="8" w:space="0"/>
            </w:tcBorders>
            <w:shd w:val="clear" w:color="auto" w:fill="auto"/>
            <w:tcMar>
              <w:left w:w="108" w:type="dxa"/>
              <w:right w:w="108" w:type="dxa"/>
            </w:tcMar>
            <w:vAlign w:val="center"/>
          </w:tcPr>
          <w:p>
            <w:pPr>
              <w:widowControl/>
              <w:jc w:val="center"/>
              <w:rPr>
                <w:rFonts w:ascii="黑体" w:hAnsi="黑体" w:eastAsia="黑体"/>
              </w:rPr>
            </w:pPr>
            <w:r>
              <w:rPr>
                <w:rFonts w:ascii="黑体" w:hAnsi="黑体" w:eastAsia="黑体"/>
                <w:kern w:val="0"/>
                <w:sz w:val="20"/>
                <w:szCs w:val="20"/>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4"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58"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550"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5"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c>
          <w:tcPr>
            <w:tcW w:w="606" w:type="dxa"/>
            <w:tcBorders>
              <w:top w:val="nil"/>
              <w:left w:val="nil"/>
              <w:bottom w:val="single" w:color="auto" w:sz="8" w:space="0"/>
              <w:right w:val="single" w:color="auto" w:sz="8" w:space="0"/>
            </w:tcBorders>
            <w:shd w:val="clear" w:color="auto" w:fill="auto"/>
            <w:tcMar>
              <w:left w:w="108" w:type="dxa"/>
              <w:right w:w="108" w:type="dxa"/>
            </w:tcMar>
            <w:vAlign w:val="center"/>
          </w:tcPr>
          <w:p>
            <w:pPr>
              <w:widowControl/>
              <w:spacing w:after="180"/>
              <w:jc w:val="center"/>
              <w:rPr>
                <w:rFonts w:ascii="Times New Roman" w:hAnsi="Times New Roman"/>
              </w:rPr>
            </w:pPr>
            <w:r>
              <w:rPr>
                <w:rFonts w:hint="eastAsia" w:ascii="Times New Roman" w:hAnsi="Times New Roman"/>
              </w:rPr>
              <w:t>0</w:t>
            </w:r>
          </w:p>
        </w:tc>
      </w:tr>
    </w:tbl>
    <w:p>
      <w:pPr>
        <w:widowControl/>
        <w:jc w:val="left"/>
        <w:rPr>
          <w:rFonts w:ascii="仿宋_GB2312" w:hAnsi="Calibri" w:eastAsia="仿宋_GB2312" w:cs="Calibri"/>
          <w:color w:val="FF0000"/>
          <w:kern w:val="0"/>
          <w:szCs w:val="21"/>
        </w:rPr>
      </w:pPr>
    </w:p>
    <w:p>
      <w:pPr>
        <w:pStyle w:val="5"/>
        <w:widowControl/>
        <w:numPr>
          <w:ilvl w:val="0"/>
          <w:numId w:val="1"/>
        </w:numPr>
        <w:shd w:val="clear" w:color="auto" w:fill="FFFFFF"/>
        <w:spacing w:beforeAutospacing="0" w:afterAutospacing="0" w:line="560" w:lineRule="exact"/>
        <w:ind w:firstLine="640" w:firstLineChars="200"/>
        <w:jc w:val="both"/>
        <w:rPr>
          <w:rFonts w:ascii="黑体" w:hAnsi="黑体" w:eastAsia="黑体" w:cs="黑体"/>
          <w:bCs/>
          <w:color w:val="333333"/>
          <w:sz w:val="32"/>
          <w:szCs w:val="32"/>
          <w:shd w:val="clear" w:color="auto" w:fill="FFFFFF"/>
        </w:rPr>
      </w:pPr>
      <w:r>
        <w:rPr>
          <w:rFonts w:hint="eastAsia" w:ascii="黑体" w:hAnsi="黑体" w:eastAsia="黑体" w:cs="黑体"/>
          <w:bCs/>
          <w:color w:val="333333"/>
          <w:sz w:val="32"/>
          <w:szCs w:val="32"/>
          <w:shd w:val="clear" w:color="auto" w:fill="FFFFFF"/>
        </w:rPr>
        <w:t>存在的主要问题及改进情况</w:t>
      </w:r>
    </w:p>
    <w:p>
      <w:pPr>
        <w:spacing w:line="58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2024年，威海市环翠区自然资源局在推进政务公开工作方面完成了一些工作，但还存在一定问题：一是政府信息公开时效性有待提升，主动公开的内容需要进一步细化；二是个别信息审核把关不严，在政府网站上公开的信息，有时还出现错敏词，专有名词表达不严谨等问题。</w:t>
      </w:r>
    </w:p>
    <w:p>
      <w:pPr>
        <w:spacing w:line="580" w:lineRule="exact"/>
        <w:ind w:firstLine="640" w:firstLineChars="200"/>
        <w:rPr>
          <w:rFonts w:ascii="Times New Roman" w:hAnsi="Times New Roman" w:eastAsia="仿宋_GB2312" w:cs="Times New Roman"/>
          <w:color w:val="FF0000"/>
          <w:sz w:val="32"/>
          <w:szCs w:val="32"/>
          <w:highlight w:val="yellow"/>
        </w:rPr>
      </w:pPr>
      <w:r>
        <w:rPr>
          <w:rFonts w:hint="eastAsia" w:ascii="Times New Roman" w:hAnsi="Times New Roman" w:eastAsia="仿宋_GB2312" w:cs="Times New Roman"/>
          <w:sz w:val="32"/>
          <w:szCs w:val="32"/>
        </w:rPr>
        <w:t>2025年，威海市环翠区自然资源局将多借鉴学习先进部门经验，提高网上信息办理质量、快速受理、及时反馈，提高回复率和及时性，改进完善信息发布内容，丰富政策解读的形式，增加视频、动画解读等解读数量，对上级通报、群众网站找错和自查中发现的错敏词及错误链接第一时间进行整改，保障公开政务信息的准确性、严肃性和规范性。</w:t>
      </w:r>
    </w:p>
    <w:p>
      <w:pPr>
        <w:pStyle w:val="5"/>
        <w:widowControl/>
        <w:shd w:val="clear" w:color="auto" w:fill="FFFFFF"/>
        <w:spacing w:beforeAutospacing="0" w:afterAutospacing="0" w:line="560" w:lineRule="exact"/>
        <w:ind w:firstLine="640" w:firstLineChars="200"/>
        <w:jc w:val="both"/>
        <w:rPr>
          <w:rFonts w:ascii="黑体" w:hAnsi="黑体" w:eastAsia="黑体" w:cs="黑体"/>
          <w:bCs/>
          <w:sz w:val="32"/>
          <w:szCs w:val="32"/>
          <w:shd w:val="clear" w:color="auto" w:fill="FFFFFF"/>
        </w:rPr>
      </w:pPr>
      <w:r>
        <w:rPr>
          <w:rFonts w:hint="eastAsia" w:ascii="黑体" w:hAnsi="黑体" w:eastAsia="黑体" w:cs="黑体"/>
          <w:bCs/>
          <w:sz w:val="32"/>
          <w:szCs w:val="32"/>
          <w:shd w:val="clear" w:color="auto" w:fill="FFFFFF"/>
        </w:rPr>
        <w:t>六、其他需要报告的事项</w:t>
      </w:r>
    </w:p>
    <w:p>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1</w:t>
      </w:r>
      <w:r>
        <w:rPr>
          <w:rFonts w:ascii="Times New Roman" w:hAnsi="Times New Roman" w:eastAsia="仿宋_GB2312"/>
          <w:sz w:val="32"/>
          <w:szCs w:val="32"/>
        </w:rPr>
        <w:t>.</w:t>
      </w:r>
      <w:r>
        <w:rPr>
          <w:rFonts w:ascii="Times New Roman" w:hAnsi="Times New Roman" w:eastAsia="楷体_GB2312"/>
          <w:sz w:val="32"/>
          <w:szCs w:val="32"/>
        </w:rPr>
        <w:t>政府信息公开收费方面：</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hint="eastAsia" w:ascii="Times New Roman" w:hAnsi="Times New Roman" w:eastAsia="仿宋_GB2312"/>
          <w:sz w:val="32"/>
          <w:szCs w:val="32"/>
        </w:rPr>
        <w:t>威海市环翠区自然资源局</w:t>
      </w:r>
      <w:r>
        <w:rPr>
          <w:rFonts w:ascii="Times New Roman" w:hAnsi="Times New Roman" w:eastAsia="仿宋_GB2312"/>
          <w:sz w:val="32"/>
          <w:szCs w:val="32"/>
        </w:rPr>
        <w:t>未收取政府信息公开信息处理费。</w:t>
      </w:r>
    </w:p>
    <w:p>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ascii="Times New Roman" w:hAnsi="Times New Roman"/>
          <w:sz w:val="32"/>
          <w:szCs w:val="32"/>
        </w:rPr>
        <w:t>2</w:t>
      </w:r>
      <w:r>
        <w:rPr>
          <w:rFonts w:ascii="Times New Roman" w:hAnsi="Times New Roman" w:eastAsia="仿宋_GB2312"/>
          <w:sz w:val="32"/>
          <w:szCs w:val="32"/>
        </w:rPr>
        <w:t>.</w:t>
      </w:r>
      <w:r>
        <w:rPr>
          <w:rFonts w:ascii="Times New Roman" w:hAnsi="Times New Roman" w:eastAsia="楷体_GB2312"/>
          <w:sz w:val="32"/>
          <w:szCs w:val="32"/>
        </w:rPr>
        <w:t>人大代表、政协委员提案办理方面：</w:t>
      </w:r>
      <w:r>
        <w:rPr>
          <w:rFonts w:ascii="Times New Roman" w:hAnsi="Times New Roman"/>
          <w:sz w:val="32"/>
          <w:szCs w:val="32"/>
        </w:rPr>
        <w:t>202</w:t>
      </w:r>
      <w:r>
        <w:rPr>
          <w:rFonts w:hint="eastAsia" w:ascii="Times New Roman" w:hAnsi="Times New Roman"/>
          <w:sz w:val="32"/>
          <w:szCs w:val="32"/>
        </w:rPr>
        <w:t>4</w:t>
      </w:r>
      <w:r>
        <w:rPr>
          <w:rFonts w:ascii="Times New Roman" w:hAnsi="Times New Roman" w:eastAsia="仿宋_GB2312"/>
          <w:sz w:val="32"/>
          <w:szCs w:val="32"/>
        </w:rPr>
        <w:t>年</w:t>
      </w:r>
      <w:r>
        <w:rPr>
          <w:rFonts w:hint="eastAsia" w:ascii="Times New Roman" w:hAnsi="Times New Roman" w:eastAsia="仿宋_GB2312"/>
          <w:sz w:val="32"/>
          <w:szCs w:val="32"/>
        </w:rPr>
        <w:t>威海市环翠区自然资源局未</w:t>
      </w:r>
      <w:r>
        <w:rPr>
          <w:rFonts w:ascii="Times New Roman" w:hAnsi="Times New Roman" w:eastAsia="仿宋_GB2312"/>
          <w:sz w:val="32"/>
          <w:szCs w:val="32"/>
        </w:rPr>
        <w:t>承办人大代表、政协提案</w:t>
      </w:r>
      <w:r>
        <w:rPr>
          <w:rFonts w:hint="eastAsia" w:ascii="Times New Roman" w:hAnsi="Times New Roman" w:eastAsia="仿宋_GB2312"/>
          <w:sz w:val="32"/>
          <w:szCs w:val="32"/>
        </w:rPr>
        <w:t>办理</w:t>
      </w:r>
      <w:r>
        <w:rPr>
          <w:rFonts w:ascii="Times New Roman" w:hAnsi="Times New Roman" w:eastAsia="仿宋_GB2312"/>
          <w:sz w:val="32"/>
          <w:szCs w:val="32"/>
        </w:rPr>
        <w:t>。</w:t>
      </w:r>
    </w:p>
    <w:p>
      <w:pPr>
        <w:pStyle w:val="5"/>
        <w:widowControl/>
        <w:autoSpaceDE w:val="0"/>
        <w:spacing w:beforeAutospacing="0" w:afterAutospacing="0" w:line="560" w:lineRule="exact"/>
        <w:ind w:firstLine="645"/>
        <w:jc w:val="both"/>
        <w:rPr>
          <w:rFonts w:ascii="Times New Roman" w:hAnsi="Times New Roman" w:eastAsia="仿宋_GB2312"/>
          <w:sz w:val="32"/>
          <w:szCs w:val="32"/>
        </w:rPr>
      </w:pPr>
      <w:r>
        <w:rPr>
          <w:rFonts w:hint="eastAsia" w:ascii="Times New Roman" w:hAnsi="Times New Roman" w:eastAsia="楷体_GB2312"/>
          <w:sz w:val="32"/>
          <w:szCs w:val="32"/>
        </w:rPr>
        <w:t>3. 落实上级政务公开要点做法：</w:t>
      </w:r>
      <w:r>
        <w:rPr>
          <w:rFonts w:ascii="Times New Roman" w:hAnsi="Times New Roman" w:eastAsia="仿宋_GB2312"/>
          <w:sz w:val="32"/>
          <w:szCs w:val="32"/>
        </w:rPr>
        <w:t>根据年度政务公开工作要点，及时对自然资源领域等内容在局网站进行公开，推动年度政务公开重点工作任务落实到位。</w:t>
      </w:r>
    </w:p>
    <w:p>
      <w:pPr>
        <w:spacing w:line="560" w:lineRule="exact"/>
        <w:ind w:firstLine="646" w:firstLineChars="202"/>
        <w:rPr>
          <w:rFonts w:ascii="Times New Roman" w:hAnsi="Times New Roman" w:eastAsia="仿宋_GB2312" w:cs="Times New Roman"/>
          <w:kern w:val="0"/>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w:t>
      </w:r>
      <w:r>
        <w:rPr>
          <w:rFonts w:ascii="Times New Roman" w:hAnsi="Times New Roman" w:eastAsia="楷体_GB2312" w:cs="Times New Roman"/>
          <w:sz w:val="32"/>
          <w:szCs w:val="32"/>
        </w:rPr>
        <w:t>其他方面：</w:t>
      </w:r>
      <w:r>
        <w:rPr>
          <w:rFonts w:hint="eastAsia" w:ascii="Times New Roman" w:hAnsi="Times New Roman" w:eastAsia="仿宋_GB2312" w:cs="Times New Roman"/>
          <w:kern w:val="0"/>
          <w:sz w:val="32"/>
          <w:szCs w:val="32"/>
        </w:rPr>
        <w:t>为了更好地运行政务信息公开，</w:t>
      </w:r>
      <w:r>
        <w:rPr>
          <w:rFonts w:hint="eastAsia" w:ascii="Times New Roman" w:hAnsi="Times New Roman" w:eastAsia="仿宋_GB2312" w:cs="Times New Roman"/>
          <w:sz w:val="32"/>
          <w:szCs w:val="32"/>
        </w:rPr>
        <w:t>威海市环翠</w:t>
      </w:r>
      <w:r>
        <w:rPr>
          <w:rFonts w:hint="eastAsia" w:ascii="Times New Roman" w:hAnsi="Times New Roman" w:eastAsia="仿宋_GB2312" w:cs="Times New Roman"/>
          <w:kern w:val="0"/>
          <w:sz w:val="32"/>
          <w:szCs w:val="32"/>
        </w:rPr>
        <w:t>区</w:t>
      </w:r>
      <w:r>
        <w:rPr>
          <w:rFonts w:ascii="Times New Roman" w:hAnsi="Times New Roman" w:eastAsia="仿宋_GB2312" w:cs="Times New Roman"/>
          <w:kern w:val="0"/>
          <w:sz w:val="32"/>
          <w:szCs w:val="32"/>
        </w:rPr>
        <w:t>自然资源局</w:t>
      </w:r>
      <w:r>
        <w:rPr>
          <w:rFonts w:hint="eastAsia" w:ascii="Times New Roman" w:hAnsi="Times New Roman" w:eastAsia="仿宋_GB2312" w:cs="Times New Roman"/>
          <w:kern w:val="0"/>
          <w:sz w:val="32"/>
          <w:szCs w:val="32"/>
        </w:rPr>
        <w:t>出台了政府信息公开工作相关制度，确保政务信息公开工作正常开展。一是加强信息审核监管，实行分管领导负总责，明确专门科室、专门人员负责本部门政府网站的管理和信息录入，严格信息发布审核程序。二是做好平台建设，开展</w:t>
      </w:r>
      <w:r>
        <w:rPr>
          <w:rFonts w:hint="eastAsia" w:ascii="Times New Roman" w:hAnsi="Times New Roman" w:eastAsia="楷体_GB2312" w:cs="Times New Roman"/>
          <w:sz w:val="32"/>
          <w:szCs w:val="32"/>
        </w:rPr>
        <w:t>“6</w:t>
      </w:r>
      <w:r>
        <w:rPr>
          <w:rFonts w:hint="eastAsia" w:ascii="宋体" w:hAnsi="宋体" w:eastAsia="宋体" w:cs="宋体"/>
          <w:sz w:val="32"/>
          <w:szCs w:val="32"/>
        </w:rPr>
        <w:t>•</w:t>
      </w:r>
      <w:r>
        <w:rPr>
          <w:rFonts w:hint="eastAsia" w:ascii="Times New Roman" w:hAnsi="Times New Roman" w:eastAsia="楷体_GB2312" w:cs="Times New Roman"/>
          <w:sz w:val="32"/>
          <w:szCs w:val="32"/>
        </w:rPr>
        <w:t>25</w:t>
      </w:r>
      <w:r>
        <w:rPr>
          <w:rFonts w:hint="eastAsia" w:ascii="Times New Roman" w:hAnsi="Times New Roman" w:eastAsia="仿宋_GB2312" w:cs="Times New Roman"/>
          <w:kern w:val="0"/>
          <w:sz w:val="32"/>
          <w:szCs w:val="32"/>
        </w:rPr>
        <w:t>土地日</w:t>
      </w:r>
      <w:r>
        <w:rPr>
          <w:rFonts w:hint="eastAsia" w:ascii="Times New Roman" w:hAnsi="Times New Roman" w:eastAsia="楷体_GB2312" w:cs="Times New Roman"/>
          <w:sz w:val="32"/>
          <w:szCs w:val="32"/>
        </w:rPr>
        <w:t>”、“8</w:t>
      </w:r>
      <w:r>
        <w:rPr>
          <w:rFonts w:hint="eastAsia" w:ascii="宋体" w:hAnsi="宋体" w:eastAsia="宋体" w:cs="宋体"/>
          <w:sz w:val="32"/>
          <w:szCs w:val="32"/>
        </w:rPr>
        <w:t>•</w:t>
      </w:r>
      <w:r>
        <w:rPr>
          <w:rFonts w:hint="eastAsia" w:ascii="Times New Roman" w:hAnsi="Times New Roman" w:eastAsia="楷体_GB2312" w:cs="Times New Roman"/>
          <w:sz w:val="32"/>
          <w:szCs w:val="32"/>
        </w:rPr>
        <w:t>29</w:t>
      </w:r>
      <w:r>
        <w:rPr>
          <w:rFonts w:hint="eastAsia" w:ascii="Times New Roman" w:hAnsi="Times New Roman" w:eastAsia="仿宋_GB2312" w:cs="Times New Roman"/>
          <w:kern w:val="0"/>
          <w:sz w:val="32"/>
          <w:szCs w:val="32"/>
        </w:rPr>
        <w:t>测绘法宣传日”等宣传活动，充分运用</w:t>
      </w:r>
      <w:r>
        <w:rPr>
          <w:rFonts w:ascii="Times New Roman" w:hAnsi="Times New Roman" w:eastAsia="仿宋_GB2312" w:cs="Times New Roman"/>
          <w:kern w:val="0"/>
          <w:sz w:val="32"/>
          <w:szCs w:val="32"/>
        </w:rPr>
        <w:t>自然资源局</w:t>
      </w:r>
      <w:r>
        <w:rPr>
          <w:rFonts w:hint="eastAsia" w:ascii="Times New Roman" w:hAnsi="Times New Roman" w:eastAsia="仿宋_GB2312" w:cs="Times New Roman"/>
          <w:kern w:val="0"/>
          <w:sz w:val="32"/>
          <w:szCs w:val="32"/>
        </w:rPr>
        <w:t>政务网站、最威海是环翠App等网络平台，将自然资源政策法律法规、国家版图意识等内容送到群众身边。</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仿宋_GB2312"/>
    <w:panose1 w:val="02010601030101010101"/>
    <w:charset w:val="86"/>
    <w:family w:val="auto"/>
    <w:pitch w:val="default"/>
    <w:sig w:usb0="00000000" w:usb1="00000000" w:usb2="0000001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BEA31A8"/>
    <w:multiLevelType w:val="singleLevel"/>
    <w:tmpl w:val="2BEA31A8"/>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MDczZmYxYmQwMWRiNjMxNjU0MjJjNGUxOWM4MjZkNmMifQ=="/>
    <w:docVar w:name="KSO_WPS_MARK_KEY" w:val="d74e7216-fd27-4d41-94af-4192bd8e971d"/>
  </w:docVars>
  <w:rsids>
    <w:rsidRoot w:val="11AF18C8"/>
    <w:rsid w:val="00020FB5"/>
    <w:rsid w:val="000266E3"/>
    <w:rsid w:val="0006483B"/>
    <w:rsid w:val="00077869"/>
    <w:rsid w:val="00080BF3"/>
    <w:rsid w:val="00094E60"/>
    <w:rsid w:val="000D1C44"/>
    <w:rsid w:val="000D2299"/>
    <w:rsid w:val="000D2FCA"/>
    <w:rsid w:val="001F2F21"/>
    <w:rsid w:val="0020796A"/>
    <w:rsid w:val="0022404B"/>
    <w:rsid w:val="00233C4E"/>
    <w:rsid w:val="0024025F"/>
    <w:rsid w:val="00261593"/>
    <w:rsid w:val="002823E5"/>
    <w:rsid w:val="0029614D"/>
    <w:rsid w:val="002A2488"/>
    <w:rsid w:val="002A40D3"/>
    <w:rsid w:val="002C754A"/>
    <w:rsid w:val="002D30E2"/>
    <w:rsid w:val="002D338E"/>
    <w:rsid w:val="00331CD9"/>
    <w:rsid w:val="003370CB"/>
    <w:rsid w:val="00375357"/>
    <w:rsid w:val="0039486A"/>
    <w:rsid w:val="003D39F4"/>
    <w:rsid w:val="003F3ADE"/>
    <w:rsid w:val="00410BE2"/>
    <w:rsid w:val="00430800"/>
    <w:rsid w:val="004349CC"/>
    <w:rsid w:val="0046279E"/>
    <w:rsid w:val="004E55B2"/>
    <w:rsid w:val="0055096D"/>
    <w:rsid w:val="00584771"/>
    <w:rsid w:val="00593D9A"/>
    <w:rsid w:val="0059617A"/>
    <w:rsid w:val="005C0652"/>
    <w:rsid w:val="00604AE7"/>
    <w:rsid w:val="00607E90"/>
    <w:rsid w:val="00630748"/>
    <w:rsid w:val="006556BF"/>
    <w:rsid w:val="00661938"/>
    <w:rsid w:val="006A1B7D"/>
    <w:rsid w:val="006B7592"/>
    <w:rsid w:val="006C0807"/>
    <w:rsid w:val="00741D0F"/>
    <w:rsid w:val="007635A7"/>
    <w:rsid w:val="00772E62"/>
    <w:rsid w:val="00775DB6"/>
    <w:rsid w:val="00793C9A"/>
    <w:rsid w:val="007D6F14"/>
    <w:rsid w:val="007E606E"/>
    <w:rsid w:val="007F074B"/>
    <w:rsid w:val="007F0E0C"/>
    <w:rsid w:val="008165F8"/>
    <w:rsid w:val="0084565C"/>
    <w:rsid w:val="00862C9C"/>
    <w:rsid w:val="008647F1"/>
    <w:rsid w:val="008C5BAC"/>
    <w:rsid w:val="008E6D03"/>
    <w:rsid w:val="008E781F"/>
    <w:rsid w:val="008F134C"/>
    <w:rsid w:val="00912079"/>
    <w:rsid w:val="00912BC6"/>
    <w:rsid w:val="00924B92"/>
    <w:rsid w:val="00951C2E"/>
    <w:rsid w:val="00964034"/>
    <w:rsid w:val="009C64E6"/>
    <w:rsid w:val="00A05CE6"/>
    <w:rsid w:val="00AD1CBC"/>
    <w:rsid w:val="00AD4A87"/>
    <w:rsid w:val="00AF7845"/>
    <w:rsid w:val="00B072EA"/>
    <w:rsid w:val="00B1032F"/>
    <w:rsid w:val="00B41533"/>
    <w:rsid w:val="00B67BB3"/>
    <w:rsid w:val="00B70834"/>
    <w:rsid w:val="00C01288"/>
    <w:rsid w:val="00C1672A"/>
    <w:rsid w:val="00C424F9"/>
    <w:rsid w:val="00C520BC"/>
    <w:rsid w:val="00CB13C5"/>
    <w:rsid w:val="00CB5FBD"/>
    <w:rsid w:val="00CB73C3"/>
    <w:rsid w:val="00CC5E8C"/>
    <w:rsid w:val="00D039C7"/>
    <w:rsid w:val="00D0760A"/>
    <w:rsid w:val="00D319B8"/>
    <w:rsid w:val="00D548CD"/>
    <w:rsid w:val="00DB22B5"/>
    <w:rsid w:val="00DB7287"/>
    <w:rsid w:val="00DC79FC"/>
    <w:rsid w:val="00DE2601"/>
    <w:rsid w:val="00DE341A"/>
    <w:rsid w:val="00E01712"/>
    <w:rsid w:val="00E12B33"/>
    <w:rsid w:val="00E137B5"/>
    <w:rsid w:val="00E2585E"/>
    <w:rsid w:val="00E455AC"/>
    <w:rsid w:val="00E86673"/>
    <w:rsid w:val="00ED37FC"/>
    <w:rsid w:val="00EE1950"/>
    <w:rsid w:val="00EE75D9"/>
    <w:rsid w:val="00F0572F"/>
    <w:rsid w:val="00F1236B"/>
    <w:rsid w:val="00F81483"/>
    <w:rsid w:val="00FB47CB"/>
    <w:rsid w:val="08D157AC"/>
    <w:rsid w:val="10AFA3C6"/>
    <w:rsid w:val="11AF18C8"/>
    <w:rsid w:val="1A6A77C7"/>
    <w:rsid w:val="21E9640B"/>
    <w:rsid w:val="3F7F6D07"/>
    <w:rsid w:val="464F74E8"/>
    <w:rsid w:val="511E6463"/>
    <w:rsid w:val="54F23AC6"/>
    <w:rsid w:val="56F344A5"/>
    <w:rsid w:val="5B2F2252"/>
    <w:rsid w:val="609409AB"/>
    <w:rsid w:val="657F7FC2"/>
    <w:rsid w:val="68C9088B"/>
    <w:rsid w:val="6C7C7FF0"/>
    <w:rsid w:val="77181135"/>
    <w:rsid w:val="7BFC1E22"/>
    <w:rsid w:val="7E2277F5"/>
    <w:rsid w:val="7F5D0D7A"/>
    <w:rsid w:val="7FF3217F"/>
    <w:rsid w:val="CFD98EC0"/>
    <w:rsid w:val="F95F4281"/>
    <w:rsid w:val="FABFFB74"/>
    <w:rsid w:val="FBBB773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99"/>
    <w:pPr>
      <w:widowControl w:val="0"/>
      <w:autoSpaceDE w:val="0"/>
      <w:autoSpaceDN w:val="0"/>
      <w:adjustRightInd w:val="0"/>
    </w:pPr>
    <w:rPr>
      <w:rFonts w:ascii="方正小标宋简体" w:hAnsi="方正小标宋简体" w:eastAsia="方正小标宋简体" w:cs="方正小标宋简体"/>
      <w:color w:val="000000"/>
      <w:sz w:val="24"/>
      <w:szCs w:val="24"/>
      <w:lang w:val="en-US" w:eastAsia="zh-CN" w:bidi="ar-SA"/>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Hyperlink"/>
    <w:basedOn w:val="7"/>
    <w:qFormat/>
    <w:uiPriority w:val="0"/>
    <w:rPr>
      <w:color w:val="0563C1" w:themeColor="hyperlink"/>
      <w:u w:val="single"/>
    </w:rPr>
  </w:style>
  <w:style w:type="character" w:customStyle="1" w:styleId="9">
    <w:name w:val="页眉 Char"/>
    <w:basedOn w:val="7"/>
    <w:link w:val="4"/>
    <w:qFormat/>
    <w:uiPriority w:val="0"/>
    <w:rPr>
      <w:rFonts w:asciiTheme="minorHAnsi" w:hAnsiTheme="minorHAnsi" w:eastAsiaTheme="minorEastAsia" w:cstheme="minorBidi"/>
      <w:kern w:val="2"/>
      <w:sz w:val="18"/>
      <w:szCs w:val="18"/>
    </w:rPr>
  </w:style>
  <w:style w:type="character" w:customStyle="1" w:styleId="10">
    <w:name w:val="页脚 Char"/>
    <w:basedOn w:val="7"/>
    <w:link w:val="3"/>
    <w:uiPriority w:val="0"/>
    <w:rPr>
      <w:rFonts w:asciiTheme="minorHAnsi" w:hAnsiTheme="minorHAnsi" w:eastAsiaTheme="minorEastAsia" w:cstheme="minorBidi"/>
      <w:kern w:val="2"/>
      <w:sz w:val="18"/>
      <w:szCs w:val="18"/>
    </w:rPr>
  </w:style>
  <w:style w:type="paragraph" w:styleId="11">
    <w:name w:val="List Paragraph"/>
    <w:basedOn w:val="1"/>
    <w:unhideWhenUsed/>
    <w:uiPriority w:val="99"/>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496</Words>
  <Characters>2833</Characters>
  <Lines>23</Lines>
  <Paragraphs>6</Paragraphs>
  <TotalTime>2468</TotalTime>
  <ScaleCrop>false</ScaleCrop>
  <LinksUpToDate>false</LinksUpToDate>
  <CharactersWithSpaces>3323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2023-01-16T15:45:00Z</dcterms:created>
  <dc:creator>诗人与熊</dc:creator>
  <cp:lastModifiedBy>李佳欣</cp:lastModifiedBy>
  <cp:lastPrinted>2025-01-08T08:00:00Z</cp:lastPrinted>
  <dcterms:modified xsi:type="dcterms:W3CDTF">2025-01-14T10:09:49Z</dcterms:modified>
  <cp:revision>69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E69FC135B6704485BACA57740AE2D712</vt:lpwstr>
  </property>
</Properties>
</file>